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D7D8E8EB" w14:textId="77777777" w:rsidR="00690BC6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Acceptance Criteria and Gherkin (BDD)</w:t>
      </w:r>
    </w:p>
    <w:p w14:paraId="9B8BFF81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Acceptance Criteria</w:t>
      </w:r>
    </w:p>
    <w:p w14:paraId="1F284764" w14:textId="77777777" w:rsidR="00690BC6" w:rsidRDefault="00000000">
      <w:pPr>
        <w:keepLines/>
        <w:spacing w:after="20"/>
      </w:pPr>
      <w:r>
        <w:rPr>
          <w:color w:val="262626"/>
        </w:rPr>
        <w:t xml:space="preserve">The specific, testable conditions a story must satisfy before it is accepted; written and agreed between the BA/PO and QA before development starts, not after.</w:t>
      </w:r>
    </w:p>
    <w:p w14:paraId="81BD011B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Gherkin Syntax</w:t>
      </w:r>
    </w:p>
    <w:p w14:paraId="F709F1D3" w14:textId="77777777" w:rsidR="00690BC6" w:rsidRDefault="00000000">
      <w:pPr>
        <w:keepLines/>
        <w:spacing w:after="20"/>
      </w:pPr>
      <w:r>
        <w:rPr>
          <w:color w:val="262626"/>
        </w:rPr>
        <w:t xml:space="preserve">The plain-English Given/When/Then structure that both business and QA can read, and that BDD tools can execute directly as an automated test.</w:t>
      </w:r>
    </w:p>
    <w:p w14:paraId="E5BE5C9E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Given-When-Then Structure</w:t>
      </w:r>
    </w:p>
    <w:p w14:paraId="3A94F1B2" w14:textId="77777777" w:rsidR="00690BC6" w:rsidRDefault="00000000">
      <w:pPr>
        <w:keepLines/>
        <w:spacing w:after="20"/>
      </w:pPr>
      <w:r>
        <w:rPr>
          <w:color w:val="262626"/>
        </w:rPr>
        <w:t xml:space="preserve">Given a customer has a past order for Tuesday’s dinner, When they tap “Reorder”, Then the app pre-fills the cart with the same items at current prices.</w:t>
      </w:r>
    </w:p>
    <w:p w14:paraId="00610217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Scenario Outline and Examples Table</w:t>
      </w:r>
    </w:p>
    <w:p w14:paraId="27F3CA84" w14:textId="77777777" w:rsidR="00690BC6" w:rsidRDefault="00000000">
      <w:pPr>
        <w:keepLines/>
        <w:spacing w:after="20"/>
      </w:pPr>
      <w:r>
        <w:rPr>
          <w:color w:val="262626"/>
        </w:rPr>
        <w:t xml:space="preserve">A single template scenario run once per row of a data table, replacing many near-identical scenarios (e.g. one per payment method) with one.</w:t>
      </w:r>
    </w:p>
    <w:p w14:paraId="B236DA42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Happy Path vs Edge Case Scenarios</w:t>
      </w:r>
    </w:p>
    <w:p w14:paraId="7B216904" w14:textId="77777777" w:rsidR="00690BC6" w:rsidRDefault="00000000">
      <w:pPr>
        <w:keepLines/>
        <w:spacing w:after="20"/>
      </w:pPr>
      <w:r>
        <w:rPr>
          <w:color w:val="262626"/>
        </w:rPr>
        <w:t xml:space="preserve">Every criteria set needs a happy-path scenario plus exception scenarios – item unavailable, price changed, payment declined, restaurant closed.</w:t>
      </w:r>
    </w:p>
    <w:p w14:paraId="0C1306B4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Feature File</w:t>
      </w:r>
    </w:p>
    <w:p w14:paraId="59B03298" w14:textId="77777777" w:rsidR="00690BC6" w:rsidRDefault="00000000">
      <w:pPr>
        <w:keepLines/>
        <w:spacing w:after="20"/>
      </w:pPr>
      <w:r>
        <w:rPr>
          <w:color w:val="262626"/>
        </w:rPr>
        <w:t xml:space="preserve">One Gherkin document per feature or story that groups all of its scenarios; the unit that BDD tools such as Cucumber or SpecFlow run directly.</w:t>
      </w:r>
    </w:p>
    <w:p w14:paraId="48EBA405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BDD (Behaviour-Driven Development)</w:t>
      </w:r>
    </w:p>
    <w:p w14:paraId="08FB9EC5" w14:textId="77777777" w:rsidR="00690BC6" w:rsidRDefault="00000000">
      <w:pPr>
        <w:keepLines/>
        <w:spacing w:after="20"/>
      </w:pPr>
      <w:r>
        <w:rPr>
          <w:color w:val="262626"/>
        </w:rPr>
        <w:t xml:space="preserve">Writing acceptance criteria in Gherkin before coding starts, so one sentence defines the requirement, guides development and becomes the automated test.</w:t>
      </w:r>
    </w:p>
    <w:p w14:paraId="94B42A4F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Ambiguity Check on Criteria</w:t>
      </w:r>
    </w:p>
    <w:p w14:paraId="FA8C5A48" w14:textId="77777777" w:rsidR="00690BC6" w:rsidRDefault="00000000">
      <w:pPr>
        <w:keepLines/>
        <w:spacing w:after="20"/>
      </w:pPr>
      <w:r>
        <w:rPr>
          <w:color w:val="262626"/>
        </w:rPr>
        <w:t xml:space="preserve">Each Then must state one measurable outcome; “the app should work well” is not testable, “the cart total updates within one second” is.</w:t>
      </w:r>
    </w:p>
    <w:p w14:paraId="1CF84F4C" w14:textId="77777777" w:rsidR="00690BC6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Non-Functional Requirements (NFRs)</w:t>
      </w:r>
    </w:p>
    <w:p w14:paraId="FC151159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Non-Functional Requirement (NFR)</w:t>
      </w:r>
    </w:p>
    <w:p w14:paraId="A92F6E50" w14:textId="77777777" w:rsidR="00690BC6" w:rsidRDefault="00000000">
      <w:pPr>
        <w:keepLines/>
        <w:spacing w:after="20"/>
      </w:pPr>
      <w:r>
        <w:rPr>
          <w:color w:val="262626"/>
        </w:rPr>
        <w:t xml:space="preserve">Describes how well the solution must perform rather than what it does; every NFR needs a measure, a threshold and the condition it is tested under.</w:t>
      </w:r>
    </w:p>
    <w:p w14:paraId="55010BD0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Performance NFRs (Latency, Response Time)</w:t>
      </w:r>
    </w:p>
    <w:p w14:paraId="2C7D13BE" w14:textId="77777777" w:rsidR="00690BC6" w:rsidRDefault="00000000">
      <w:pPr>
        <w:keepLines/>
        <w:spacing w:after="20"/>
      </w:pPr>
      <w:r>
        <w:rPr>
          <w:color w:val="262626"/>
        </w:rPr>
        <w:t xml:space="preserve">E.g. “search results shall return within 2 seconds for 95% of requests under normal load” – a number, never “the app should be fast”.</w:t>
      </w:r>
    </w:p>
    <w:p w14:paraId="0CC30F51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Load and Stress Testing Requirements</w:t>
      </w:r>
    </w:p>
    <w:p w14:paraId="EB3F4D93" w14:textId="77777777" w:rsidR="00690BC6" w:rsidRDefault="00000000">
      <w:pPr>
        <w:keepLines/>
        <w:spacing w:after="20"/>
      </w:pPr>
      <w:r>
        <w:rPr>
          <w:color w:val="262626"/>
        </w:rPr>
        <w:t xml:space="preserve">Load defines expected concurrent usage (e.g. 5,000 users at peak lunch hour); stress finds the breaking point and how it should fail – gracefully, not crash.</w:t>
      </w:r>
    </w:p>
    <w:p w14:paraId="D2E796FD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Concurrency and Scalability</w:t>
      </w:r>
    </w:p>
    <w:p w14:paraId="3D285686" w14:textId="77777777" w:rsidR="00690BC6" w:rsidRDefault="00000000">
      <w:pPr>
        <w:keepLines/>
        <w:spacing w:after="20"/>
      </w:pPr>
      <w:r>
        <w:rPr>
          <w:color w:val="262626"/>
        </w:rPr>
        <w:t xml:space="preserve">Concurrency is how many users or transactions must be handled at once without data conflicts; scalability is how the system must grow as demand increases.</w:t>
      </w:r>
    </w:p>
    <w:p w14:paraId="0A38244D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Security NFRs</w:t>
      </w:r>
    </w:p>
    <w:p w14:paraId="DCD049C8" w14:textId="77777777" w:rsidR="00690BC6" w:rsidRDefault="00000000">
      <w:pPr>
        <w:keepLines/>
        <w:spacing w:after="20"/>
      </w:pPr>
      <w:r>
        <w:rPr>
          <w:color w:val="262626"/>
        </w:rPr>
        <w:t xml:space="preserve">Authentication, authorisation, and encryption in transit and at rest, plus compliance standards such as PCI-DSS for payment data; usually the most expensive NFRs to retrofit.</w:t>
      </w:r>
    </w:p>
    <w:p w14:paraId="05CF5308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Availability and SLA</w:t>
      </w:r>
    </w:p>
    <w:p w14:paraId="05F7BC33" w14:textId="77777777" w:rsidR="00690BC6" w:rsidRDefault="00000000">
      <w:pPr>
        <w:keepLines/>
        <w:spacing w:after="20"/>
      </w:pPr>
      <w:r>
        <w:rPr>
          <w:color w:val="262626"/>
        </w:rPr>
        <w:t xml:space="preserve">Availability is expressed as an uptime percentage (e.g. 99.9%); the SLA attaches consequences and support response times to that number for the business.</w:t>
      </w:r>
    </w:p>
    <w:p w14:paraId="6A019145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Reliability and Recovery (RTO/RPO)</w:t>
      </w:r>
    </w:p>
    <w:p w14:paraId="8AD905BE" w14:textId="77777777" w:rsidR="00690BC6" w:rsidRDefault="00000000">
      <w:pPr>
        <w:keepLines/>
        <w:spacing w:after="20"/>
      </w:pPr>
      <w:r>
        <w:rPr>
          <w:color w:val="262626"/>
        </w:rPr>
        <w:t xml:space="preserve">RTO is how fast a service must be restored after failure; RPO is how much data loss is acceptable, both measured in time.</w:t>
      </w:r>
    </w:p>
    <w:p w14:paraId="6A3F722A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Usability and Compliance NFRs</w:t>
      </w:r>
    </w:p>
    <w:p w14:paraId="ACF32BE3" w14:textId="77777777" w:rsidR="00690BC6" w:rsidRDefault="00000000">
      <w:pPr>
        <w:keepLines/>
        <w:spacing w:after="20"/>
      </w:pPr>
      <w:r>
        <w:rPr>
          <w:color w:val="262626"/>
        </w:rPr>
        <w:t xml:space="preserve">Usability NFRs reuse Week 8’s measures (task success rate, SUS score); compliance NFRs point to a named external standard, such as WCAG or a privacy law.</w:t>
      </w:r>
    </w:p>
    <w:p w14:paraId="05001BF0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NFR Traps</w:t>
      </w:r>
    </w:p>
    <w:p w14:paraId="E5059EDC" w14:textId="77777777" w:rsidR="00690BC6" w:rsidRDefault="00000000">
      <w:pPr>
        <w:keepLines/>
        <w:spacing w:after="20"/>
      </w:pPr>
      <w:r>
        <w:rPr>
          <w:color w:val="262626"/>
        </w:rPr>
        <w:t xml:space="preserve">“The system should be secure” and “the app must be user-friendly” are not NFRs until they carry a number and a test method – the most common reason NFRs fail review.</w:t>
      </w:r>
    </w:p>
    <w:p w14:paraId="ACF77CF3" w14:textId="77777777" w:rsidR="00690BC6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End-to-End RTM and Release Readiness</w:t>
      </w:r>
    </w:p>
    <w:p w14:paraId="308BAA71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RTM (Requirements Traceability Matrix)</w:t>
      </w:r>
    </w:p>
    <w:p w14:paraId="22D143F5" w14:textId="77777777" w:rsidR="00690BC6" w:rsidRDefault="00000000">
      <w:pPr>
        <w:keepLines/>
        <w:spacing w:after="20"/>
      </w:pPr>
      <w:r>
        <w:rPr>
          <w:color w:val="262626"/>
        </w:rPr>
        <w:t xml:space="preserve">Links each requirement ID to its source, user story, design artefact, test case and status; extended here across the whole delivery chain, not just design and build.</w:t>
      </w:r>
    </w:p>
    <w:p w14:paraId="1852B1DA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End-to-End Traceability Chain</w:t>
      </w:r>
    </w:p>
    <w:p w14:paraId="17B264C5" w14:textId="77777777" w:rsidR="00690BC6" w:rsidRDefault="00000000">
      <w:pPr>
        <w:keepLines/>
        <w:spacing w:after="20"/>
      </w:pPr>
      <w:r>
        <w:rPr>
          <w:color w:val="262626"/>
        </w:rPr>
        <w:t xml:space="preserve">Business Goal → User Story → Wireframe Screen → Acceptance Criteria → Test Scenario → Test Result; every link must be filled before a requirement counts as delivered.</w:t>
      </w:r>
    </w:p>
    <w:p w14:paraId="3D1D2A11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Forward vs Backward Traceability</w:t>
      </w:r>
    </w:p>
    <w:p w14:paraId="AD32FEE8" w14:textId="77777777" w:rsidR="00690BC6" w:rsidRDefault="00000000">
      <w:pPr>
        <w:keepLines/>
        <w:spacing w:after="20"/>
      </w:pPr>
      <w:r>
        <w:rPr>
          <w:color w:val="262626"/>
        </w:rPr>
        <w:t xml:space="preserve">Forward proves every requirement was built and tested; backward proves nothing was built that nobody asked for – how gold plating is caught before release.</w:t>
      </w:r>
    </w:p>
    <w:p w14:paraId="8998CAF0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Coverage Gap</w:t>
      </w:r>
    </w:p>
    <w:p w14:paraId="0E7A0688" w14:textId="77777777" w:rsidR="00690BC6" w:rsidRDefault="00000000">
      <w:pPr>
        <w:keepLines/>
        <w:spacing w:after="20"/>
      </w:pPr>
      <w:r>
        <w:rPr>
          <w:color w:val="262626"/>
        </w:rPr>
        <w:t xml:space="preserve">A requirement in the RTM with no linked test case, or a test case with no linked requirement; the most common finding in an RTM audit before sign-off.</w:t>
      </w:r>
    </w:p>
    <w:p w14:paraId="09DA0BC4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UAT (User Acceptance Testing)</w:t>
      </w:r>
    </w:p>
    <w:p w14:paraId="10ED99C3" w14:textId="77777777" w:rsidR="00690BC6" w:rsidRDefault="00000000">
      <w:pPr>
        <w:keepLines/>
        <w:spacing w:after="20"/>
      </w:pPr>
      <w:r>
        <w:rPr>
          <w:color w:val="262626"/>
        </w:rPr>
        <w:t xml:space="preserve">Business users test the finished feature against the original acceptance criteria in a near-production environment; the last checkpoint before the go/no-go decision.</w:t>
      </w:r>
    </w:p>
    <w:p w14:paraId="0EA2D9DC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UAT Sign-Off Document</w:t>
      </w:r>
    </w:p>
    <w:p w14:paraId="6F9EFCC5" w14:textId="77777777" w:rsidR="00690BC6" w:rsidRDefault="00000000">
      <w:pPr>
        <w:keepLines/>
        <w:spacing w:after="20"/>
      </w:pPr>
      <w:r>
        <w:rPr>
          <w:color w:val="262626"/>
        </w:rPr>
        <w:t xml:space="preserve">Records which scenarios were tested, by whom, the result (pass, fail or waived) and the named approver who accepts the release for the business.</w:t>
      </w:r>
    </w:p>
    <w:p w14:paraId="3C55B9D6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Defect Severity and Priority</w:t>
      </w:r>
    </w:p>
    <w:p w14:paraId="FEE99269" w14:textId="77777777" w:rsidR="00690BC6" w:rsidRDefault="00000000">
      <w:pPr>
        <w:keepLines/>
        <w:spacing w:after="20"/>
      </w:pPr>
      <w:r>
        <w:rPr>
          <w:color w:val="262626"/>
        </w:rPr>
        <w:t xml:space="preserve">Severity is technical impact (critical, major, minor, cosmetic); priority is business urgency (fix now, before release, or later) – a low-severity bug can still be high priority.</w:t>
      </w:r>
    </w:p>
    <w:p w14:paraId="D914EE03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Release Readiness Checklist</w:t>
      </w:r>
    </w:p>
    <w:p w14:paraId="DEDA7374" w14:textId="77777777" w:rsidR="00690BC6" w:rsidRDefault="00000000">
      <w:pPr>
        <w:keepLines/>
        <w:spacing w:after="20"/>
      </w:pPr>
      <w:r>
        <w:rPr>
          <w:color w:val="262626"/>
        </w:rPr>
        <w:t xml:space="preserve">Confirms the RTM has no coverage gaps, all Must-have NFRs are verified, UAT is signed off and support is briefed – the BA’s input to the go/no-go decision.</w:t>
      </w:r>
    </w:p>
    <w:p w14:paraId="EF353D97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Rollback Plan</w:t>
      </w:r>
    </w:p>
    <w:p w14:paraId="750E05A1" w14:textId="77777777" w:rsidR="00690BC6" w:rsidRDefault="00000000">
      <w:pPr>
        <w:keepLines/>
        <w:spacing w:after="20"/>
      </w:pPr>
      <w:r>
        <w:rPr>
          <w:color w:val="262626"/>
        </w:rPr>
        <w:t xml:space="preserve">The documented steps to reverse a release safely if a critical defect reaches production; a release without one is treated as high risk however well it tested.</w:t>
      </w:r>
    </w:p>
    <w:p w14:paraId="B67FC8F8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Go/No-Go Decision</w:t>
      </w:r>
    </w:p>
    <w:p w14:paraId="D1ADAE9E" w14:textId="77777777" w:rsidR="00690BC6" w:rsidRDefault="00000000">
      <w:pPr>
        <w:keepLines/>
        <w:spacing w:after="20"/>
      </w:pPr>
      <w:r>
        <w:rPr>
          <w:color w:val="262626"/>
        </w:rPr>
        <w:t xml:space="preserve">A structured checkpoint where stakeholders weigh readiness evidence, not opinions, and decide to release, delay, or release with known issues.</w:t>
      </w:r>
    </w:p>
    <w:p w14:paraId="E23EE40D" w14:textId="77777777" w:rsidR="00690BC6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Capstone Practice – End-to-End Package</w:t>
      </w:r>
    </w:p>
    <w:p w14:paraId="2EA985F1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Capstone Package</w:t>
      </w:r>
    </w:p>
    <w:p w14:paraId="78E5E393" w14:textId="77777777" w:rsidR="00690BC6" w:rsidRDefault="00000000">
      <w:pPr>
        <w:keepLines/>
        <w:spacing w:after="20"/>
      </w:pPr>
      <w:r>
        <w:rPr>
          <w:color w:val="262626"/>
        </w:rPr>
        <w:t xml:space="preserve">One feature’s BRD, BPMN diagram, wireframes/prototype and RTM combined into a single traceable set, presented as one analysis-to-delivery story instead of separate documents.</w:t>
      </w:r>
    </w:p>
    <w:p w14:paraId="438C188E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End-to-End Walkthrough</w:t>
      </w:r>
    </w:p>
    <w:p w14:paraId="49E27549" w14:textId="77777777" w:rsidR="00690BC6" w:rsidRDefault="00000000">
      <w:pPr>
        <w:keepLines/>
        <w:spacing w:after="20"/>
      </w:pPr>
      <w:r>
        <w:rPr>
          <w:color w:val="262626"/>
        </w:rPr>
        <w:t xml:space="preserve">Presenting the capstone by following one requirement from the business goal through the process diagram, the screen, the acceptance criteria and into its test result.</w:t>
      </w:r>
    </w:p>
    <w:p w14:paraId="8853980B" w14:textId="77777777" w:rsidR="00690BC6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Post-Release Monitoring</w:t>
      </w:r>
    </w:p>
    <w:p w14:paraId="BFC5A4FE" w14:textId="77777777" w:rsidR="00690BC6" w:rsidRDefault="00000000">
      <w:pPr>
        <w:keepLines/>
        <w:spacing w:after="20"/>
      </w:pPr>
      <w:r>
        <w:rPr>
          <w:color w:val="262626"/>
        </w:rPr>
        <w:t xml:space="preserve">Tracking the success measures set in the original business case (adoption, error rate, support tickets) after launch, closing the loop the capstone package opened.</w:t>
      </w:r>
    </w:p>
    <w:sectPr w:rsidR="00690BC6">
      <w:headerReference w:type="default" r:id="rId7"/>
      <w:footerReference w:type="default" r:id="rId8"/>
      <w:pgSz w:w="11906" w:h="16838"/>
      <w:pgMar w:top="1000" w:right="1100" w:bottom="1000" w:left="11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8BDB66" w14:textId="77777777" w:rsidR="0022724F" w:rsidRDefault="0022724F">
      <w:r>
        <w:separator/>
      </w:r>
    </w:p>
  </w:endnote>
  <w:endnote w:type="continuationSeparator" w:id="0">
    <w:p w14:paraId="3CFFFABA" w14:textId="77777777" w:rsidR="0022724F" w:rsidRDefault="00227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7C54D3" w14:textId="77777777" w:rsidR="00690BC6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DF32C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DF32C6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F2B8C8" w14:textId="77777777" w:rsidR="0022724F" w:rsidRDefault="0022724F">
      <w:r>
        <w:separator/>
      </w:r>
    </w:p>
  </w:footnote>
  <w:footnote w:type="continuationSeparator" w:id="0">
    <w:p w14:paraId="4D3FE120" w14:textId="77777777" w:rsidR="0022724F" w:rsidRDefault="00227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6B91BE" w14:textId="69B2646A" w:rsidR="00690BC6" w:rsidRDefault="00690BC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A72B1D"/>
    <w:multiLevelType w:val="hybridMultilevel"/>
    <w:tmpl w:val="3F1EC036"/>
    <w:lvl w:ilvl="0" w:tplc="54E44022">
      <w:start w:val="1"/>
      <w:numFmt w:val="bullet"/>
      <w:lvlText w:val="●"/>
      <w:lvlJc w:val="left"/>
      <w:pPr>
        <w:ind w:left="720" w:hanging="360"/>
      </w:pPr>
    </w:lvl>
    <w:lvl w:ilvl="1" w:tplc="C7827D98">
      <w:start w:val="1"/>
      <w:numFmt w:val="bullet"/>
      <w:lvlText w:val="○"/>
      <w:lvlJc w:val="left"/>
      <w:pPr>
        <w:ind w:left="1440" w:hanging="360"/>
      </w:pPr>
    </w:lvl>
    <w:lvl w:ilvl="2" w:tplc="8D880CE6">
      <w:start w:val="1"/>
      <w:numFmt w:val="bullet"/>
      <w:lvlText w:val="■"/>
      <w:lvlJc w:val="left"/>
      <w:pPr>
        <w:ind w:left="2160" w:hanging="360"/>
      </w:pPr>
    </w:lvl>
    <w:lvl w:ilvl="3" w:tplc="552036D4">
      <w:start w:val="1"/>
      <w:numFmt w:val="bullet"/>
      <w:lvlText w:val="●"/>
      <w:lvlJc w:val="left"/>
      <w:pPr>
        <w:ind w:left="2880" w:hanging="360"/>
      </w:pPr>
    </w:lvl>
    <w:lvl w:ilvl="4" w:tplc="DACA2DAA">
      <w:start w:val="1"/>
      <w:numFmt w:val="bullet"/>
      <w:lvlText w:val="○"/>
      <w:lvlJc w:val="left"/>
      <w:pPr>
        <w:ind w:left="3600" w:hanging="360"/>
      </w:pPr>
    </w:lvl>
    <w:lvl w:ilvl="5" w:tplc="568CC232">
      <w:start w:val="1"/>
      <w:numFmt w:val="bullet"/>
      <w:lvlText w:val="■"/>
      <w:lvlJc w:val="left"/>
      <w:pPr>
        <w:ind w:left="4320" w:hanging="360"/>
      </w:pPr>
    </w:lvl>
    <w:lvl w:ilvl="6" w:tplc="89C84DE6">
      <w:start w:val="1"/>
      <w:numFmt w:val="bullet"/>
      <w:lvlText w:val="●"/>
      <w:lvlJc w:val="left"/>
      <w:pPr>
        <w:ind w:left="5040" w:hanging="360"/>
      </w:pPr>
    </w:lvl>
    <w:lvl w:ilvl="7" w:tplc="E22C7728">
      <w:start w:val="1"/>
      <w:numFmt w:val="bullet"/>
      <w:lvlText w:val="●"/>
      <w:lvlJc w:val="left"/>
      <w:pPr>
        <w:ind w:left="5760" w:hanging="360"/>
      </w:pPr>
    </w:lvl>
    <w:lvl w:ilvl="8" w:tplc="BD4489B8">
      <w:start w:val="1"/>
      <w:numFmt w:val="bullet"/>
      <w:lvlText w:val="●"/>
      <w:lvlJc w:val="left"/>
      <w:pPr>
        <w:ind w:left="6480" w:hanging="360"/>
      </w:pPr>
    </w:lvl>
  </w:abstractNum>
  <w:num w:numId="1" w16cid:durableId="364597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BC6"/>
    <w:rsid w:val="00155845"/>
    <w:rsid w:val="0022724F"/>
    <w:rsid w:val="00690BC6"/>
    <w:rsid w:val="00DF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8C09F"/>
  <w15:docId w15:val="{5E8035C4-23C4-A34F-8721-5361E0A5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E7C86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32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2C6"/>
  </w:style>
  <w:style w:type="paragraph" w:styleId="Footer">
    <w:name w:val="footer"/>
    <w:basedOn w:val="Normal"/>
    <w:link w:val="FooterChar"/>
    <w:uiPriority w:val="99"/>
    <w:unhideWhenUsed/>
    <w:rsid w:val="00DF32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 Keywords</dc:title>
  <dc:creator>Rahil</dc:creator>
  <cp:lastModifiedBy>Rahil Riyazali Mukhi</cp:lastModifiedBy>
  <cp:revision>2</cp:revision>
  <dcterms:created xsi:type="dcterms:W3CDTF">2026-09-14T09:34:00Z</dcterms:created>
  <dcterms:modified xsi:type="dcterms:W3CDTF">2026-09-15T02:12:00Z</dcterms:modified>
</cp:coreProperties>
</file>