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FBD0CB" w14:textId="77777777" w:rsidR="002C77F8" w:rsidRDefault="00000000">
      <w:pPr>
        <w:pStyle w:val="Heading1"/>
        <w:keepNext/>
        <w:pBdr>
          <w:bottom w:val="single" w:sz="4" w:space="2" w:color="C9D6DF"/>
        </w:pBdr>
        <w:spacing w:before="180" w:after="40"/>
      </w:pPr>
      <w:r>
        <w:t>Capabilities to Requirements (The Chain)</w:t>
      </w:r>
    </w:p>
    <w:p w14:paraId="0D85BA04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The Chain</w:t>
      </w:r>
    </w:p>
    <w:p w14:paraId="5E3DDCC1" w14:textId="77777777" w:rsidR="002C77F8" w:rsidRDefault="00000000">
      <w:pPr>
        <w:keepLines/>
        <w:spacing w:after="20"/>
      </w:pPr>
      <w:r>
        <w:rPr>
          <w:color w:val="262626"/>
        </w:rPr>
        <w:t>Capability → Business Process → Persona → User Story → Requirement: the same need described from abstract (why) to testable (what). The value is in the links between them.</w:t>
      </w:r>
    </w:p>
    <w:p w14:paraId="064AC5E3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Business Capability</w:t>
      </w:r>
    </w:p>
    <w:p w14:paraId="7D964CE9" w14:textId="77777777" w:rsidR="002C77F8" w:rsidRDefault="00000000">
      <w:pPr>
        <w:keepLines/>
        <w:spacing w:after="20"/>
      </w:pPr>
      <w:r>
        <w:rPr>
          <w:color w:val="262626"/>
        </w:rPr>
        <w:t xml:space="preserve">What the business </w:t>
      </w:r>
      <w:proofErr w:type="gramStart"/>
      <w:r>
        <w:rPr>
          <w:color w:val="262626"/>
        </w:rPr>
        <w:t>is able to</w:t>
      </w:r>
      <w:proofErr w:type="gramEnd"/>
      <w:r>
        <w:rPr>
          <w:color w:val="262626"/>
        </w:rPr>
        <w:t xml:space="preserve"> do, as a noun phrase, independent of who, how or what technology – e.g., “Order management”. Test: it reads naturally after “the ability to…”.</w:t>
      </w:r>
    </w:p>
    <w:p w14:paraId="0A11705F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Capability Map and Heat Map</w:t>
      </w:r>
    </w:p>
    <w:p w14:paraId="5A10AB60" w14:textId="77777777" w:rsidR="002C77F8" w:rsidRDefault="00000000">
      <w:pPr>
        <w:keepLines/>
        <w:spacing w:after="20"/>
      </w:pPr>
      <w:r>
        <w:rPr>
          <w:color w:val="262626"/>
        </w:rPr>
        <w:t>A capability map arranges capabilities in two or three levels to spot gaps and duplication. Colouring it by maturity, cost or pain (a heat map) shows executives where problems are.</w:t>
      </w:r>
    </w:p>
    <w:p w14:paraId="4C8B6AED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Process Level 1 – Landscape</w:t>
      </w:r>
    </w:p>
    <w:p w14:paraId="1B91D2E7" w14:textId="77777777" w:rsidR="002C77F8" w:rsidRDefault="00000000">
      <w:pPr>
        <w:keepLines/>
        <w:spacing w:after="20"/>
      </w:pPr>
      <w:r>
        <w:rPr>
          <w:color w:val="262626"/>
        </w:rPr>
        <w:t>The handful of end-to-end processes that run the business, on one page, for executives – e.g., Order to Delivery.</w:t>
      </w:r>
    </w:p>
    <w:p w14:paraId="4454A25D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Process Level 2 – Process Map</w:t>
      </w:r>
    </w:p>
    <w:p w14:paraId="7DE59755" w14:textId="77777777" w:rsidR="002C77F8" w:rsidRDefault="00000000">
      <w:pPr>
        <w:keepLines/>
        <w:spacing w:after="20"/>
      </w:pPr>
      <w:r>
        <w:rPr>
          <w:color w:val="262626"/>
        </w:rPr>
        <w:t>The major stages within one Level 1 process, with their sequence and handoffs, for process owners – e.g., Place an Order.</w:t>
      </w:r>
    </w:p>
    <w:p w14:paraId="6BEB9801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Process Level 3 – Process Flow</w:t>
      </w:r>
    </w:p>
    <w:p w14:paraId="48334F6E" w14:textId="77777777" w:rsidR="002C77F8" w:rsidRDefault="00000000">
      <w:pPr>
        <w:keepLines/>
        <w:spacing w:after="20"/>
      </w:pPr>
      <w:r>
        <w:rPr>
          <w:color w:val="262626"/>
        </w:rPr>
        <w:t xml:space="preserve">The detailed step-by-step activities, decisions, roles and systems, for the BA and delivery team. This is where BPMN </w:t>
      </w:r>
      <w:proofErr w:type="spellStart"/>
      <w:r>
        <w:rPr>
          <w:color w:val="262626"/>
        </w:rPr>
        <w:t>swimlanes</w:t>
      </w:r>
      <w:proofErr w:type="spellEnd"/>
      <w:r>
        <w:rPr>
          <w:color w:val="262626"/>
        </w:rPr>
        <w:t xml:space="preserve"> live – e.g., Reorder a Past Meal.</w:t>
      </w:r>
    </w:p>
    <w:p w14:paraId="737B0C8B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Mixed Levels</w:t>
      </w:r>
    </w:p>
    <w:p w14:paraId="529D2BAD" w14:textId="77777777" w:rsidR="002C77F8" w:rsidRDefault="00000000">
      <w:pPr>
        <w:keepLines/>
        <w:spacing w:after="20"/>
      </w:pPr>
      <w:r>
        <w:rPr>
          <w:color w:val="262626"/>
        </w:rPr>
        <w:t>Putting “Manage orders” next to “Click Confirm” in one diagram. If two boxes would take very different amounts of time, the levels are mixed.</w:t>
      </w:r>
    </w:p>
    <w:p w14:paraId="72A17D5C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Persona</w:t>
      </w:r>
    </w:p>
    <w:p w14:paraId="385339BE" w14:textId="77777777" w:rsidR="002C77F8" w:rsidRDefault="00000000">
      <w:pPr>
        <w:keepLines/>
        <w:spacing w:after="20"/>
      </w:pPr>
      <w:r>
        <w:rPr>
          <w:color w:val="262626"/>
        </w:rPr>
        <w:t xml:space="preserve">An evidence-based archetype of a user group: context, goals, frustrations, behaviour, constraints and anti-goals. Built from research, not opinion; three to five personas </w:t>
      </w:r>
      <w:proofErr w:type="gramStart"/>
      <w:r>
        <w:rPr>
          <w:color w:val="262626"/>
        </w:rPr>
        <w:t>is</w:t>
      </w:r>
      <w:proofErr w:type="gramEnd"/>
      <w:r>
        <w:rPr>
          <w:color w:val="262626"/>
        </w:rPr>
        <w:t xml:space="preserve"> usually enough.</w:t>
      </w:r>
    </w:p>
    <w:p w14:paraId="6BDB0982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User Story vs Requirement</w:t>
      </w:r>
    </w:p>
    <w:p w14:paraId="4D08B81D" w14:textId="77777777" w:rsidR="002C77F8" w:rsidRDefault="00000000">
      <w:pPr>
        <w:keepLines/>
        <w:spacing w:after="20"/>
      </w:pPr>
      <w:r>
        <w:rPr>
          <w:color w:val="262626"/>
        </w:rPr>
        <w:t>A user story is a promise of a conversation, owned by the PO and discarded once delivered. The requirement is the precise, testable result of that conversation.</w:t>
      </w:r>
    </w:p>
    <w:p w14:paraId="628BFBFC" w14:textId="77777777" w:rsidR="002C77F8" w:rsidRDefault="00000000">
      <w:pPr>
        <w:pStyle w:val="Heading1"/>
        <w:keepNext/>
        <w:pBdr>
          <w:bottom w:val="single" w:sz="4" w:space="2" w:color="C9D6DF"/>
        </w:pBdr>
        <w:spacing w:before="180" w:after="40"/>
      </w:pPr>
      <w:r>
        <w:t>Business Process Mapping and BPMN</w:t>
      </w:r>
    </w:p>
    <w:p w14:paraId="2F4EEF61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Process Mapping</w:t>
      </w:r>
    </w:p>
    <w:p w14:paraId="0242273F" w14:textId="77777777" w:rsidR="002C77F8" w:rsidRDefault="00000000">
      <w:pPr>
        <w:keepLines/>
        <w:spacing w:after="20"/>
      </w:pPr>
      <w:r>
        <w:rPr>
          <w:color w:val="262626"/>
        </w:rPr>
        <w:t>Drawing how work flows from start to end – steps, decisions, roles and systems – so it can be understood, analysed and improved.</w:t>
      </w:r>
    </w:p>
    <w:p w14:paraId="3EE8488B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Flowchart Symbols</w:t>
      </w:r>
    </w:p>
    <w:p w14:paraId="7033E03A" w14:textId="77777777" w:rsidR="002C77F8" w:rsidRDefault="00000000">
      <w:pPr>
        <w:keepLines/>
        <w:spacing w:after="20"/>
      </w:pPr>
      <w:r>
        <w:rPr>
          <w:color w:val="262626"/>
        </w:rPr>
        <w:t>Process (rectangle), flowline (arrow), start/end terminal (rounded), decision (diamond), subprocess (box with double sides), document, database and off-page connector.</w:t>
      </w:r>
    </w:p>
    <w:p w14:paraId="112DF8D9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Process Discovery Questions</w:t>
      </w:r>
    </w:p>
    <w:p w14:paraId="2BB06657" w14:textId="77777777" w:rsidR="002C77F8" w:rsidRDefault="00000000">
      <w:pPr>
        <w:keepLines/>
        <w:spacing w:after="20"/>
      </w:pPr>
      <w:r>
        <w:rPr>
          <w:color w:val="262626"/>
        </w:rPr>
        <w:t>Who is involved? What is the first task? How long and how often? What happens if it fails? What happens next? Does it always work this way? Are there KPIs?</w:t>
      </w:r>
    </w:p>
    <w:p w14:paraId="2952D25A" w14:textId="77777777" w:rsidR="002C77F8" w:rsidRDefault="00000000">
      <w:pPr>
        <w:keepNext/>
        <w:keepLines/>
        <w:spacing w:before="70"/>
      </w:pPr>
      <w:proofErr w:type="spellStart"/>
      <w:r>
        <w:rPr>
          <w:b/>
          <w:bCs/>
          <w:color w:val="1F3864"/>
          <w:sz w:val="22"/>
          <w:szCs w:val="22"/>
        </w:rPr>
        <w:t>TaskMap</w:t>
      </w:r>
      <w:proofErr w:type="spellEnd"/>
    </w:p>
    <w:p w14:paraId="695C89C1" w14:textId="77777777" w:rsidR="002C77F8" w:rsidRDefault="00000000">
      <w:pPr>
        <w:keepLines/>
        <w:spacing w:after="20"/>
      </w:pPr>
      <w:r>
        <w:rPr>
          <w:color w:val="262626"/>
        </w:rPr>
        <w:t>A process-mapping method from Harvard Computing Group that stores data such as role, duration, tools and documents on each task, turning a process map into usable data.</w:t>
      </w:r>
    </w:p>
    <w:p w14:paraId="1E1DA0C2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BPMN (Business Process Model and Notation)</w:t>
      </w:r>
    </w:p>
    <w:p w14:paraId="71ACFEAD" w14:textId="77777777" w:rsidR="002C77F8" w:rsidRDefault="00000000">
      <w:pPr>
        <w:keepLines/>
        <w:spacing w:after="20"/>
      </w:pPr>
      <w:r>
        <w:rPr>
          <w:color w:val="262626"/>
        </w:rPr>
        <w:t>An OMG standard notation where every shape has a fixed meaning, so a process reads the same to business users and developers. Used at descriptive, analytic and executable levels.</w:t>
      </w:r>
    </w:p>
    <w:p w14:paraId="14B328A3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Events</w:t>
      </w:r>
    </w:p>
    <w:p w14:paraId="382ABD5F" w14:textId="77777777" w:rsidR="002C77F8" w:rsidRDefault="00000000">
      <w:pPr>
        <w:keepLines/>
        <w:spacing w:after="20"/>
      </w:pPr>
      <w:r>
        <w:rPr>
          <w:color w:val="262626"/>
        </w:rPr>
        <w:t xml:space="preserve">Circles showing something that </w:t>
      </w:r>
      <w:proofErr w:type="gramStart"/>
      <w:r>
        <w:rPr>
          <w:color w:val="262626"/>
        </w:rPr>
        <w:t>happens:</w:t>
      </w:r>
      <w:proofErr w:type="gramEnd"/>
      <w:r>
        <w:rPr>
          <w:color w:val="262626"/>
        </w:rPr>
        <w:t xml:space="preserve"> start (thin border), intermediate (double border) and end (thick border). Types include message, timer, error and signal events.</w:t>
      </w:r>
    </w:p>
    <w:p w14:paraId="5AAFBC47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Activities (Tasks)</w:t>
      </w:r>
    </w:p>
    <w:p w14:paraId="22D6D6AC" w14:textId="77777777" w:rsidR="002C77F8" w:rsidRDefault="00000000">
      <w:pPr>
        <w:keepLines/>
        <w:spacing w:after="20"/>
      </w:pPr>
      <w:r>
        <w:rPr>
          <w:color w:val="262626"/>
        </w:rPr>
        <w:t>Rounded rectangles for work done – user, service, manual and business-rule tasks, sub-processes and call activities. Name them verb + object, e.g., “Validate item availability”.</w:t>
      </w:r>
    </w:p>
    <w:p w14:paraId="26F64706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lastRenderedPageBreak/>
        <w:t>Gateways</w:t>
      </w:r>
    </w:p>
    <w:p w14:paraId="510F700B" w14:textId="77777777" w:rsidR="002C77F8" w:rsidRDefault="00000000">
      <w:pPr>
        <w:keepLines/>
        <w:spacing w:after="20"/>
      </w:pPr>
      <w:r>
        <w:rPr>
          <w:color w:val="262626"/>
        </w:rPr>
        <w:t>Diamonds that route the flow but never do work. Exclusive (X) – one path; Parallel (+) – all paths; Inclusive (O) – one or more paths; Event-based – whichever event happens first.</w:t>
      </w:r>
    </w:p>
    <w:p w14:paraId="584A3F0B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Sequence Flow vs Message Flow</w:t>
      </w:r>
    </w:p>
    <w:p w14:paraId="33617C29" w14:textId="77777777" w:rsidR="002C77F8" w:rsidRDefault="00000000">
      <w:pPr>
        <w:keepLines/>
        <w:spacing w:after="20"/>
      </w:pPr>
      <w:r>
        <w:rPr>
          <w:color w:val="262626"/>
        </w:rPr>
        <w:t>Sequence flow (solid arrow) connects steps inside one pool. Message flow (dashed arrow) connects different pools. A solid arrow crossing pools makes the model invalid.</w:t>
      </w:r>
    </w:p>
    <w:p w14:paraId="3DE511B4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Pools and Lanes</w:t>
      </w:r>
    </w:p>
    <w:p w14:paraId="17E4F3F2" w14:textId="77777777" w:rsidR="002C77F8" w:rsidRDefault="00000000">
      <w:pPr>
        <w:keepLines/>
        <w:spacing w:after="20"/>
      </w:pPr>
      <w:r>
        <w:rPr>
          <w:color w:val="262626"/>
        </w:rPr>
        <w:t>A pool is one participant or organisation; lanes inside it show the role, team or system that performs each activity.</w:t>
      </w:r>
    </w:p>
    <w:p w14:paraId="456F3E51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Data Object, Data Store and Annotation</w:t>
      </w:r>
    </w:p>
    <w:p w14:paraId="57B67421" w14:textId="77777777" w:rsidR="002C77F8" w:rsidRDefault="00000000">
      <w:pPr>
        <w:keepLines/>
        <w:spacing w:after="20"/>
      </w:pPr>
      <w:r>
        <w:rPr>
          <w:color w:val="262626"/>
        </w:rPr>
        <w:t>A data object is a document a task uses or produces; a data store is persistent data such as a database; a text annotation adds an explanatory note for the reader.</w:t>
      </w:r>
    </w:p>
    <w:p w14:paraId="0D91F381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Boundary Event</w:t>
      </w:r>
    </w:p>
    <w:p w14:paraId="3337435A" w14:textId="77777777" w:rsidR="002C77F8" w:rsidRDefault="00000000">
      <w:pPr>
        <w:keepLines/>
        <w:spacing w:after="20"/>
      </w:pPr>
      <w:r>
        <w:rPr>
          <w:color w:val="262626"/>
        </w:rPr>
        <w:t>An event drawn on the edge of an activity that interrupts it – the standard way to model timeouts and errors without cluttering the main flow.</w:t>
      </w:r>
    </w:p>
    <w:p w14:paraId="6A1FA2F8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Happy Path and Exception Path</w:t>
      </w:r>
    </w:p>
    <w:p w14:paraId="5ABBE4AD" w14:textId="77777777" w:rsidR="002C77F8" w:rsidRDefault="00000000">
      <w:pPr>
        <w:keepLines/>
        <w:spacing w:after="20"/>
      </w:pPr>
      <w:r>
        <w:rPr>
          <w:color w:val="262626"/>
        </w:rPr>
        <w:t>The happy path is the normal flow when everything works. Exception paths (e.g., item unavailable) are where most hidden requirements are found.</w:t>
      </w:r>
    </w:p>
    <w:p w14:paraId="75409FDB" w14:textId="77777777" w:rsidR="002C77F8" w:rsidRDefault="00000000">
      <w:pPr>
        <w:pStyle w:val="Heading1"/>
        <w:keepNext/>
        <w:pBdr>
          <w:bottom w:val="single" w:sz="4" w:space="2" w:color="C9D6DF"/>
        </w:pBdr>
        <w:spacing w:before="180" w:after="40"/>
      </w:pPr>
      <w:r>
        <w:t>Twelve BA Diagram Types</w:t>
      </w:r>
    </w:p>
    <w:p w14:paraId="4B417AAF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Use Case Diagram</w:t>
      </w:r>
    </w:p>
    <w:p w14:paraId="2A0C7B98" w14:textId="77777777" w:rsidR="002C77F8" w:rsidRDefault="00000000">
      <w:pPr>
        <w:keepLines/>
        <w:spacing w:after="20"/>
      </w:pPr>
      <w:r>
        <w:rPr>
          <w:color w:val="262626"/>
        </w:rPr>
        <w:t>A UML diagram of actors (stick figures) and their goals (ovals) inside a system boundary box. Agrees scope early – everything inside the box is in scope.</w:t>
      </w:r>
    </w:p>
    <w:p w14:paraId="3BEE3EE6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Include vs Extend</w:t>
      </w:r>
    </w:p>
    <w:p w14:paraId="3DEFDEBD" w14:textId="77777777" w:rsidR="002C77F8" w:rsidRDefault="00000000">
      <w:pPr>
        <w:keepLines/>
        <w:spacing w:after="20"/>
      </w:pPr>
      <w:r>
        <w:rPr>
          <w:color w:val="262626"/>
        </w:rPr>
        <w:t>Include – the base use case always performs the included one (Reorder includes Pay). Extend – adds behaviour only sometimes, under a condition (Substitute item extends Reorder).</w:t>
      </w:r>
    </w:p>
    <w:p w14:paraId="3640C2B1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ER Diagram (Entity-Relationship)</w:t>
      </w:r>
    </w:p>
    <w:p w14:paraId="6D79C575" w14:textId="77777777" w:rsidR="002C77F8" w:rsidRDefault="00000000">
      <w:pPr>
        <w:keepLines/>
        <w:spacing w:after="20"/>
      </w:pPr>
      <w:r>
        <w:rPr>
          <w:color w:val="262626"/>
        </w:rPr>
        <w:t>Models the data a system stores: entities (tables), attributes (columns, with primary and foreign keys) and relationships with cardinality shown in crow’s foot notation.</w:t>
      </w:r>
    </w:p>
    <w:p w14:paraId="73990C71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Cardinality (Crow’s Foot)</w:t>
      </w:r>
    </w:p>
    <w:p w14:paraId="517F3D51" w14:textId="77777777" w:rsidR="002C77F8" w:rsidRDefault="00000000">
      <w:pPr>
        <w:keepLines/>
        <w:spacing w:after="20"/>
      </w:pPr>
      <w:r>
        <w:rPr>
          <w:color w:val="262626"/>
        </w:rPr>
        <w:t>How many of one entity relate to another: bar = one, circle = zero, crow’s foot = many. Read it both ways – “one customer places many orders”.</w:t>
      </w:r>
    </w:p>
    <w:p w14:paraId="1960266B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DFD (Data Flow Diagram)</w:t>
      </w:r>
    </w:p>
    <w:p w14:paraId="18AE901E" w14:textId="77777777" w:rsidR="002C77F8" w:rsidRDefault="00000000">
      <w:pPr>
        <w:keepLines/>
        <w:spacing w:after="20"/>
      </w:pPr>
      <w:r>
        <w:rPr>
          <w:color w:val="262626"/>
        </w:rPr>
        <w:t>Shows where data comes from, how it is transformed and where it is stored, using external entities, processes, data stores and data flows. No decisions and no sequence.</w:t>
      </w:r>
    </w:p>
    <w:p w14:paraId="7BDBA00B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DFD Levels and Balancing</w:t>
      </w:r>
    </w:p>
    <w:p w14:paraId="3397BB56" w14:textId="77777777" w:rsidR="002C77F8" w:rsidRDefault="00000000">
      <w:pPr>
        <w:keepLines/>
        <w:spacing w:after="20"/>
      </w:pPr>
      <w:r>
        <w:rPr>
          <w:color w:val="262626"/>
        </w:rPr>
        <w:t>Level 0 (context) shows the system as one process; Level 1 opens its main processes; Level 2 details one of them. Flows in and out must balance between levels.</w:t>
      </w:r>
    </w:p>
    <w:p w14:paraId="5EFA96F3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 xml:space="preserve">Wireframe, </w:t>
      </w:r>
      <w:proofErr w:type="spellStart"/>
      <w:r>
        <w:rPr>
          <w:b/>
          <w:bCs/>
          <w:color w:val="1F3864"/>
          <w:sz w:val="22"/>
          <w:szCs w:val="22"/>
        </w:rPr>
        <w:t>Mockup</w:t>
      </w:r>
      <w:proofErr w:type="spellEnd"/>
      <w:r>
        <w:rPr>
          <w:b/>
          <w:bCs/>
          <w:color w:val="1F3864"/>
          <w:sz w:val="22"/>
          <w:szCs w:val="22"/>
        </w:rPr>
        <w:t xml:space="preserve"> and Prototype</w:t>
      </w:r>
    </w:p>
    <w:p w14:paraId="4E7DD7C5" w14:textId="77777777" w:rsidR="002C77F8" w:rsidRDefault="00000000">
      <w:pPr>
        <w:keepLines/>
        <w:spacing w:after="20"/>
      </w:pPr>
      <w:r>
        <w:rPr>
          <w:color w:val="262626"/>
        </w:rPr>
        <w:t xml:space="preserve">A wireframe is a grey-box screen layout; a </w:t>
      </w:r>
      <w:proofErr w:type="spellStart"/>
      <w:r>
        <w:rPr>
          <w:color w:val="262626"/>
        </w:rPr>
        <w:t>mockup</w:t>
      </w:r>
      <w:proofErr w:type="spellEnd"/>
      <w:r>
        <w:rPr>
          <w:color w:val="262626"/>
        </w:rPr>
        <w:t xml:space="preserve"> adds visual design; a prototype is clickable. BAs annotate field rules and the empty, loading and error states.</w:t>
      </w:r>
    </w:p>
    <w:p w14:paraId="4CCB8532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Swimlane Diagram (Cross-Functional Flowchart)</w:t>
      </w:r>
    </w:p>
    <w:p w14:paraId="36C1A6D5" w14:textId="77777777" w:rsidR="002C77F8" w:rsidRDefault="00000000">
      <w:pPr>
        <w:keepLines/>
        <w:spacing w:after="20"/>
      </w:pPr>
      <w:r>
        <w:rPr>
          <w:color w:val="262626"/>
        </w:rPr>
        <w:t>A flowchart split into lanes by role or department. Every arrow crossing a lane is a handoff – where delay and errors build up. Less formal than BPMN.</w:t>
      </w:r>
    </w:p>
    <w:p w14:paraId="3E2A00C9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Gantt Chart</w:t>
      </w:r>
    </w:p>
    <w:p w14:paraId="6C6CFCD4" w14:textId="77777777" w:rsidR="002C77F8" w:rsidRDefault="00000000">
      <w:pPr>
        <w:keepLines/>
        <w:spacing w:after="20"/>
      </w:pPr>
      <w:r>
        <w:rPr>
          <w:color w:val="262626"/>
        </w:rPr>
        <w:t>Bars on a timeline showing task durations, dependencies and milestones. Usually owned by the PM and best for sequential work rather than agile stories.</w:t>
      </w:r>
    </w:p>
    <w:p w14:paraId="2C2C3ABE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Critical Path, Float and Milestone</w:t>
      </w:r>
    </w:p>
    <w:p w14:paraId="37D649E4" w14:textId="77777777" w:rsidR="002C77F8" w:rsidRDefault="00000000">
      <w:pPr>
        <w:keepLines/>
        <w:spacing w:after="20"/>
      </w:pPr>
      <w:r>
        <w:rPr>
          <w:color w:val="262626"/>
        </w:rPr>
        <w:t>The critical path is the longest chain of dependent tasks – any slip moves the end date. Float is how long a task can slip safely. A milestone is a zero-duration checkpoint.</w:t>
      </w:r>
    </w:p>
    <w:p w14:paraId="32DD7284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lastRenderedPageBreak/>
        <w:t>Stakeholder Map</w:t>
      </w:r>
    </w:p>
    <w:p w14:paraId="747EFEC0" w14:textId="77777777" w:rsidR="002C77F8" w:rsidRDefault="00000000">
      <w:pPr>
        <w:keepLines/>
        <w:spacing w:after="20"/>
      </w:pPr>
      <w:r>
        <w:rPr>
          <w:color w:val="262626"/>
        </w:rPr>
        <w:t>Usually a power/interest grid: manage closely, keep satisfied, keep informed, monitor. Adding attitude matters – a high-power, resistant stakeholder is the biggest risk.</w:t>
      </w:r>
    </w:p>
    <w:p w14:paraId="470012EC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State Diagram</w:t>
      </w:r>
    </w:p>
    <w:p w14:paraId="68E2B548" w14:textId="77777777" w:rsidR="002C77F8" w:rsidRDefault="00000000">
      <w:pPr>
        <w:keepLines/>
        <w:spacing w:after="20"/>
      </w:pPr>
      <w:r>
        <w:rPr>
          <w:color w:val="262626"/>
        </w:rPr>
        <w:t>Shows the states one object moves through (Placed → Accepted → Preparing → Delivered) and the events that trigger each transition. Any transition not drawn is not allowed.</w:t>
      </w:r>
    </w:p>
    <w:p w14:paraId="5C518B48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RTM (Requirements Traceability Matrix)</w:t>
      </w:r>
    </w:p>
    <w:p w14:paraId="3F593A39" w14:textId="77777777" w:rsidR="002C77F8" w:rsidRDefault="00000000">
      <w:pPr>
        <w:keepLines/>
        <w:spacing w:after="20"/>
      </w:pPr>
      <w:r>
        <w:rPr>
          <w:color w:val="262626"/>
        </w:rPr>
        <w:t>A table linking each requirement ID to its source, user story, test cases and status. It enables impact analysis and proves every requirement is built and tested.</w:t>
      </w:r>
    </w:p>
    <w:p w14:paraId="5D1B7A37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Gap Analysis Diagram</w:t>
      </w:r>
    </w:p>
    <w:p w14:paraId="022C8433" w14:textId="77777777" w:rsidR="002C77F8" w:rsidRDefault="00000000">
      <w:pPr>
        <w:keepLines/>
        <w:spacing w:after="20"/>
      </w:pPr>
      <w:r>
        <w:rPr>
          <w:color w:val="262626"/>
        </w:rPr>
        <w:t>Compares the current state and future state across process, data, technology, people and measures, with the action needed to close each gap.</w:t>
      </w:r>
    </w:p>
    <w:p w14:paraId="00D84171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Activity Diagram</w:t>
      </w:r>
    </w:p>
    <w:p w14:paraId="03534647" w14:textId="77777777" w:rsidR="002C77F8" w:rsidRDefault="00000000">
      <w:pPr>
        <w:keepLines/>
        <w:spacing w:after="20"/>
      </w:pPr>
      <w:r>
        <w:rPr>
          <w:color w:val="262626"/>
        </w:rPr>
        <w:t>A UML flow of actions with start and end nodes, decisions, and fork/join bars for parallel work. Best for the detailed logic inside one use case.</w:t>
      </w:r>
    </w:p>
    <w:p w14:paraId="2CBBBB13" w14:textId="42510587" w:rsidR="002C77F8" w:rsidRDefault="00000000">
      <w:pPr>
        <w:pStyle w:val="Heading1"/>
        <w:keepNext/>
        <w:pBdr>
          <w:bottom w:val="single" w:sz="4" w:space="2" w:color="C9D6DF"/>
        </w:pBdr>
        <w:spacing w:before="180" w:after="40"/>
      </w:pPr>
      <w:r>
        <w:t>SQL Essentials for BAs</w:t>
      </w:r>
    </w:p>
    <w:p w14:paraId="390491D7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Northwind Database</w:t>
      </w:r>
    </w:p>
    <w:p w14:paraId="7F5BAB29" w14:textId="77777777" w:rsidR="002C77F8" w:rsidRDefault="00000000">
      <w:pPr>
        <w:keepLines/>
        <w:spacing w:after="20"/>
      </w:pPr>
      <w:r>
        <w:rPr>
          <w:color w:val="262626"/>
        </w:rPr>
        <w:t xml:space="preserve">A free sample database of a fictional food wholesaler (Customers, Orders, Order Details, Products). There is no total column: line value = </w:t>
      </w:r>
      <w:proofErr w:type="spellStart"/>
      <w:r>
        <w:rPr>
          <w:color w:val="262626"/>
        </w:rPr>
        <w:t>UnitPrice</w:t>
      </w:r>
      <w:proofErr w:type="spellEnd"/>
      <w:r>
        <w:rPr>
          <w:color w:val="262626"/>
        </w:rPr>
        <w:t xml:space="preserve"> × Quantity × (1 − Discount).</w:t>
      </w:r>
    </w:p>
    <w:p w14:paraId="7AC23DBA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Query Execution Order</w:t>
      </w:r>
    </w:p>
    <w:p w14:paraId="08C6EFC0" w14:textId="77777777" w:rsidR="002C77F8" w:rsidRDefault="00000000">
      <w:pPr>
        <w:keepLines/>
        <w:spacing w:after="20"/>
      </w:pPr>
      <w:r>
        <w:rPr>
          <w:color w:val="262626"/>
        </w:rPr>
        <w:t>Written SELECT-</w:t>
      </w:r>
      <w:proofErr w:type="gramStart"/>
      <w:r>
        <w:rPr>
          <w:color w:val="262626"/>
        </w:rPr>
        <w:t>first, but</w:t>
      </w:r>
      <w:proofErr w:type="gramEnd"/>
      <w:r>
        <w:rPr>
          <w:color w:val="262626"/>
        </w:rPr>
        <w:t xml:space="preserve"> run as FROM/JOIN → WHERE → GROUP BY → HAVING → SELECT → ORDER BY → LIMIT. This is why WHERE cannot filter on an aggregate.</w:t>
      </w:r>
    </w:p>
    <w:p w14:paraId="52E850DF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WHERE vs HAVING</w:t>
      </w:r>
    </w:p>
    <w:p w14:paraId="357356BA" w14:textId="77777777" w:rsidR="002C77F8" w:rsidRDefault="00000000">
      <w:pPr>
        <w:keepLines/>
        <w:spacing w:after="20"/>
      </w:pPr>
      <w:r>
        <w:rPr>
          <w:color w:val="262626"/>
        </w:rPr>
        <w:t>WHERE filters individual rows before grouping (orders in 1997). HAVING filters groups after aggregation (customers with more than ten orders).</w:t>
      </w:r>
    </w:p>
    <w:p w14:paraId="24D2DDA3" w14:textId="77777777" w:rsidR="002C77F8" w:rsidRDefault="00000000">
      <w:pPr>
        <w:keepNext/>
        <w:keepLines/>
        <w:spacing w:before="70"/>
      </w:pPr>
      <w:proofErr w:type="gramStart"/>
      <w:r>
        <w:rPr>
          <w:b/>
          <w:bCs/>
          <w:color w:val="1F3864"/>
          <w:sz w:val="22"/>
          <w:szCs w:val="22"/>
        </w:rPr>
        <w:t>COUNT(</w:t>
      </w:r>
      <w:proofErr w:type="gramEnd"/>
      <w:r>
        <w:rPr>
          <w:b/>
          <w:bCs/>
          <w:color w:val="1F3864"/>
          <w:sz w:val="22"/>
          <w:szCs w:val="22"/>
        </w:rPr>
        <w:t>*) vs COUNT(DISTINCT)</w:t>
      </w:r>
    </w:p>
    <w:p w14:paraId="488D754E" w14:textId="77777777" w:rsidR="002C77F8" w:rsidRDefault="00000000">
      <w:pPr>
        <w:keepLines/>
        <w:spacing w:after="20"/>
      </w:pPr>
      <w:r>
        <w:rPr>
          <w:color w:val="262626"/>
        </w:rPr>
        <w:t xml:space="preserve">After joining orders to order lines, </w:t>
      </w:r>
      <w:proofErr w:type="gramStart"/>
      <w:r>
        <w:rPr>
          <w:color w:val="262626"/>
        </w:rPr>
        <w:t>COUNT(</w:t>
      </w:r>
      <w:proofErr w:type="gramEnd"/>
      <w:r>
        <w:rPr>
          <w:color w:val="262626"/>
        </w:rPr>
        <w:t xml:space="preserve">*) counts line items. </w:t>
      </w:r>
      <w:proofErr w:type="gramStart"/>
      <w:r>
        <w:rPr>
          <w:color w:val="262626"/>
        </w:rPr>
        <w:t>COUNT(</w:t>
      </w:r>
      <w:proofErr w:type="gramEnd"/>
      <w:r>
        <w:rPr>
          <w:color w:val="262626"/>
        </w:rPr>
        <w:t xml:space="preserve">DISTINCT </w:t>
      </w:r>
      <w:proofErr w:type="spellStart"/>
      <w:r>
        <w:rPr>
          <w:color w:val="262626"/>
        </w:rPr>
        <w:t>OrderID</w:t>
      </w:r>
      <w:proofErr w:type="spellEnd"/>
      <w:r>
        <w:rPr>
          <w:color w:val="262626"/>
        </w:rPr>
        <w:t>) counts actual orders.</w:t>
      </w:r>
    </w:p>
    <w:p w14:paraId="75DA08ED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LEFT JOIN + IS NULL</w:t>
      </w:r>
    </w:p>
    <w:p w14:paraId="489552E6" w14:textId="77777777" w:rsidR="002C77F8" w:rsidRDefault="00000000">
      <w:pPr>
        <w:keepLines/>
        <w:spacing w:after="20"/>
      </w:pPr>
      <w:r>
        <w:rPr>
          <w:color w:val="262626"/>
        </w:rPr>
        <w:t>Keeps every row from the left table, then keeps only rows with no match – answers “who has never done X?”, such as customers with no orders. NOT EXISTS does the same job.</w:t>
      </w:r>
    </w:p>
    <w:p w14:paraId="239A237D" w14:textId="77777777" w:rsidR="002C77F8" w:rsidRDefault="00000000">
      <w:pPr>
        <w:keepNext/>
        <w:keepLines/>
        <w:spacing w:before="70"/>
      </w:pPr>
      <w:r>
        <w:rPr>
          <w:b/>
          <w:bCs/>
          <w:color w:val="1F3864"/>
          <w:sz w:val="22"/>
          <w:szCs w:val="22"/>
        </w:rPr>
        <w:t>NULL Traps</w:t>
      </w:r>
    </w:p>
    <w:p w14:paraId="6B503565" w14:textId="77777777" w:rsidR="002C77F8" w:rsidRDefault="00000000">
      <w:pPr>
        <w:keepLines/>
        <w:spacing w:after="20"/>
      </w:pPr>
      <w:r>
        <w:rPr>
          <w:color w:val="262626"/>
        </w:rPr>
        <w:t xml:space="preserve">NULL means unknown, so “= NULL” returns nothing – use IS NULL. AVG and </w:t>
      </w:r>
      <w:proofErr w:type="gramStart"/>
      <w:r>
        <w:rPr>
          <w:color w:val="262626"/>
        </w:rPr>
        <w:t>COUNT(</w:t>
      </w:r>
      <w:proofErr w:type="gramEnd"/>
      <w:r>
        <w:rPr>
          <w:color w:val="262626"/>
        </w:rPr>
        <w:t>column) skip NULLs, and NOT IN returns no rows if the subquery contains a NULL.</w:t>
      </w:r>
    </w:p>
    <w:sectPr w:rsidR="002C77F8">
      <w:headerReference w:type="default" r:id="rId7"/>
      <w:footerReference w:type="default" r:id="rId8"/>
      <w:pgSz w:w="11906" w:h="16838"/>
      <w:pgMar w:top="1000" w:right="1100" w:bottom="1000" w:left="110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AD374F" w14:textId="77777777" w:rsidR="00BC7DAE" w:rsidRDefault="00BC7DAE">
      <w:r>
        <w:separator/>
      </w:r>
    </w:p>
  </w:endnote>
  <w:endnote w:type="continuationSeparator" w:id="0">
    <w:p w14:paraId="528A9035" w14:textId="77777777" w:rsidR="00BC7DAE" w:rsidRDefault="00BC7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6ADA4F" w14:textId="77777777" w:rsidR="002C77F8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71141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711416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8E1B1E" w14:textId="77777777" w:rsidR="00BC7DAE" w:rsidRDefault="00BC7DAE">
      <w:r>
        <w:separator/>
      </w:r>
    </w:p>
  </w:footnote>
  <w:footnote w:type="continuationSeparator" w:id="0">
    <w:p w14:paraId="0C8672A0" w14:textId="77777777" w:rsidR="00BC7DAE" w:rsidRDefault="00BC7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32D8EF" w14:textId="0F978DC5" w:rsidR="002C77F8" w:rsidRDefault="002C77F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0A6F18"/>
    <w:multiLevelType w:val="hybridMultilevel"/>
    <w:tmpl w:val="6A7A3C26"/>
    <w:lvl w:ilvl="0" w:tplc="FD14B674">
      <w:start w:val="1"/>
      <w:numFmt w:val="bullet"/>
      <w:lvlText w:val="●"/>
      <w:lvlJc w:val="left"/>
      <w:pPr>
        <w:ind w:left="720" w:hanging="360"/>
      </w:pPr>
    </w:lvl>
    <w:lvl w:ilvl="1" w:tplc="2138AB10">
      <w:start w:val="1"/>
      <w:numFmt w:val="bullet"/>
      <w:lvlText w:val="○"/>
      <w:lvlJc w:val="left"/>
      <w:pPr>
        <w:ind w:left="1440" w:hanging="360"/>
      </w:pPr>
    </w:lvl>
    <w:lvl w:ilvl="2" w:tplc="3702C864">
      <w:start w:val="1"/>
      <w:numFmt w:val="bullet"/>
      <w:lvlText w:val="■"/>
      <w:lvlJc w:val="left"/>
      <w:pPr>
        <w:ind w:left="2160" w:hanging="360"/>
      </w:pPr>
    </w:lvl>
    <w:lvl w:ilvl="3" w:tplc="4BA6A550">
      <w:start w:val="1"/>
      <w:numFmt w:val="bullet"/>
      <w:lvlText w:val="●"/>
      <w:lvlJc w:val="left"/>
      <w:pPr>
        <w:ind w:left="2880" w:hanging="360"/>
      </w:pPr>
    </w:lvl>
    <w:lvl w:ilvl="4" w:tplc="5930E7E0">
      <w:start w:val="1"/>
      <w:numFmt w:val="bullet"/>
      <w:lvlText w:val="○"/>
      <w:lvlJc w:val="left"/>
      <w:pPr>
        <w:ind w:left="3600" w:hanging="360"/>
      </w:pPr>
    </w:lvl>
    <w:lvl w:ilvl="5" w:tplc="03A04C50">
      <w:start w:val="1"/>
      <w:numFmt w:val="bullet"/>
      <w:lvlText w:val="■"/>
      <w:lvlJc w:val="left"/>
      <w:pPr>
        <w:ind w:left="4320" w:hanging="360"/>
      </w:pPr>
    </w:lvl>
    <w:lvl w:ilvl="6" w:tplc="226C1506">
      <w:start w:val="1"/>
      <w:numFmt w:val="bullet"/>
      <w:lvlText w:val="●"/>
      <w:lvlJc w:val="left"/>
      <w:pPr>
        <w:ind w:left="5040" w:hanging="360"/>
      </w:pPr>
    </w:lvl>
    <w:lvl w:ilvl="7" w:tplc="E12E4818">
      <w:start w:val="1"/>
      <w:numFmt w:val="bullet"/>
      <w:lvlText w:val="●"/>
      <w:lvlJc w:val="left"/>
      <w:pPr>
        <w:ind w:left="5760" w:hanging="360"/>
      </w:pPr>
    </w:lvl>
    <w:lvl w:ilvl="8" w:tplc="27CE705C">
      <w:start w:val="1"/>
      <w:numFmt w:val="bullet"/>
      <w:lvlText w:val="●"/>
      <w:lvlJc w:val="left"/>
      <w:pPr>
        <w:ind w:left="6480" w:hanging="360"/>
      </w:pPr>
    </w:lvl>
  </w:abstractNum>
  <w:num w:numId="1" w16cid:durableId="2134248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7F8"/>
    <w:rsid w:val="00155845"/>
    <w:rsid w:val="002C77F8"/>
    <w:rsid w:val="00711416"/>
    <w:rsid w:val="00BC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CFCA0"/>
  <w15:docId w15:val="{5E8035C4-23C4-A34F-8721-5361E0A5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E7C86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3864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14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1416"/>
  </w:style>
  <w:style w:type="paragraph" w:styleId="Footer">
    <w:name w:val="footer"/>
    <w:basedOn w:val="Normal"/>
    <w:link w:val="FooterChar"/>
    <w:uiPriority w:val="99"/>
    <w:unhideWhenUsed/>
    <w:rsid w:val="007114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1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1175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Keywords</dc:title>
  <dc:creator>Rahil</dc:creator>
  <cp:lastModifiedBy>Rahil Riyazali Mukhi</cp:lastModifiedBy>
  <cp:revision>2</cp:revision>
  <dcterms:created xsi:type="dcterms:W3CDTF">2026-09-14T09:34:00Z</dcterms:created>
  <dcterms:modified xsi:type="dcterms:W3CDTF">2026-09-15T02:12:00Z</dcterms:modified>
</cp:coreProperties>
</file>