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120"/>
        <w:rPr>
          <w:rFonts w:ascii="Times New Roman" w:hAnsi="Times New Roman"/>
          <w:b/>
          <w:bCs/>
          <w:u w:val="single"/>
        </w:rPr>
      </w:pPr>
      <w:r>
        <w:rPr>
          <w:rFonts w:ascii="Times New Roman" w:hAnsi="Times New Roman"/>
          <w:b/>
          <w:bCs/>
          <w:u w:val="single"/>
        </w:rPr>
        <w:t>Machine Learning–Based Late Delivery Risk Prediction in Global Supply Chain Operations</w:t>
      </w:r>
    </w:p>
    <w:p>
      <w:pPr>
        <w:pStyle w:val="Heading3"/>
        <w:spacing w:lineRule="auto" w:line="276" w:before="0" w:after="140"/>
        <w:jc w:val="start"/>
        <w:rPr>
          <w:rFonts w:ascii="Times New Roman" w:hAnsi="Times New Roman"/>
        </w:rPr>
      </w:pPr>
      <w:r>
        <w:rPr>
          <w:rFonts w:ascii="Times New Roman" w:hAnsi="Times New Roman"/>
        </w:rPr>
      </w:r>
    </w:p>
    <w:p>
      <w:pPr>
        <w:pStyle w:val="BodyText"/>
        <w:rPr/>
      </w:pPr>
      <w:r>
        <w:rPr>
          <w:rStyle w:val="Strong"/>
        </w:rPr>
        <w:t xml:space="preserve">Author: </w:t>
      </w:r>
      <w:r>
        <w:rPr/>
        <w:t>Amrit Baruah</w:t>
      </w:r>
    </w:p>
    <w:p>
      <w:pPr>
        <w:pStyle w:val="BodyText"/>
        <w:rPr>
          <w:b/>
          <w:bCs/>
        </w:rPr>
      </w:pPr>
      <w:r>
        <w:rPr>
          <w:b/>
          <w:bCs/>
        </w:rPr>
        <w:t xml:space="preserve">Email: </w:t>
      </w:r>
      <w:r>
        <w:rPr>
          <w:b w:val="false"/>
          <w:bCs w:val="false"/>
        </w:rPr>
        <w:t>abaruah289@gmail.com</w:t>
      </w:r>
    </w:p>
    <w:p>
      <w:pPr>
        <w:pStyle w:val="BodyText"/>
        <w:rPr/>
      </w:pPr>
      <w:r>
        <w:rPr>
          <w:rStyle w:val="Strong"/>
        </w:rPr>
        <w:t>Project Mentor:</w:t>
      </w:r>
      <w:r>
        <w:rPr/>
        <w:t xml:space="preserve"> Saiprasad Kagne</w:t>
      </w:r>
    </w:p>
    <w:p>
      <w:pPr>
        <w:pStyle w:val="BodyText"/>
        <w:rPr/>
      </w:pPr>
      <w:r>
        <w:rPr>
          <w:b/>
          <w:bCs/>
        </w:rPr>
        <w:t>Email:</w:t>
      </w:r>
      <w:r>
        <w:rPr/>
        <w:t xml:space="preserve"> saikagne2601@gmail.com</w:t>
      </w:r>
    </w:p>
    <w:p>
      <w:pPr>
        <w:pStyle w:val="Normal"/>
        <w:spacing w:lineRule="auto" w:line="264" w:before="0" w:after="60"/>
        <w:jc w:val="start"/>
        <w:rPr>
          <w:rFonts w:ascii="Times New Roman" w:hAnsi="Times New Roman" w:eastAsia="Times New Roman" w:cs="Times New Roman"/>
          <w:b w:val="false"/>
          <w:bCs w:val="false"/>
          <w:i/>
          <w:iCs/>
          <w:caps w:val="false"/>
          <w:smallCaps w:val="false"/>
          <w:color w:val="555555"/>
          <w:sz w:val="21"/>
          <w:szCs w:val="21"/>
        </w:rPr>
      </w:pPr>
      <w:r>
        <w:rPr>
          <w:rFonts w:eastAsia="Times New Roman" w:cs="Times New Roman"/>
          <w:b w:val="false"/>
          <w:bCs w:val="false"/>
          <w:i/>
          <w:iCs/>
          <w:caps w:val="false"/>
          <w:smallCaps w:val="false"/>
          <w:color w:val="555555"/>
          <w:sz w:val="21"/>
          <w:szCs w:val="21"/>
        </w:rPr>
        <w:t>Submitted in partial fulfillment of the requirements for the Data Analyst Internship Programme at Unified Mentor.</w:t>
      </w:r>
    </w:p>
    <w:p>
      <w:pPr>
        <w:pStyle w:val="Heading1"/>
        <w:rPr>
          <w:u w:val="single"/>
        </w:rPr>
      </w:pPr>
      <w:r>
        <w:rPr>
          <w:u w:val="single"/>
        </w:rPr>
        <w:t>Abstract</w:t>
      </w:r>
    </w:p>
    <w:p>
      <w:pPr>
        <w:pStyle w:val="BodyText"/>
        <w:spacing w:lineRule="auto" w:line="288" w:before="0" w:after="120"/>
        <w:ind w:hanging="0"/>
        <w:jc w:val="start"/>
        <w:rPr>
          <w:rFonts w:ascii="Times New Roman" w:hAnsi="Times New Roman"/>
        </w:rPr>
      </w:pPr>
      <w:r>
        <w:rPr>
          <w:rFonts w:eastAsia="Times New Roman" w:cs="Times New Roman"/>
          <w:b w:val="false"/>
          <w:bCs w:val="false"/>
          <w:i w:val="false"/>
          <w:iCs w:val="false"/>
          <w:caps w:val="false"/>
          <w:smallCaps w:val="false"/>
          <w:color w:val="000000"/>
          <w:sz w:val="21"/>
          <w:szCs w:val="21"/>
        </w:rPr>
        <w:t>Delivery delays are a persistent and costly problem in global logistics, primarily due to the lack of proactive risk identification before shipment. This study presents a machine learning pipeline developed for APL Logistics to generate pre-shipment delivery risk scores across 180,519 historical records drawn from global operations.</w:t>
      </w:r>
    </w:p>
    <w:p>
      <w:pPr>
        <w:pStyle w:val="BodyText"/>
        <w:spacing w:lineRule="auto" w:line="288" w:before="0" w:after="120"/>
        <w:jc w:val="start"/>
        <w:rPr>
          <w:rFonts w:ascii="Times New Roman" w:hAnsi="Times New Roman"/>
        </w:rPr>
      </w:pPr>
      <w:r>
        <w:rPr>
          <w:color w:val="000000"/>
          <w:sz w:val="21"/>
          <w:szCs w:val="21"/>
        </w:rPr>
        <w:t>Logistic Regression, Random Forest, and XGBoost models are used to estimate the probability of late delivery on a 0–1 scale and classify orders into three risk tiers: Low (&lt;0.30), Medium (0.30–0.60), and High (&gt;0.60). The pipeline addresses key methodological challenges in applied machine learning, including data leakage, improper application of SMOTE, and the use of random splits in temporally structured data.</w:t>
      </w:r>
    </w:p>
    <w:p>
      <w:pPr>
        <w:pStyle w:val="BodyText"/>
        <w:spacing w:lineRule="auto" w:line="288" w:before="0" w:after="120"/>
        <w:jc w:val="start"/>
        <w:rPr>
          <w:rFonts w:ascii="Times New Roman" w:hAnsi="Times New Roman"/>
        </w:rPr>
      </w:pPr>
      <w:r>
        <w:rPr>
          <w:color w:val="000000"/>
          <w:sz w:val="21"/>
          <w:szCs w:val="21"/>
        </w:rPr>
        <w:t>High-cardinality features are handled using a smoothed m-estimate target encoder, while SMOTE is applied within each cross-validation fold using an ImbPipeline to prevent synthetic data leakage. Model evaluation is performed using TimeSeriesSplit to ensure realistic performance on future data.</w:t>
      </w:r>
    </w:p>
    <w:p>
      <w:pPr>
        <w:pStyle w:val="BodyText"/>
        <w:spacing w:lineRule="auto" w:line="288" w:before="0" w:after="120"/>
        <w:jc w:val="start"/>
        <w:rPr>
          <w:rFonts w:ascii="Times New Roman" w:hAnsi="Times New Roman"/>
        </w:rPr>
      </w:pPr>
      <w:r>
        <w:rPr>
          <w:color w:val="000000"/>
          <w:sz w:val="21"/>
          <w:szCs w:val="21"/>
        </w:rPr>
        <w:t>Random Forest achieved the best performance on a chronological hold-out test set, with a ROC-AUC of 0.7435. At the operational threshold of 0.35, the model achieves a Recall of 0.816, Precision of 0.627, and F1 score of 0.709, flagging 71.8% of orders for review. Across all scored orders, 35.2% are classified as High-risk, 54.9% as Medium-risk, and 9.9% as Low-risk, with an average predicted probability of 52.6%.</w:t>
      </w:r>
    </w:p>
    <w:p>
      <w:pPr>
        <w:pStyle w:val="BodyText"/>
        <w:spacing w:lineRule="auto" w:line="288" w:before="0" w:after="120"/>
        <w:jc w:val="start"/>
        <w:rPr>
          <w:rFonts w:ascii="Times New Roman" w:hAnsi="Times New Roman"/>
        </w:rPr>
      </w:pPr>
      <w:r>
        <w:rPr>
          <w:color w:val="000000"/>
          <w:sz w:val="21"/>
          <w:szCs w:val="21"/>
        </w:rPr>
        <w:t>SHAP-based analysis identifies key drivers of delay risk, supporting model interpretability and operational decision-making.</w:t>
      </w:r>
    </w:p>
    <w:p>
      <w:pPr>
        <w:pStyle w:val="BodyText"/>
        <w:spacing w:lineRule="auto" w:line="288" w:before="0" w:after="120"/>
        <w:jc w:val="start"/>
        <w:rPr/>
      </w:pPr>
      <w:r>
        <w:rPr>
          <w:rStyle w:val="Strong"/>
          <w:color w:val="000000"/>
          <w:sz w:val="21"/>
          <w:szCs w:val="21"/>
        </w:rPr>
        <w:t>Keywords:</w:t>
      </w:r>
      <w:r>
        <w:rPr>
          <w:color w:val="000000"/>
          <w:sz w:val="21"/>
          <w:szCs w:val="21"/>
        </w:rPr>
        <w:t xml:space="preserve"> supply chain analytics, late delivery prediction, Random Forest, SMOTE, TimeSeriesSplit, SHAP, ImbPipeline, risk classification, target encoding, operations intelligence</w:t>
      </w:r>
      <w:r>
        <w:br w:type="page"/>
      </w:r>
    </w:p>
    <w:p>
      <w:pPr>
        <w:pStyle w:val="BodyText"/>
        <w:spacing w:lineRule="auto" w:line="288" w:before="0" w:after="120"/>
        <w:jc w:val="start"/>
        <w:rPr>
          <w:color w:val="000000"/>
          <w:sz w:val="21"/>
          <w:szCs w:val="21"/>
        </w:rPr>
      </w:pPr>
      <w:r>
        <w:rPr>
          <w:color w:val="000000"/>
          <w:sz w:val="21"/>
          <w:szCs w:val="21"/>
        </w:rPr>
      </w:r>
    </w:p>
    <w:p>
      <w:pPr>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0"/>
        </w:sectPr>
      </w:pPr>
    </w:p>
    <w:p>
      <w:pPr>
        <w:pStyle w:val="Heading1"/>
        <w:pBdr>
          <w:bottom w:val="single" w:sz="6" w:space="4" w:color="3A7FC1"/>
        </w:pBdr>
        <w:spacing w:lineRule="auto" w:line="264" w:before="320" w:after="120"/>
        <w:jc w:val="start"/>
        <w:rPr>
          <w:rFonts w:ascii="Times New Roman" w:hAnsi="Times New Roman"/>
        </w:rPr>
      </w:pPr>
      <w:r>
        <w:rPr>
          <w:rFonts w:eastAsia="Arial" w:cs="Arial" w:ascii="Times New Roman" w:hAnsi="Times New Roman"/>
          <w:b/>
          <w:bCs/>
          <w:i w:val="false"/>
          <w:iCs w:val="false"/>
          <w:caps w:val="false"/>
          <w:smallCaps w:val="false"/>
          <w:color w:val="1A3560"/>
          <w:sz w:val="26"/>
          <w:szCs w:val="26"/>
        </w:rPr>
        <w:t>1. Introduction</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 xml:space="preserve">Late deliveries in global logistics networks lead to SLA breaches, financial penalties, and customer churn. A 2023 McKinsey analysis of supply chain operations estimated that reactive delay management handling disruptions after they occur rather than before adds between 15% and 25% to total logistics costs for large 3PL operators. While the data required to anticipate such delays often exists, the tools to convert it into forward-looking signals are typically lacking. In contrast, early identification of potential delays enables proactive actions such as rerouting, reprioritization, and timely customer communication. </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 xml:space="preserve">APL Logistics faces challenges including unpredictable shipment delays, high costs associated with last-minute corrective actions, and limited ability to prioritize high-risk orders. The organization lacks a predictive system to flag late-delivery risk in advance, generate quantitative risk scores for planning, and provide explainable insights into the key drivers of delays. </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 xml:space="preserve">APL Logistics operates across major global markets, processing tens of thousands of orders monthly across diverse shipping modes, customer segments, and geographies. While existing reporting effectively captures historical delay rates, it does not provide an order-level risk score prior to dispatch—one that enables operations teams to identify which orders in the upcoming queue are most likely to be delayed and require intervention. </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 xml:space="preserve">This study addresses this gap by developing a system that assigns each order a probability of late delivery on a 0–1 scale, classifies orders into Low, Medium, and High risk tiers, and presents a prioritized action queue through a Streamlit dashboard. The paper documents the full methodology, including data preparation, feature engineering, model development, evaluation, and system limitations. </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 xml:space="preserve">The remainder of the paper is structured as follows: Section 2 covers  the description of the dataset, Section 3 details the methodology, Section 4 presents results and operational insights, and Sections 5 through 8 discuss explainability, dashboard implementation, limitations, and conclusions. </w:t>
      </w:r>
    </w:p>
    <w:p>
      <w:pPr>
        <w:pStyle w:val="Heading1"/>
        <w:pBdr>
          <w:bottom w:val="single" w:sz="6" w:space="4" w:color="3A7FC1"/>
        </w:pBdr>
        <w:spacing w:lineRule="auto" w:line="264" w:before="320" w:after="120"/>
        <w:jc w:val="start"/>
        <w:rPr>
          <w:rFonts w:ascii="Times New Roman" w:hAnsi="Times New Roman"/>
        </w:rPr>
      </w:pPr>
      <w:r>
        <w:rPr>
          <w:rFonts w:eastAsia="Arial" w:cs="Arial" w:ascii="Times New Roman" w:hAnsi="Times New Roman"/>
          <w:b/>
          <w:bCs/>
          <w:i w:val="false"/>
          <w:iCs w:val="false"/>
          <w:caps w:val="false"/>
          <w:smallCaps w:val="false"/>
          <w:color w:val="1A3560"/>
          <w:sz w:val="26"/>
          <w:szCs w:val="26"/>
        </w:rPr>
        <w:t>2. Dataset Description</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The dataset comprised 180,519 orders across 40 original feature columns. The target variable  Late_delivery_risk  is a binary indicator: 1 for orders where the actual shipping duration exceeded the scheduled duration, and 0 otherwise.</w:t>
      </w:r>
    </w:p>
    <w:p>
      <w:pPr>
        <w:pStyle w:val="Heading2"/>
        <w:spacing w:lineRule="auto" w:line="264" w:before="200" w:after="80"/>
        <w:jc w:val="start"/>
        <w:rPr>
          <w:rFonts w:ascii="Times New Roman" w:hAnsi="Times New Roman"/>
        </w:rPr>
      </w:pPr>
      <w:r>
        <w:rPr>
          <w:rFonts w:eastAsia="Arial" w:cs="Arial" w:ascii="Times New Roman" w:hAnsi="Times New Roman"/>
          <w:b/>
          <w:bCs/>
          <w:i w:val="false"/>
          <w:iCs w:val="false"/>
          <w:caps w:val="false"/>
          <w:smallCaps w:val="false"/>
          <w:color w:val="2B5F9E"/>
          <w:sz w:val="23"/>
          <w:szCs w:val="23"/>
        </w:rPr>
        <w:t>2.1 Field Overview</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The raw columns fall into six natural groups. Financial fields include per-item discount amount and rate, product price, and per-order profit and benefit figures. Logistics fields include scheduled shipping duration, shipping mode (Standard Class, Second Class, First Class, Same Day), and delivery status. Geographic fields cover customer and order city, state, country, and broader market region. Order detail fields include item quantity, order total, and category identifiers. Six post-delivery columns,  actual shipping duration, delivery status, order status, and realized profit fields were removed as data leakage. Nine PII and identifier columns were removed as carrying no predictive signal.</w:t>
      </w:r>
    </w:p>
    <w:p>
      <w:pPr>
        <w:pStyle w:val="Normal"/>
        <w:spacing w:lineRule="auto" w:line="264" w:before="0" w:after="100"/>
        <w:jc w:val="start"/>
        <w:rPr>
          <w:rFonts w:ascii="Times New Roman" w:hAnsi="Times New Roman"/>
        </w:rPr>
      </w:pPr>
      <w:r>
        <w:rPr/>
      </w:r>
    </w:p>
    <w:tbl>
      <w:tblPr>
        <w:tblW w:w="4320" w:type="dxa"/>
        <w:jc w:val="start"/>
        <w:tblInd w:w="0" w:type="dxa"/>
        <w:tblLayout w:type="fixed"/>
        <w:tblCellMar>
          <w:top w:w="80" w:type="dxa"/>
          <w:start w:w="110" w:type="dxa"/>
          <w:bottom w:w="80" w:type="dxa"/>
          <w:end w:w="110" w:type="dxa"/>
        </w:tblCellMar>
      </w:tblPr>
      <w:tblGrid>
        <w:gridCol w:w="1260"/>
        <w:gridCol w:w="1999"/>
        <w:gridCol w:w="1061"/>
      </w:tblGrid>
      <w:tr>
        <w:trPr>
          <w:tblHeader w:val="true"/>
        </w:trPr>
        <w:tc>
          <w:tcPr>
            <w:tcW w:w="1260" w:type="dxa"/>
            <w:tcBorders>
              <w:top w:val="single" w:sz="6" w:space="0" w:color="1A3560"/>
              <w:start w:val="single" w:sz="6" w:space="0" w:color="1A3560"/>
              <w:bottom w:val="single" w:sz="6" w:space="0" w:color="1A3560"/>
              <w:end w:val="single" w:sz="6" w:space="0" w:color="1A3560"/>
            </w:tcBorders>
            <w:shd w:fill="1A3560" w:val="clear"/>
          </w:tcPr>
          <w:p>
            <w:pPr>
              <w:pStyle w:val="Normal"/>
              <w:spacing w:lineRule="auto" w:line="264" w:before="0" w:after="0"/>
              <w:jc w:val="start"/>
              <w:rPr>
                <w:rFonts w:ascii="Times New Roman" w:hAnsi="Times New Roman"/>
              </w:rPr>
            </w:pPr>
            <w:r>
              <w:rPr>
                <w:rFonts w:eastAsia="Arial" w:cs="Arial"/>
                <w:b/>
                <w:bCs/>
                <w:i w:val="false"/>
                <w:iCs w:val="false"/>
                <w:caps w:val="false"/>
                <w:smallCaps w:val="false"/>
                <w:color w:val="FFFFFF"/>
                <w:sz w:val="19"/>
                <w:szCs w:val="19"/>
              </w:rPr>
              <w:t>Field Category</w:t>
            </w:r>
          </w:p>
        </w:tc>
        <w:tc>
          <w:tcPr>
            <w:tcW w:w="1999" w:type="dxa"/>
            <w:tcBorders>
              <w:top w:val="single" w:sz="6" w:space="0" w:color="1A3560"/>
              <w:start w:val="single" w:sz="6" w:space="0" w:color="1A3560"/>
              <w:bottom w:val="single" w:sz="6" w:space="0" w:color="1A3560"/>
              <w:end w:val="single" w:sz="6" w:space="0" w:color="1A3560"/>
            </w:tcBorders>
            <w:shd w:fill="1A3560" w:val="clear"/>
          </w:tcPr>
          <w:p>
            <w:pPr>
              <w:pStyle w:val="Normal"/>
              <w:spacing w:lineRule="auto" w:line="264" w:before="0" w:after="0"/>
              <w:jc w:val="start"/>
              <w:rPr>
                <w:rFonts w:ascii="Times New Roman" w:hAnsi="Times New Roman"/>
              </w:rPr>
            </w:pPr>
            <w:r>
              <w:rPr>
                <w:rFonts w:eastAsia="Arial" w:cs="Arial"/>
                <w:b/>
                <w:bCs/>
                <w:i w:val="false"/>
                <w:iCs w:val="false"/>
                <w:caps w:val="false"/>
                <w:smallCaps w:val="false"/>
                <w:color w:val="FFFFFF"/>
                <w:sz w:val="19"/>
                <w:szCs w:val="19"/>
              </w:rPr>
              <w:t>Key Columns</w:t>
            </w:r>
          </w:p>
        </w:tc>
        <w:tc>
          <w:tcPr>
            <w:tcW w:w="1061" w:type="dxa"/>
            <w:tcBorders>
              <w:top w:val="single" w:sz="6" w:space="0" w:color="1A3560"/>
              <w:start w:val="single" w:sz="6" w:space="0" w:color="1A3560"/>
              <w:bottom w:val="single" w:sz="6" w:space="0" w:color="1A3560"/>
              <w:end w:val="single" w:sz="6" w:space="0" w:color="1A3560"/>
            </w:tcBorders>
            <w:shd w:fill="1A3560" w:val="clear"/>
          </w:tcPr>
          <w:p>
            <w:pPr>
              <w:pStyle w:val="Normal"/>
              <w:spacing w:lineRule="auto" w:line="264" w:before="0" w:after="0"/>
              <w:jc w:val="start"/>
              <w:rPr>
                <w:rFonts w:ascii="Times New Roman" w:hAnsi="Times New Roman"/>
              </w:rPr>
            </w:pPr>
            <w:r>
              <w:rPr>
                <w:rFonts w:eastAsia="Arial" w:cs="Arial"/>
                <w:b/>
                <w:bCs/>
                <w:i w:val="false"/>
                <w:iCs w:val="false"/>
                <w:caps w:val="false"/>
                <w:smallCaps w:val="false"/>
                <w:color w:val="FFFFFF"/>
                <w:sz w:val="19"/>
                <w:szCs w:val="19"/>
              </w:rPr>
              <w:t>Treatment</w:t>
            </w:r>
          </w:p>
        </w:tc>
      </w:tr>
      <w:tr>
        <w:trPr/>
        <w:tc>
          <w:tcPr>
            <w:tcW w:w="1260" w:type="dxa"/>
            <w:tcBorders>
              <w:top w:val="single" w:sz="4" w:space="0" w:color="BEDAEF"/>
              <w:start w:val="single" w:sz="4" w:space="0" w:color="BEDAEF"/>
              <w:bottom w:val="single" w:sz="4" w:space="0" w:color="BEDAEF"/>
              <w:end w:val="single" w:sz="4" w:space="0" w:color="BEDAEF"/>
            </w:tcBorders>
            <w:shd w:fill="EBF3FB" w:val="clear"/>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Target</w:t>
            </w:r>
          </w:p>
        </w:tc>
        <w:tc>
          <w:tcPr>
            <w:tcW w:w="1999" w:type="dxa"/>
            <w:tcBorders>
              <w:top w:val="single" w:sz="4" w:space="0" w:color="BEDAEF"/>
              <w:start w:val="single" w:sz="4" w:space="0" w:color="BEDAEF"/>
              <w:bottom w:val="single" w:sz="4" w:space="0" w:color="BEDAEF"/>
              <w:end w:val="single" w:sz="4" w:space="0" w:color="BEDAEF"/>
            </w:tcBorders>
            <w:shd w:fill="EBF3FB" w:val="clear"/>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Late_delivery_risk</w:t>
            </w:r>
          </w:p>
        </w:tc>
        <w:tc>
          <w:tcPr>
            <w:tcW w:w="1061" w:type="dxa"/>
            <w:tcBorders>
              <w:top w:val="single" w:sz="4" w:space="0" w:color="BEDAEF"/>
              <w:start w:val="single" w:sz="4" w:space="0" w:color="BEDAEF"/>
              <w:bottom w:val="single" w:sz="4" w:space="0" w:color="BEDAEF"/>
              <w:end w:val="single" w:sz="4" w:space="0" w:color="BEDAEF"/>
            </w:tcBorders>
            <w:shd w:fill="EBF3FB" w:val="clear"/>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Binary label (0/1)</w:t>
            </w:r>
          </w:p>
        </w:tc>
      </w:tr>
      <w:tr>
        <w:trPr/>
        <w:tc>
          <w:tcPr>
            <w:tcW w:w="1260" w:type="dxa"/>
            <w:tcBorders>
              <w:top w:val="single" w:sz="4" w:space="0" w:color="BEDAEF"/>
              <w:start w:val="single" w:sz="4" w:space="0" w:color="BEDAEF"/>
              <w:bottom w:val="single" w:sz="4" w:space="0" w:color="BEDAEF"/>
              <w:end w:val="single" w:sz="4" w:space="0" w:color="BEDAEF"/>
            </w:tcBorders>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Logistics</w:t>
            </w:r>
          </w:p>
        </w:tc>
        <w:tc>
          <w:tcPr>
            <w:tcW w:w="1999" w:type="dxa"/>
            <w:tcBorders>
              <w:top w:val="single" w:sz="4" w:space="0" w:color="BEDAEF"/>
              <w:start w:val="single" w:sz="4" w:space="0" w:color="BEDAEF"/>
              <w:bottom w:val="single" w:sz="4" w:space="0" w:color="BEDAEF"/>
              <w:end w:val="single" w:sz="4" w:space="0" w:color="BEDAEF"/>
            </w:tcBorders>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Days for shipment (scheduled), Shipping Mode</w:t>
            </w:r>
          </w:p>
        </w:tc>
        <w:tc>
          <w:tcPr>
            <w:tcW w:w="1061" w:type="dxa"/>
            <w:tcBorders>
              <w:top w:val="single" w:sz="4" w:space="0" w:color="BEDAEF"/>
              <w:start w:val="single" w:sz="4" w:space="0" w:color="BEDAEF"/>
              <w:bottom w:val="single" w:sz="4" w:space="0" w:color="BEDAEF"/>
              <w:end w:val="single" w:sz="4" w:space="0" w:color="BEDAEF"/>
            </w:tcBorders>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Core predictors</w:t>
            </w:r>
          </w:p>
        </w:tc>
      </w:tr>
      <w:tr>
        <w:trPr/>
        <w:tc>
          <w:tcPr>
            <w:tcW w:w="1260" w:type="dxa"/>
            <w:tcBorders>
              <w:top w:val="single" w:sz="4" w:space="0" w:color="BEDAEF"/>
              <w:start w:val="single" w:sz="4" w:space="0" w:color="BEDAEF"/>
              <w:bottom w:val="single" w:sz="4" w:space="0" w:color="BEDAEF"/>
              <w:end w:val="single" w:sz="4" w:space="0" w:color="BEDAEF"/>
            </w:tcBorders>
            <w:shd w:fill="EBF3FB" w:val="clear"/>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Financial</w:t>
            </w:r>
          </w:p>
        </w:tc>
        <w:tc>
          <w:tcPr>
            <w:tcW w:w="1999" w:type="dxa"/>
            <w:tcBorders>
              <w:top w:val="single" w:sz="4" w:space="0" w:color="BEDAEF"/>
              <w:start w:val="single" w:sz="4" w:space="0" w:color="BEDAEF"/>
              <w:bottom w:val="single" w:sz="4" w:space="0" w:color="BEDAEF"/>
              <w:end w:val="single" w:sz="4" w:space="0" w:color="BEDAEF"/>
            </w:tcBorders>
            <w:shd w:fill="EBF3FB" w:val="clear"/>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Benefit per order, Sales per customer, Discount Rate</w:t>
            </w:r>
          </w:p>
        </w:tc>
        <w:tc>
          <w:tcPr>
            <w:tcW w:w="1061" w:type="dxa"/>
            <w:tcBorders>
              <w:top w:val="single" w:sz="4" w:space="0" w:color="BEDAEF"/>
              <w:start w:val="single" w:sz="4" w:space="0" w:color="BEDAEF"/>
              <w:bottom w:val="single" w:sz="4" w:space="0" w:color="BEDAEF"/>
              <w:end w:val="single" w:sz="4" w:space="0" w:color="BEDAEF"/>
            </w:tcBorders>
            <w:shd w:fill="EBF3FB" w:val="clear"/>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Engineered features</w:t>
            </w:r>
          </w:p>
        </w:tc>
      </w:tr>
      <w:tr>
        <w:trPr/>
        <w:tc>
          <w:tcPr>
            <w:tcW w:w="1260" w:type="dxa"/>
            <w:tcBorders>
              <w:top w:val="single" w:sz="4" w:space="0" w:color="BEDAEF"/>
              <w:start w:val="single" w:sz="4" w:space="0" w:color="BEDAEF"/>
              <w:bottom w:val="single" w:sz="4" w:space="0" w:color="BEDAEF"/>
              <w:end w:val="single" w:sz="4" w:space="0" w:color="BEDAEF"/>
            </w:tcBorders>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Geographic</w:t>
            </w:r>
          </w:p>
        </w:tc>
        <w:tc>
          <w:tcPr>
            <w:tcW w:w="1999" w:type="dxa"/>
            <w:tcBorders>
              <w:top w:val="single" w:sz="4" w:space="0" w:color="BEDAEF"/>
              <w:start w:val="single" w:sz="4" w:space="0" w:color="BEDAEF"/>
              <w:bottom w:val="single" w:sz="4" w:space="0" w:color="BEDAEF"/>
              <w:end w:val="single" w:sz="4" w:space="0" w:color="BEDAEF"/>
            </w:tcBorders>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Order Region, Market, Country, State, City</w:t>
            </w:r>
          </w:p>
        </w:tc>
        <w:tc>
          <w:tcPr>
            <w:tcW w:w="1061" w:type="dxa"/>
            <w:tcBorders>
              <w:top w:val="single" w:sz="4" w:space="0" w:color="BEDAEF"/>
              <w:start w:val="single" w:sz="4" w:space="0" w:color="BEDAEF"/>
              <w:bottom w:val="single" w:sz="4" w:space="0" w:color="BEDAEF"/>
              <w:end w:val="single" w:sz="4" w:space="0" w:color="BEDAEF"/>
            </w:tcBorders>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Smoothed target encoding</w:t>
            </w:r>
          </w:p>
        </w:tc>
      </w:tr>
      <w:tr>
        <w:trPr/>
        <w:tc>
          <w:tcPr>
            <w:tcW w:w="1260" w:type="dxa"/>
            <w:tcBorders>
              <w:top w:val="single" w:sz="4" w:space="0" w:color="BEDAEF"/>
              <w:start w:val="single" w:sz="4" w:space="0" w:color="BEDAEF"/>
              <w:bottom w:val="single" w:sz="4" w:space="0" w:color="BEDAEF"/>
              <w:end w:val="single" w:sz="4" w:space="0" w:color="BEDAEF"/>
            </w:tcBorders>
            <w:shd w:fill="EBF3FB" w:val="clear"/>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Order Detail</w:t>
            </w:r>
          </w:p>
        </w:tc>
        <w:tc>
          <w:tcPr>
            <w:tcW w:w="1999" w:type="dxa"/>
            <w:tcBorders>
              <w:top w:val="single" w:sz="4" w:space="0" w:color="BEDAEF"/>
              <w:start w:val="single" w:sz="4" w:space="0" w:color="BEDAEF"/>
              <w:bottom w:val="single" w:sz="4" w:space="0" w:color="BEDAEF"/>
              <w:end w:val="single" w:sz="4" w:space="0" w:color="BEDAEF"/>
            </w:tcBorders>
            <w:shd w:fill="EBF3FB" w:val="clear"/>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Order Item Quantity, Order Item Total</w:t>
            </w:r>
          </w:p>
        </w:tc>
        <w:tc>
          <w:tcPr>
            <w:tcW w:w="1061" w:type="dxa"/>
            <w:tcBorders>
              <w:top w:val="single" w:sz="4" w:space="0" w:color="BEDAEF"/>
              <w:start w:val="single" w:sz="4" w:space="0" w:color="BEDAEF"/>
              <w:bottom w:val="single" w:sz="4" w:space="0" w:color="BEDAEF"/>
              <w:end w:val="single" w:sz="4" w:space="0" w:color="BEDAEF"/>
            </w:tcBorders>
            <w:shd w:fill="EBF3FB" w:val="clear"/>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Feature engineering</w:t>
            </w:r>
          </w:p>
        </w:tc>
      </w:tr>
      <w:tr>
        <w:trPr/>
        <w:tc>
          <w:tcPr>
            <w:tcW w:w="1260" w:type="dxa"/>
            <w:tcBorders>
              <w:top w:val="single" w:sz="4" w:space="0" w:color="BEDAEF"/>
              <w:start w:val="single" w:sz="4" w:space="0" w:color="BEDAEF"/>
              <w:bottom w:val="single" w:sz="4" w:space="0" w:color="BEDAEF"/>
              <w:end w:val="single" w:sz="4" w:space="0" w:color="BEDAEF"/>
            </w:tcBorders>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Leakage — removed</w:t>
            </w:r>
          </w:p>
        </w:tc>
        <w:tc>
          <w:tcPr>
            <w:tcW w:w="1999" w:type="dxa"/>
            <w:tcBorders>
              <w:top w:val="single" w:sz="4" w:space="0" w:color="BEDAEF"/>
              <w:start w:val="single" w:sz="4" w:space="0" w:color="BEDAEF"/>
              <w:bottom w:val="single" w:sz="4" w:space="0" w:color="BEDAEF"/>
              <w:end w:val="single" w:sz="4" w:space="0" w:color="BEDAEF"/>
            </w:tcBorders>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Days for shipping (real), Delivery Status</w:t>
            </w:r>
          </w:p>
        </w:tc>
        <w:tc>
          <w:tcPr>
            <w:tcW w:w="1061" w:type="dxa"/>
            <w:tcBorders>
              <w:top w:val="single" w:sz="4" w:space="0" w:color="BEDAEF"/>
              <w:start w:val="single" w:sz="4" w:space="0" w:color="BEDAEF"/>
              <w:bottom w:val="single" w:sz="4" w:space="0" w:color="BEDAEF"/>
              <w:end w:val="single" w:sz="4" w:space="0" w:color="BEDAEF"/>
            </w:tcBorders>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Post-delivery: excluded</w:t>
            </w:r>
          </w:p>
        </w:tc>
      </w:tr>
      <w:tr>
        <w:trPr/>
        <w:tc>
          <w:tcPr>
            <w:tcW w:w="1260" w:type="dxa"/>
            <w:tcBorders>
              <w:top w:val="single" w:sz="4" w:space="0" w:color="BEDAEF"/>
              <w:start w:val="single" w:sz="4" w:space="0" w:color="BEDAEF"/>
              <w:bottom w:val="single" w:sz="4" w:space="0" w:color="BEDAEF"/>
              <w:end w:val="single" w:sz="4" w:space="0" w:color="BEDAEF"/>
            </w:tcBorders>
            <w:shd w:fill="EBF3FB" w:val="clear"/>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PII / ID — removed</w:t>
            </w:r>
          </w:p>
        </w:tc>
        <w:tc>
          <w:tcPr>
            <w:tcW w:w="1999" w:type="dxa"/>
            <w:tcBorders>
              <w:top w:val="single" w:sz="4" w:space="0" w:color="BEDAEF"/>
              <w:start w:val="single" w:sz="4" w:space="0" w:color="BEDAEF"/>
              <w:bottom w:val="single" w:sz="4" w:space="0" w:color="BEDAEF"/>
              <w:end w:val="single" w:sz="4" w:space="0" w:color="BEDAEF"/>
            </w:tcBorders>
            <w:shd w:fill="EBF3FB" w:val="clear"/>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Customer Fname, Lname, Id, Zipcode</w:t>
            </w:r>
          </w:p>
        </w:tc>
        <w:tc>
          <w:tcPr>
            <w:tcW w:w="1061" w:type="dxa"/>
            <w:tcBorders>
              <w:top w:val="single" w:sz="4" w:space="0" w:color="BEDAEF"/>
              <w:start w:val="single" w:sz="4" w:space="0" w:color="BEDAEF"/>
              <w:bottom w:val="single" w:sz="4" w:space="0" w:color="BEDAEF"/>
              <w:end w:val="single" w:sz="4" w:space="0" w:color="BEDAEF"/>
            </w:tcBorders>
            <w:shd w:fill="EBF3FB" w:val="clear"/>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No predictive signal</w:t>
            </w:r>
          </w:p>
        </w:tc>
      </w:tr>
    </w:tbl>
    <w:p>
      <w:pPr>
        <w:pStyle w:val="Normal"/>
        <w:spacing w:lineRule="auto" w:line="264" w:before="60" w:after="160"/>
        <w:jc w:val="start"/>
        <w:rPr>
          <w:rFonts w:ascii="Times New Roman" w:hAnsi="Times New Roman"/>
        </w:rPr>
      </w:pPr>
      <w:r>
        <w:rPr>
          <w:rFonts w:eastAsia="Times New Roman" w:cs="Times New Roman"/>
          <w:b w:val="false"/>
          <w:bCs w:val="false"/>
          <w:i/>
          <w:iCs/>
          <w:caps w:val="false"/>
          <w:smallCaps w:val="false"/>
          <w:color w:val="555555"/>
          <w:sz w:val="19"/>
          <w:szCs w:val="19"/>
        </w:rPr>
        <w:t>Table 1. Dataset field categories and their treatment in the pipeline.</w:t>
      </w:r>
    </w:p>
    <w:p>
      <w:pPr>
        <w:pStyle w:val="Heading2"/>
        <w:spacing w:lineRule="auto" w:line="264" w:before="200" w:after="80"/>
        <w:jc w:val="start"/>
        <w:rPr>
          <w:rFonts w:ascii="Times New Roman" w:hAnsi="Times New Roman"/>
        </w:rPr>
      </w:pPr>
      <w:r>
        <w:rPr>
          <w:rFonts w:eastAsia="Arial" w:cs="Arial" w:ascii="Times New Roman" w:hAnsi="Times New Roman"/>
          <w:b/>
          <w:bCs/>
          <w:i w:val="false"/>
          <w:iCs w:val="false"/>
          <w:caps w:val="false"/>
          <w:smallCaps w:val="false"/>
          <w:color w:val="2B5F9E"/>
          <w:sz w:val="23"/>
          <w:szCs w:val="23"/>
        </w:rPr>
        <w:t>2.2 Class Balance</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The target variable is moderately imbalanced: approximately 54% of orders are labeled late and 46% on time. This ratio is less extreme than many real-world classification datasets, but still sufficient to affect model calibration if unaddressed. One caveat worth naming: the label is constructed from schedule slippage (actual duration vs. scheduled), not from a customer-facing SLA threshold. A model trained on this target is technically predicting internal schedule adherence, which is correlated with customer-visible delays but not identical to them. This distinction matters for how the outputs should be interpreted in practice.</w:t>
      </w:r>
    </w:p>
    <w:p>
      <w:pPr>
        <w:pStyle w:val="Heading2"/>
        <w:spacing w:lineRule="auto" w:line="264" w:before="200" w:after="80"/>
        <w:jc w:val="start"/>
        <w:rPr>
          <w:rFonts w:ascii="Times New Roman" w:hAnsi="Times New Roman"/>
        </w:rPr>
      </w:pPr>
      <w:r>
        <w:rPr>
          <w:rFonts w:eastAsia="Arial" w:cs="Arial" w:ascii="Times New Roman" w:hAnsi="Times New Roman"/>
          <w:b/>
          <w:bCs/>
          <w:i w:val="false"/>
          <w:iCs w:val="false"/>
          <w:caps w:val="false"/>
          <w:smallCaps w:val="false"/>
          <w:color w:val="2B5F9E"/>
          <w:sz w:val="23"/>
          <w:szCs w:val="23"/>
        </w:rPr>
        <w:t>2.3 Data Quality</w:t>
      </w:r>
    </w:p>
    <w:p>
      <w:pPr>
        <w:pStyle w:val="BodyText"/>
        <w:spacing w:lineRule="auto" w:line="288" w:before="0" w:after="120"/>
        <w:ind w:firstLine="440"/>
        <w:jc w:val="start"/>
        <w:rPr/>
      </w:pPr>
      <w:r>
        <w:rPr>
          <w:rFonts w:eastAsia="Times New Roman" w:cs="Times New Roman"/>
          <w:b w:val="false"/>
          <w:bCs w:val="false"/>
          <w:i w:val="false"/>
          <w:iCs w:val="false"/>
          <w:caps w:val="false"/>
          <w:smallCaps w:val="false"/>
          <w:color w:val="000000"/>
          <w:sz w:val="22"/>
          <w:szCs w:val="22"/>
        </w:rPr>
        <w:t xml:space="preserve">Missing values were limited to a small number of columns, specifically </w:t>
      </w:r>
      <w:r>
        <w:rPr>
          <w:rStyle w:val="Emphasis"/>
          <w:rFonts w:eastAsia="Times New Roman" w:cs="Times New Roman"/>
          <w:b w:val="false"/>
          <w:bCs w:val="false"/>
          <w:caps w:val="false"/>
          <w:smallCaps w:val="false"/>
          <w:color w:val="000000"/>
          <w:sz w:val="22"/>
          <w:szCs w:val="22"/>
        </w:rPr>
        <w:t>Customer Zipcode</w:t>
      </w:r>
      <w:r>
        <w:rPr>
          <w:rFonts w:eastAsia="Times New Roman" w:cs="Times New Roman"/>
          <w:b w:val="false"/>
          <w:bCs w:val="false"/>
          <w:i w:val="false"/>
          <w:iCs w:val="false"/>
          <w:caps w:val="false"/>
          <w:smallCaps w:val="false"/>
          <w:color w:val="000000"/>
          <w:sz w:val="22"/>
          <w:szCs w:val="22"/>
        </w:rPr>
        <w:t xml:space="preserve"> and </w:t>
      </w:r>
      <w:r>
        <w:rPr>
          <w:rStyle w:val="Emphasis"/>
          <w:rFonts w:eastAsia="Times New Roman" w:cs="Times New Roman"/>
          <w:b w:val="false"/>
          <w:bCs w:val="false"/>
          <w:caps w:val="false"/>
          <w:smallCaps w:val="false"/>
          <w:color w:val="000000"/>
          <w:sz w:val="22"/>
          <w:szCs w:val="22"/>
        </w:rPr>
        <w:t>Customer Lname</w:t>
      </w:r>
      <w:r>
        <w:rPr>
          <w:rFonts w:eastAsia="Times New Roman" w:cs="Times New Roman"/>
          <w:b w:val="false"/>
          <w:bCs w:val="false"/>
          <w:i w:val="false"/>
          <w:iCs w:val="false"/>
          <w:caps w:val="false"/>
          <w:smallCaps w:val="false"/>
          <w:color w:val="000000"/>
          <w:sz w:val="22"/>
          <w:szCs w:val="22"/>
        </w:rPr>
        <w:t xml:space="preserve">, both of which are categorical features. These were imputed using a constant placeholder value of </w:t>
      </w:r>
      <w:r>
        <w:rPr>
          <w:rStyle w:val="Strong"/>
          <w:rFonts w:eastAsia="Times New Roman" w:cs="Times New Roman"/>
          <w:i w:val="false"/>
          <w:iCs w:val="false"/>
          <w:caps w:val="false"/>
          <w:smallCaps w:val="false"/>
          <w:color w:val="000000"/>
          <w:sz w:val="22"/>
          <w:szCs w:val="22"/>
        </w:rPr>
        <w:t>"Unknown"</w:t>
      </w:r>
      <w:r>
        <w:rPr>
          <w:rFonts w:eastAsia="Times New Roman" w:cs="Times New Roman"/>
          <w:b w:val="false"/>
          <w:bCs w:val="false"/>
          <w:i w:val="false"/>
          <w:iCs w:val="false"/>
          <w:caps w:val="false"/>
          <w:smallCaps w:val="false"/>
          <w:color w:val="000000"/>
          <w:sz w:val="22"/>
          <w:szCs w:val="22"/>
        </w:rPr>
        <w:t>.</w:t>
      </w:r>
    </w:p>
    <w:p>
      <w:pPr>
        <w:pStyle w:val="BodyText"/>
        <w:spacing w:lineRule="auto" w:line="288" w:before="0" w:after="120"/>
        <w:ind w:firstLine="440"/>
        <w:jc w:val="start"/>
        <w:rPr/>
      </w:pPr>
      <w:r>
        <w:rPr>
          <w:rStyle w:val="Emphasis"/>
          <w:color w:val="000000"/>
        </w:rPr>
        <w:t>Order Item Profit Ratio</w:t>
      </w:r>
      <w:r>
        <w:rPr>
          <w:color w:val="000000"/>
        </w:rPr>
        <w:t xml:space="preserve"> exhibited a pronounced left-skewed distribution, indicating the presence of heavily discounted orders. No transformation was applied, as tree-based models are generally insensitive to feature scaling and distribution. No duplicate records were identified in the dataset.</w:t>
      </w:r>
    </w:p>
    <w:p>
      <w:pPr>
        <w:pStyle w:val="Heading1"/>
        <w:pBdr>
          <w:bottom w:val="single" w:sz="6" w:space="4" w:color="3A7FC1"/>
        </w:pBdr>
        <w:spacing w:lineRule="auto" w:line="264" w:before="320" w:after="120"/>
        <w:jc w:val="start"/>
        <w:rPr>
          <w:rFonts w:ascii="Times New Roman" w:hAnsi="Times New Roman"/>
        </w:rPr>
      </w:pPr>
      <w:r>
        <w:rPr>
          <w:rFonts w:eastAsia="Arial" w:cs="Arial" w:ascii="Times New Roman" w:hAnsi="Times New Roman"/>
          <w:b/>
          <w:bCs/>
          <w:i w:val="false"/>
          <w:iCs w:val="false"/>
          <w:caps w:val="false"/>
          <w:smallCaps w:val="false"/>
          <w:color w:val="1A3560"/>
          <w:sz w:val="26"/>
          <w:szCs w:val="26"/>
        </w:rPr>
        <w:t>3. Methodology</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The pipeline was organized around a single principle: every transformation that depends on training labels — encoding, imputation statistics, class balancing — must be estimated from training data only, then applied to test data using those stored estimates. This principle is easy to state and surprisingly easy to violate in practice. Each sub-section below documents the specific implementation choices made to maintain it.</w:t>
      </w:r>
    </w:p>
    <w:p>
      <w:pPr>
        <w:pStyle w:val="Heading2"/>
        <w:spacing w:lineRule="auto" w:line="264" w:before="200" w:after="80"/>
        <w:jc w:val="start"/>
        <w:rPr>
          <w:rFonts w:ascii="Times New Roman" w:hAnsi="Times New Roman"/>
        </w:rPr>
      </w:pPr>
      <w:r>
        <w:rPr>
          <w:rFonts w:eastAsia="Arial" w:cs="Arial" w:ascii="Times New Roman" w:hAnsi="Times New Roman"/>
          <w:b/>
          <w:bCs/>
          <w:i w:val="false"/>
          <w:iCs w:val="false"/>
          <w:caps w:val="false"/>
          <w:smallCaps w:val="false"/>
          <w:color w:val="2B5F9E"/>
          <w:sz w:val="23"/>
          <w:szCs w:val="23"/>
        </w:rPr>
        <w:t>3.1 Data Cleaning</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After treating missing values, six columns were removed as post-delivery leakage: Days for shipping (real), Delivery Status, Order Status, Order Profit Per Order, Order Item Profit Ratio, and a derived shipping_gap column. These fields are observationally associated with the target in historical data, an order that took longer than scheduled is, almost by definition, likely to be labeled late but they would be unavailable at scoring time, making them useless for pre-shipment prediction and actively deceptive in training.</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 xml:space="preserve">Nine PII and identifier columns were also dropped: Customer Fname, Customer Lname, Customer Street, Customer Zipcode, Customer Id, Order Customer Id, Product Name, Latitude, and Longitude. Product Name was excluded due to excessive cardinality with no direct </w:t>
      </w:r>
      <w:r>
        <w:rPr>
          <w:rFonts w:eastAsia="Times New Roman" w:cs="Times New Roman"/>
          <w:b w:val="false"/>
          <w:bCs w:val="false"/>
          <w:i w:val="false"/>
          <w:iCs w:val="false"/>
          <w:caps w:val="false"/>
          <w:smallCaps w:val="false"/>
          <w:color w:val="000000"/>
          <w:sz w:val="22"/>
          <w:szCs w:val="22"/>
          <w:lang w:val="en-US"/>
        </w:rPr>
        <w:t>path</w:t>
      </w:r>
      <w:r>
        <w:rPr>
          <w:rFonts w:eastAsia="Times New Roman" w:cs="Times New Roman"/>
          <w:b w:val="false"/>
          <w:bCs w:val="false"/>
          <w:i w:val="false"/>
          <w:iCs w:val="false"/>
          <w:caps w:val="false"/>
          <w:smallCaps w:val="false"/>
          <w:color w:val="000000"/>
          <w:sz w:val="22"/>
          <w:szCs w:val="22"/>
        </w:rPr>
        <w:t xml:space="preserve"> to a clean encoding. Latitude and Longitude were excluded as redundant with the regional and country-level encodings.</w:t>
      </w:r>
    </w:p>
    <w:p>
      <w:pPr>
        <w:pStyle w:val="Heading2"/>
        <w:spacing w:lineRule="auto" w:line="264" w:before="200" w:after="80"/>
        <w:jc w:val="start"/>
        <w:rPr>
          <w:rFonts w:ascii="Times New Roman" w:hAnsi="Times New Roman"/>
        </w:rPr>
      </w:pPr>
      <w:r>
        <w:rPr>
          <w:rFonts w:eastAsia="Arial" w:cs="Arial" w:ascii="Times New Roman" w:hAnsi="Times New Roman"/>
          <w:b/>
          <w:bCs/>
          <w:i w:val="false"/>
          <w:iCs w:val="false"/>
          <w:caps w:val="false"/>
          <w:smallCaps w:val="false"/>
          <w:color w:val="2B5F9E"/>
          <w:sz w:val="23"/>
          <w:szCs w:val="23"/>
        </w:rPr>
        <w:t>3.2 Feature Engineering</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Eleven features were constructed on top of the cleaned raw columns. The reasoning behind each follows.</w:t>
      </w:r>
    </w:p>
    <w:p>
      <w:pPr>
        <w:pStyle w:val="Normal"/>
        <w:spacing w:lineRule="auto" w:line="288" w:before="0" w:after="120"/>
        <w:ind w:firstLine="440"/>
        <w:jc w:val="start"/>
        <w:rPr>
          <w:rFonts w:ascii="Times New Roman" w:hAnsi="Times New Roman"/>
        </w:rPr>
      </w:pPr>
      <w:r>
        <w:rPr>
          <w:rFonts w:eastAsia="Times New Roman" w:cs="Times New Roman"/>
          <w:b/>
          <w:bCs/>
          <w:i w:val="false"/>
          <w:iCs w:val="false"/>
          <w:caps w:val="false"/>
          <w:smallCaps w:val="false"/>
          <w:color w:val="000000"/>
          <w:sz w:val="22"/>
          <w:szCs w:val="22"/>
        </w:rPr>
        <w:t>shipping_pressure</w:t>
      </w:r>
      <w:r>
        <w:rPr>
          <w:rFonts w:eastAsia="Times New Roman" w:cs="Times New Roman"/>
          <w:b w:val="false"/>
          <w:bCs w:val="false"/>
          <w:i w:val="false"/>
          <w:iCs w:val="false"/>
          <w:caps w:val="false"/>
          <w:smallCaps w:val="false"/>
          <w:color w:val="000000"/>
          <w:sz w:val="22"/>
          <w:szCs w:val="22"/>
        </w:rPr>
        <w:t xml:space="preserve"> = Order Item Quantity / (Days for shipment (scheduled) + 1). This captures the interaction between order volume and timeline tightness in a single number. An order of 50 units on a two-day schedule is fundamentally different in risk profile from the same order on a ten-day schedule; a simple quantity feature would miss that entirely.</w:t>
      </w:r>
    </w:p>
    <w:p>
      <w:pPr>
        <w:pStyle w:val="Normal"/>
        <w:spacing w:lineRule="auto" w:line="288" w:before="0" w:after="120"/>
        <w:ind w:firstLine="440"/>
        <w:jc w:val="start"/>
        <w:rPr>
          <w:rFonts w:ascii="Times New Roman" w:hAnsi="Times New Roman"/>
        </w:rPr>
      </w:pPr>
      <w:r>
        <w:rPr>
          <w:rFonts w:eastAsia="Times New Roman" w:cs="Times New Roman"/>
          <w:b/>
          <w:bCs/>
          <w:i w:val="false"/>
          <w:iCs w:val="false"/>
          <w:caps w:val="false"/>
          <w:smallCaps w:val="false"/>
          <w:color w:val="000000"/>
          <w:sz w:val="22"/>
          <w:szCs w:val="22"/>
        </w:rPr>
        <w:t>schedule_tight</w:t>
      </w:r>
      <w:r>
        <w:rPr>
          <w:rFonts w:eastAsia="Times New Roman" w:cs="Times New Roman"/>
          <w:b w:val="false"/>
          <w:bCs w:val="false"/>
          <w:i w:val="false"/>
          <w:iCs w:val="false"/>
          <w:caps w:val="false"/>
          <w:smallCaps w:val="false"/>
          <w:color w:val="000000"/>
          <w:sz w:val="22"/>
          <w:szCs w:val="22"/>
        </w:rPr>
        <w:t xml:space="preserve"> is a binary flag set to 1 when scheduled days fall below the training-set median. It provides a discrete signal for the most time-constrained orders and proved to be among the strongest individual predictors.</w:t>
      </w:r>
    </w:p>
    <w:p>
      <w:pPr>
        <w:pStyle w:val="Normal"/>
        <w:spacing w:lineRule="auto" w:line="288" w:before="0" w:after="120"/>
        <w:ind w:firstLine="440"/>
        <w:jc w:val="start"/>
        <w:rPr>
          <w:rFonts w:ascii="Times New Roman" w:hAnsi="Times New Roman"/>
        </w:rPr>
      </w:pPr>
      <w:r>
        <w:rPr>
          <w:rFonts w:eastAsia="Times New Roman" w:cs="Times New Roman"/>
          <w:b/>
          <w:bCs/>
          <w:i w:val="false"/>
          <w:iCs w:val="false"/>
          <w:caps w:val="false"/>
          <w:smallCaps w:val="false"/>
          <w:color w:val="000000"/>
          <w:sz w:val="22"/>
          <w:szCs w:val="22"/>
        </w:rPr>
        <w:t>is_express</w:t>
      </w:r>
      <w:r>
        <w:rPr>
          <w:rFonts w:eastAsia="Times New Roman" w:cs="Times New Roman"/>
          <w:b w:val="false"/>
          <w:bCs w:val="false"/>
          <w:i w:val="false"/>
          <w:iCs w:val="false"/>
          <w:caps w:val="false"/>
          <w:smallCaps w:val="false"/>
          <w:color w:val="000000"/>
          <w:sz w:val="22"/>
          <w:szCs w:val="22"/>
        </w:rPr>
        <w:t xml:space="preserve"> flags whether the shipping mode contains 'Express'. Express and Same Day shipments historically show substantially lower delay rates; this binary captures that split without requiring one-hot encoding of the full mode column in isolation.</w:t>
      </w:r>
    </w:p>
    <w:p>
      <w:pPr>
        <w:pStyle w:val="Normal"/>
        <w:spacing w:lineRule="auto" w:line="288" w:before="0" w:after="120"/>
        <w:ind w:firstLine="440"/>
        <w:jc w:val="start"/>
        <w:rPr>
          <w:rFonts w:ascii="Times New Roman" w:hAnsi="Times New Roman"/>
        </w:rPr>
      </w:pPr>
      <w:r>
        <w:rPr>
          <w:rFonts w:eastAsia="Times New Roman" w:cs="Times New Roman"/>
          <w:b/>
          <w:bCs/>
          <w:i w:val="false"/>
          <w:iCs w:val="false"/>
          <w:caps w:val="false"/>
          <w:smallCaps w:val="false"/>
          <w:color w:val="000000"/>
          <w:sz w:val="22"/>
          <w:szCs w:val="22"/>
        </w:rPr>
        <w:t>order_value_per_qty</w:t>
      </w:r>
      <w:r>
        <w:rPr>
          <w:rFonts w:eastAsia="Times New Roman" w:cs="Times New Roman"/>
          <w:b w:val="false"/>
          <w:bCs w:val="false"/>
          <w:i w:val="false"/>
          <w:iCs w:val="false"/>
          <w:caps w:val="false"/>
          <w:smallCaps w:val="false"/>
          <w:color w:val="000000"/>
          <w:sz w:val="22"/>
          <w:szCs w:val="22"/>
        </w:rPr>
        <w:t xml:space="preserve"> = Order Item Total / (Order Item Quantity + 1). High revenue-per-unit orders may receive preferential handling — or may represent products requiring special care that increases handling time. The signal is modest but consistent.</w:t>
      </w:r>
    </w:p>
    <w:p>
      <w:pPr>
        <w:pStyle w:val="Normal"/>
        <w:spacing w:lineRule="auto" w:line="288" w:before="0" w:after="120"/>
        <w:ind w:firstLine="440"/>
        <w:jc w:val="start"/>
        <w:rPr>
          <w:rFonts w:ascii="Times New Roman" w:hAnsi="Times New Roman"/>
        </w:rPr>
      </w:pPr>
      <w:r>
        <w:rPr>
          <w:rFonts w:eastAsia="Times New Roman" w:cs="Times New Roman"/>
          <w:b/>
          <w:bCs/>
          <w:i w:val="false"/>
          <w:iCs w:val="false"/>
          <w:caps w:val="false"/>
          <w:smallCaps w:val="false"/>
          <w:color w:val="000000"/>
          <w:sz w:val="22"/>
          <w:szCs w:val="22"/>
        </w:rPr>
        <w:t>benefit_ratio</w:t>
      </w:r>
      <w:r>
        <w:rPr>
          <w:rFonts w:eastAsia="Times New Roman" w:cs="Times New Roman"/>
          <w:b w:val="false"/>
          <w:bCs w:val="false"/>
          <w:i w:val="false"/>
          <w:iCs w:val="false"/>
          <w:caps w:val="false"/>
          <w:smallCaps w:val="false"/>
          <w:color w:val="000000"/>
          <w:sz w:val="22"/>
          <w:szCs w:val="22"/>
        </w:rPr>
        <w:t xml:space="preserve"> = Benefit per order / (Sales per customer + 1). Low-margin orders relative to total customer sales may indicate less priority in handling or less buffer in the fulfilment process.</w:t>
      </w:r>
    </w:p>
    <w:p>
      <w:pPr>
        <w:pStyle w:val="Normal"/>
        <w:spacing w:lineRule="auto" w:line="288" w:before="0" w:after="120"/>
        <w:ind w:firstLine="440"/>
        <w:jc w:val="start"/>
        <w:rPr>
          <w:rFonts w:ascii="Times New Roman" w:hAnsi="Times New Roman"/>
        </w:rPr>
      </w:pPr>
      <w:r>
        <w:rPr>
          <w:rFonts w:eastAsia="Times New Roman" w:cs="Times New Roman"/>
          <w:b/>
          <w:bCs/>
          <w:i w:val="false"/>
          <w:iCs w:val="false"/>
          <w:caps w:val="false"/>
          <w:smallCaps w:val="false"/>
          <w:color w:val="000000"/>
          <w:sz w:val="22"/>
          <w:szCs w:val="22"/>
        </w:rPr>
        <w:t>order_value_tier</w:t>
      </w:r>
      <w:r>
        <w:rPr>
          <w:rFonts w:eastAsia="Times New Roman" w:cs="Times New Roman"/>
          <w:b w:val="false"/>
          <w:bCs w:val="false"/>
          <w:i w:val="false"/>
          <w:iCs w:val="false"/>
          <w:caps w:val="false"/>
          <w:smallCaps w:val="false"/>
          <w:color w:val="000000"/>
          <w:sz w:val="22"/>
          <w:szCs w:val="22"/>
        </w:rPr>
        <w:t xml:space="preserve"> bins the Order Item Total into quintiles (1–5), computed from the training set. This ordinal encoding captures non-linear value effects more cleanly than using the raw continuous value, which has a heavy-tailed distribution.</w:t>
      </w:r>
    </w:p>
    <w:p>
      <w:pPr>
        <w:pStyle w:val="Normal"/>
        <w:spacing w:lineRule="auto" w:line="288" w:before="0" w:after="120"/>
        <w:ind w:firstLine="440"/>
        <w:jc w:val="start"/>
        <w:rPr>
          <w:rFonts w:ascii="Times New Roman" w:hAnsi="Times New Roman"/>
        </w:rPr>
      </w:pPr>
      <w:r>
        <w:rPr>
          <w:rFonts w:eastAsia="Times New Roman" w:cs="Times New Roman"/>
          <w:b/>
          <w:bCs/>
          <w:i w:val="false"/>
          <w:iCs w:val="false"/>
          <w:caps w:val="false"/>
          <w:smallCaps w:val="false"/>
          <w:color w:val="000000"/>
          <w:sz w:val="22"/>
          <w:szCs w:val="22"/>
        </w:rPr>
        <w:t>route_key</w:t>
      </w:r>
      <w:r>
        <w:rPr>
          <w:rFonts w:eastAsia="Times New Roman" w:cs="Times New Roman"/>
          <w:b w:val="false"/>
          <w:bCs w:val="false"/>
          <w:i w:val="false"/>
          <w:iCs w:val="false"/>
          <w:caps w:val="false"/>
          <w:smallCaps w:val="false"/>
          <w:color w:val="000000"/>
          <w:sz w:val="22"/>
          <w:szCs w:val="22"/>
        </w:rPr>
        <w:t xml:space="preserve"> = Market + '_' + Shipping Mode. This constructed column is then target-encoded (see Section 4.3). It captures the risk specific to a particular market-mode combination — for example, Standard Class orders in certain African or Latin American markets carry systematically higher risk than the same mode in Western Europe — in a way that neither Market nor Shipping Mode alone can capture.</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The remaining features — high_quantity_flag and discount_pressure — are straightforward binary and pass-through transforms of existing columns, included because their individual signal, while moderate, contributes incremental predictive power.</w:t>
      </w:r>
    </w:p>
    <w:p>
      <w:pPr>
        <w:pStyle w:val="Normal"/>
        <w:spacing w:lineRule="auto" w:line="264" w:before="0" w:after="100"/>
        <w:jc w:val="start"/>
        <w:rPr>
          <w:rFonts w:ascii="Times New Roman" w:hAnsi="Times New Roman"/>
        </w:rPr>
      </w:pPr>
      <w:r>
        <w:rPr/>
      </w:r>
    </w:p>
    <w:tbl>
      <w:tblPr>
        <w:tblW w:w="4320" w:type="dxa"/>
        <w:jc w:val="start"/>
        <w:tblInd w:w="0" w:type="dxa"/>
        <w:tblLayout w:type="fixed"/>
        <w:tblCellMar>
          <w:top w:w="80" w:type="dxa"/>
          <w:start w:w="110" w:type="dxa"/>
          <w:bottom w:w="80" w:type="dxa"/>
          <w:end w:w="110" w:type="dxa"/>
        </w:tblCellMar>
      </w:tblPr>
      <w:tblGrid>
        <w:gridCol w:w="1419"/>
        <w:gridCol w:w="1721"/>
        <w:gridCol w:w="1180"/>
      </w:tblGrid>
      <w:tr>
        <w:trPr>
          <w:tblHeader w:val="true"/>
        </w:trPr>
        <w:tc>
          <w:tcPr>
            <w:tcW w:w="1419" w:type="dxa"/>
            <w:tcBorders>
              <w:top w:val="single" w:sz="6" w:space="0" w:color="1A3560"/>
              <w:start w:val="single" w:sz="6" w:space="0" w:color="1A3560"/>
              <w:bottom w:val="single" w:sz="6" w:space="0" w:color="1A3560"/>
              <w:end w:val="single" w:sz="6" w:space="0" w:color="1A3560"/>
            </w:tcBorders>
            <w:shd w:fill="1A3560" w:val="clear"/>
          </w:tcPr>
          <w:p>
            <w:pPr>
              <w:pStyle w:val="Normal"/>
              <w:spacing w:lineRule="auto" w:line="264" w:before="0" w:after="0"/>
              <w:jc w:val="start"/>
              <w:rPr>
                <w:rFonts w:ascii="Times New Roman" w:hAnsi="Times New Roman"/>
              </w:rPr>
            </w:pPr>
            <w:r>
              <w:rPr>
                <w:rFonts w:eastAsia="Arial" w:cs="Arial"/>
                <w:b/>
                <w:bCs/>
                <w:i w:val="false"/>
                <w:iCs w:val="false"/>
                <w:caps w:val="false"/>
                <w:smallCaps w:val="false"/>
                <w:color w:val="FFFFFF"/>
                <w:sz w:val="19"/>
                <w:szCs w:val="19"/>
              </w:rPr>
              <w:t>Feature</w:t>
            </w:r>
          </w:p>
        </w:tc>
        <w:tc>
          <w:tcPr>
            <w:tcW w:w="1721" w:type="dxa"/>
            <w:tcBorders>
              <w:top w:val="single" w:sz="6" w:space="0" w:color="1A3560"/>
              <w:start w:val="single" w:sz="6" w:space="0" w:color="1A3560"/>
              <w:bottom w:val="single" w:sz="6" w:space="0" w:color="1A3560"/>
              <w:end w:val="single" w:sz="6" w:space="0" w:color="1A3560"/>
            </w:tcBorders>
            <w:shd w:fill="1A3560" w:val="clear"/>
          </w:tcPr>
          <w:p>
            <w:pPr>
              <w:pStyle w:val="Normal"/>
              <w:spacing w:lineRule="auto" w:line="264" w:before="0" w:after="0"/>
              <w:jc w:val="start"/>
              <w:rPr>
                <w:rFonts w:ascii="Times New Roman" w:hAnsi="Times New Roman"/>
              </w:rPr>
            </w:pPr>
            <w:r>
              <w:rPr>
                <w:rFonts w:eastAsia="Arial" w:cs="Arial"/>
                <w:b/>
                <w:bCs/>
                <w:i w:val="false"/>
                <w:iCs w:val="false"/>
                <w:caps w:val="false"/>
                <w:smallCaps w:val="false"/>
                <w:color w:val="FFFFFF"/>
                <w:sz w:val="19"/>
                <w:szCs w:val="19"/>
              </w:rPr>
              <w:t>Construction</w:t>
            </w:r>
          </w:p>
        </w:tc>
        <w:tc>
          <w:tcPr>
            <w:tcW w:w="1180" w:type="dxa"/>
            <w:tcBorders>
              <w:top w:val="single" w:sz="6" w:space="0" w:color="1A3560"/>
              <w:start w:val="single" w:sz="6" w:space="0" w:color="1A3560"/>
              <w:bottom w:val="single" w:sz="6" w:space="0" w:color="1A3560"/>
              <w:end w:val="single" w:sz="6" w:space="0" w:color="1A3560"/>
            </w:tcBorders>
            <w:shd w:fill="1A3560" w:val="clear"/>
          </w:tcPr>
          <w:p>
            <w:pPr>
              <w:pStyle w:val="Normal"/>
              <w:spacing w:lineRule="auto" w:line="264" w:before="0" w:after="0"/>
              <w:jc w:val="start"/>
              <w:rPr>
                <w:rFonts w:ascii="Times New Roman" w:hAnsi="Times New Roman"/>
              </w:rPr>
            </w:pPr>
            <w:r>
              <w:rPr>
                <w:rFonts w:eastAsia="Arial" w:cs="Arial"/>
                <w:b/>
                <w:bCs/>
                <w:i w:val="false"/>
                <w:iCs w:val="false"/>
                <w:caps w:val="false"/>
                <w:smallCaps w:val="false"/>
                <w:color w:val="FFFFFF"/>
                <w:sz w:val="19"/>
                <w:szCs w:val="19"/>
              </w:rPr>
              <w:t>Rationale</w:t>
            </w:r>
          </w:p>
        </w:tc>
      </w:tr>
      <w:tr>
        <w:trPr/>
        <w:tc>
          <w:tcPr>
            <w:tcW w:w="1419" w:type="dxa"/>
            <w:tcBorders>
              <w:top w:val="single" w:sz="4" w:space="0" w:color="BEDAEF"/>
              <w:start w:val="single" w:sz="4" w:space="0" w:color="BEDAEF"/>
              <w:bottom w:val="single" w:sz="4" w:space="0" w:color="BEDAEF"/>
              <w:end w:val="single" w:sz="4" w:space="0" w:color="BEDAEF"/>
            </w:tcBorders>
            <w:shd w:fill="EBF3FB" w:val="clear"/>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shipping_pressure</w:t>
            </w:r>
          </w:p>
        </w:tc>
        <w:tc>
          <w:tcPr>
            <w:tcW w:w="1721" w:type="dxa"/>
            <w:tcBorders>
              <w:top w:val="single" w:sz="4" w:space="0" w:color="BEDAEF"/>
              <w:start w:val="single" w:sz="4" w:space="0" w:color="BEDAEF"/>
              <w:bottom w:val="single" w:sz="4" w:space="0" w:color="BEDAEF"/>
              <w:end w:val="single" w:sz="4" w:space="0" w:color="BEDAEF"/>
            </w:tcBorders>
            <w:shd w:fill="EBF3FB" w:val="clear"/>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Quantity / (Sched. Days + 1)</w:t>
            </w:r>
          </w:p>
        </w:tc>
        <w:tc>
          <w:tcPr>
            <w:tcW w:w="1180" w:type="dxa"/>
            <w:tcBorders>
              <w:top w:val="single" w:sz="4" w:space="0" w:color="BEDAEF"/>
              <w:start w:val="single" w:sz="4" w:space="0" w:color="BEDAEF"/>
              <w:bottom w:val="single" w:sz="4" w:space="0" w:color="BEDAEF"/>
              <w:end w:val="single" w:sz="4" w:space="0" w:color="BEDAEF"/>
            </w:tcBorders>
            <w:shd w:fill="EBF3FB" w:val="clear"/>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Volume-timeline interaction</w:t>
            </w:r>
          </w:p>
        </w:tc>
      </w:tr>
      <w:tr>
        <w:trPr/>
        <w:tc>
          <w:tcPr>
            <w:tcW w:w="1419" w:type="dxa"/>
            <w:tcBorders>
              <w:top w:val="single" w:sz="4" w:space="0" w:color="BEDAEF"/>
              <w:start w:val="single" w:sz="4" w:space="0" w:color="BEDAEF"/>
              <w:bottom w:val="single" w:sz="4" w:space="0" w:color="BEDAEF"/>
              <w:end w:val="single" w:sz="4" w:space="0" w:color="BEDAEF"/>
            </w:tcBorders>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schedule_tight</w:t>
            </w:r>
          </w:p>
        </w:tc>
        <w:tc>
          <w:tcPr>
            <w:tcW w:w="1721" w:type="dxa"/>
            <w:tcBorders>
              <w:top w:val="single" w:sz="4" w:space="0" w:color="BEDAEF"/>
              <w:start w:val="single" w:sz="4" w:space="0" w:color="BEDAEF"/>
              <w:bottom w:val="single" w:sz="4" w:space="0" w:color="BEDAEF"/>
              <w:end w:val="single" w:sz="4" w:space="0" w:color="BEDAEF"/>
            </w:tcBorders>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Binary: sched. days &lt; median</w:t>
            </w:r>
          </w:p>
        </w:tc>
        <w:tc>
          <w:tcPr>
            <w:tcW w:w="1180" w:type="dxa"/>
            <w:tcBorders>
              <w:top w:val="single" w:sz="4" w:space="0" w:color="BEDAEF"/>
              <w:start w:val="single" w:sz="4" w:space="0" w:color="BEDAEF"/>
              <w:bottom w:val="single" w:sz="4" w:space="0" w:color="BEDAEF"/>
              <w:end w:val="single" w:sz="4" w:space="0" w:color="BEDAEF"/>
            </w:tcBorders>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High-constraint orders</w:t>
            </w:r>
          </w:p>
        </w:tc>
      </w:tr>
      <w:tr>
        <w:trPr/>
        <w:tc>
          <w:tcPr>
            <w:tcW w:w="1419" w:type="dxa"/>
            <w:tcBorders>
              <w:top w:val="single" w:sz="4" w:space="0" w:color="BEDAEF"/>
              <w:start w:val="single" w:sz="4" w:space="0" w:color="BEDAEF"/>
              <w:bottom w:val="single" w:sz="4" w:space="0" w:color="BEDAEF"/>
              <w:end w:val="single" w:sz="4" w:space="0" w:color="BEDAEF"/>
            </w:tcBorders>
            <w:shd w:fill="EBF3FB" w:val="clear"/>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is_express</w:t>
            </w:r>
          </w:p>
        </w:tc>
        <w:tc>
          <w:tcPr>
            <w:tcW w:w="1721" w:type="dxa"/>
            <w:tcBorders>
              <w:top w:val="single" w:sz="4" w:space="0" w:color="BEDAEF"/>
              <w:start w:val="single" w:sz="4" w:space="0" w:color="BEDAEF"/>
              <w:bottom w:val="single" w:sz="4" w:space="0" w:color="BEDAEF"/>
              <w:end w:val="single" w:sz="4" w:space="0" w:color="BEDAEF"/>
            </w:tcBorders>
            <w:shd w:fill="EBF3FB" w:val="clear"/>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Binary: mode contains 'Express'</w:t>
            </w:r>
          </w:p>
        </w:tc>
        <w:tc>
          <w:tcPr>
            <w:tcW w:w="1180" w:type="dxa"/>
            <w:tcBorders>
              <w:top w:val="single" w:sz="4" w:space="0" w:color="BEDAEF"/>
              <w:start w:val="single" w:sz="4" w:space="0" w:color="BEDAEF"/>
              <w:bottom w:val="single" w:sz="4" w:space="0" w:color="BEDAEF"/>
              <w:end w:val="single" w:sz="4" w:space="0" w:color="BEDAEF"/>
            </w:tcBorders>
            <w:shd w:fill="EBF3FB" w:val="clear"/>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Mode risk proxy</w:t>
            </w:r>
          </w:p>
        </w:tc>
      </w:tr>
      <w:tr>
        <w:trPr/>
        <w:tc>
          <w:tcPr>
            <w:tcW w:w="1419" w:type="dxa"/>
            <w:tcBorders>
              <w:top w:val="single" w:sz="4" w:space="0" w:color="BEDAEF"/>
              <w:start w:val="single" w:sz="4" w:space="0" w:color="BEDAEF"/>
              <w:bottom w:val="single" w:sz="4" w:space="0" w:color="BEDAEF"/>
              <w:end w:val="single" w:sz="4" w:space="0" w:color="BEDAEF"/>
            </w:tcBorders>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order_value_per_qty</w:t>
            </w:r>
          </w:p>
        </w:tc>
        <w:tc>
          <w:tcPr>
            <w:tcW w:w="1721" w:type="dxa"/>
            <w:tcBorders>
              <w:top w:val="single" w:sz="4" w:space="0" w:color="BEDAEF"/>
              <w:start w:val="single" w:sz="4" w:space="0" w:color="BEDAEF"/>
              <w:bottom w:val="single" w:sz="4" w:space="0" w:color="BEDAEF"/>
              <w:end w:val="single" w:sz="4" w:space="0" w:color="BEDAEF"/>
            </w:tcBorders>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Total / (Quantity + 1)</w:t>
            </w:r>
          </w:p>
        </w:tc>
        <w:tc>
          <w:tcPr>
            <w:tcW w:w="1180" w:type="dxa"/>
            <w:tcBorders>
              <w:top w:val="single" w:sz="4" w:space="0" w:color="BEDAEF"/>
              <w:start w:val="single" w:sz="4" w:space="0" w:color="BEDAEF"/>
              <w:bottom w:val="single" w:sz="4" w:space="0" w:color="BEDAEF"/>
              <w:end w:val="single" w:sz="4" w:space="0" w:color="BEDAEF"/>
            </w:tcBorders>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Revenue efficiency</w:t>
            </w:r>
          </w:p>
        </w:tc>
      </w:tr>
      <w:tr>
        <w:trPr/>
        <w:tc>
          <w:tcPr>
            <w:tcW w:w="1419" w:type="dxa"/>
            <w:tcBorders>
              <w:top w:val="single" w:sz="4" w:space="0" w:color="BEDAEF"/>
              <w:start w:val="single" w:sz="4" w:space="0" w:color="BEDAEF"/>
              <w:bottom w:val="single" w:sz="4" w:space="0" w:color="BEDAEF"/>
              <w:end w:val="single" w:sz="4" w:space="0" w:color="BEDAEF"/>
            </w:tcBorders>
            <w:shd w:fill="EBF3FB" w:val="clear"/>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discount_pressure</w:t>
            </w:r>
          </w:p>
        </w:tc>
        <w:tc>
          <w:tcPr>
            <w:tcW w:w="1721" w:type="dxa"/>
            <w:tcBorders>
              <w:top w:val="single" w:sz="4" w:space="0" w:color="BEDAEF"/>
              <w:start w:val="single" w:sz="4" w:space="0" w:color="BEDAEF"/>
              <w:bottom w:val="single" w:sz="4" w:space="0" w:color="BEDAEF"/>
              <w:end w:val="single" w:sz="4" w:space="0" w:color="BEDAEF"/>
            </w:tcBorders>
            <w:shd w:fill="EBF3FB" w:val="clear"/>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Order Item Discount Rate</w:t>
            </w:r>
          </w:p>
        </w:tc>
        <w:tc>
          <w:tcPr>
            <w:tcW w:w="1180" w:type="dxa"/>
            <w:tcBorders>
              <w:top w:val="single" w:sz="4" w:space="0" w:color="BEDAEF"/>
              <w:start w:val="single" w:sz="4" w:space="0" w:color="BEDAEF"/>
              <w:bottom w:val="single" w:sz="4" w:space="0" w:color="BEDAEF"/>
              <w:end w:val="single" w:sz="4" w:space="0" w:color="BEDAEF"/>
            </w:tcBorders>
            <w:shd w:fill="EBF3FB" w:val="clear"/>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Margin signal</w:t>
            </w:r>
          </w:p>
        </w:tc>
      </w:tr>
      <w:tr>
        <w:trPr/>
        <w:tc>
          <w:tcPr>
            <w:tcW w:w="1419" w:type="dxa"/>
            <w:tcBorders>
              <w:top w:val="single" w:sz="4" w:space="0" w:color="BEDAEF"/>
              <w:start w:val="single" w:sz="4" w:space="0" w:color="BEDAEF"/>
              <w:bottom w:val="single" w:sz="4" w:space="0" w:color="BEDAEF"/>
              <w:end w:val="single" w:sz="4" w:space="0" w:color="BEDAEF"/>
            </w:tcBorders>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benefit_ratio</w:t>
            </w:r>
          </w:p>
        </w:tc>
        <w:tc>
          <w:tcPr>
            <w:tcW w:w="1721" w:type="dxa"/>
            <w:tcBorders>
              <w:top w:val="single" w:sz="4" w:space="0" w:color="BEDAEF"/>
              <w:start w:val="single" w:sz="4" w:space="0" w:color="BEDAEF"/>
              <w:bottom w:val="single" w:sz="4" w:space="0" w:color="BEDAEF"/>
              <w:end w:val="single" w:sz="4" w:space="0" w:color="BEDAEF"/>
            </w:tcBorders>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Benefit / (Sales per cust. + 1)</w:t>
            </w:r>
          </w:p>
        </w:tc>
        <w:tc>
          <w:tcPr>
            <w:tcW w:w="1180" w:type="dxa"/>
            <w:tcBorders>
              <w:top w:val="single" w:sz="4" w:space="0" w:color="BEDAEF"/>
              <w:start w:val="single" w:sz="4" w:space="0" w:color="BEDAEF"/>
              <w:bottom w:val="single" w:sz="4" w:space="0" w:color="BEDAEF"/>
              <w:end w:val="single" w:sz="4" w:space="0" w:color="BEDAEF"/>
            </w:tcBorders>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Profitability proxy</w:t>
            </w:r>
          </w:p>
        </w:tc>
      </w:tr>
      <w:tr>
        <w:trPr/>
        <w:tc>
          <w:tcPr>
            <w:tcW w:w="1419" w:type="dxa"/>
            <w:tcBorders>
              <w:top w:val="single" w:sz="4" w:space="0" w:color="BEDAEF"/>
              <w:start w:val="single" w:sz="4" w:space="0" w:color="BEDAEF"/>
              <w:bottom w:val="single" w:sz="4" w:space="0" w:color="BEDAEF"/>
              <w:end w:val="single" w:sz="4" w:space="0" w:color="BEDAEF"/>
            </w:tcBorders>
            <w:shd w:fill="EBF3FB" w:val="clear"/>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order_value_tier</w:t>
            </w:r>
          </w:p>
        </w:tc>
        <w:tc>
          <w:tcPr>
            <w:tcW w:w="1721" w:type="dxa"/>
            <w:tcBorders>
              <w:top w:val="single" w:sz="4" w:space="0" w:color="BEDAEF"/>
              <w:start w:val="single" w:sz="4" w:space="0" w:color="BEDAEF"/>
              <w:bottom w:val="single" w:sz="4" w:space="0" w:color="BEDAEF"/>
              <w:end w:val="single" w:sz="4" w:space="0" w:color="BEDAEF"/>
            </w:tcBorders>
            <w:shd w:fill="EBF3FB" w:val="clear"/>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Quintile bin of Order Total</w:t>
            </w:r>
          </w:p>
        </w:tc>
        <w:tc>
          <w:tcPr>
            <w:tcW w:w="1180" w:type="dxa"/>
            <w:tcBorders>
              <w:top w:val="single" w:sz="4" w:space="0" w:color="BEDAEF"/>
              <w:start w:val="single" w:sz="4" w:space="0" w:color="BEDAEF"/>
              <w:bottom w:val="single" w:sz="4" w:space="0" w:color="BEDAEF"/>
              <w:end w:val="single" w:sz="4" w:space="0" w:color="BEDAEF"/>
            </w:tcBorders>
            <w:shd w:fill="EBF3FB" w:val="clear"/>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Ordinal value segment</w:t>
            </w:r>
          </w:p>
        </w:tc>
      </w:tr>
      <w:tr>
        <w:trPr/>
        <w:tc>
          <w:tcPr>
            <w:tcW w:w="1419" w:type="dxa"/>
            <w:tcBorders>
              <w:top w:val="single" w:sz="4" w:space="0" w:color="BEDAEF"/>
              <w:start w:val="single" w:sz="4" w:space="0" w:color="BEDAEF"/>
              <w:bottom w:val="single" w:sz="4" w:space="0" w:color="BEDAEF"/>
              <w:end w:val="single" w:sz="4" w:space="0" w:color="BEDAEF"/>
            </w:tcBorders>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high_quantity_flag</w:t>
            </w:r>
          </w:p>
        </w:tc>
        <w:tc>
          <w:tcPr>
            <w:tcW w:w="1721" w:type="dxa"/>
            <w:tcBorders>
              <w:top w:val="single" w:sz="4" w:space="0" w:color="BEDAEF"/>
              <w:start w:val="single" w:sz="4" w:space="0" w:color="BEDAEF"/>
              <w:bottom w:val="single" w:sz="4" w:space="0" w:color="BEDAEF"/>
              <w:end w:val="single" w:sz="4" w:space="0" w:color="BEDAEF"/>
            </w:tcBorders>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Binary: qty &gt; training median</w:t>
            </w:r>
          </w:p>
        </w:tc>
        <w:tc>
          <w:tcPr>
            <w:tcW w:w="1180" w:type="dxa"/>
            <w:tcBorders>
              <w:top w:val="single" w:sz="4" w:space="0" w:color="BEDAEF"/>
              <w:start w:val="single" w:sz="4" w:space="0" w:color="BEDAEF"/>
              <w:bottom w:val="single" w:sz="4" w:space="0" w:color="BEDAEF"/>
              <w:end w:val="single" w:sz="4" w:space="0" w:color="BEDAEF"/>
            </w:tcBorders>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Oversized order flag</w:t>
            </w:r>
          </w:p>
        </w:tc>
      </w:tr>
      <w:tr>
        <w:trPr/>
        <w:tc>
          <w:tcPr>
            <w:tcW w:w="1419" w:type="dxa"/>
            <w:tcBorders>
              <w:top w:val="single" w:sz="4" w:space="0" w:color="BEDAEF"/>
              <w:start w:val="single" w:sz="4" w:space="0" w:color="BEDAEF"/>
              <w:bottom w:val="single" w:sz="4" w:space="0" w:color="BEDAEF"/>
              <w:end w:val="single" w:sz="4" w:space="0" w:color="BEDAEF"/>
            </w:tcBorders>
            <w:shd w:fill="EBF3FB" w:val="clear"/>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route_key</w:t>
            </w:r>
          </w:p>
        </w:tc>
        <w:tc>
          <w:tcPr>
            <w:tcW w:w="1721" w:type="dxa"/>
            <w:tcBorders>
              <w:top w:val="single" w:sz="4" w:space="0" w:color="BEDAEF"/>
              <w:start w:val="single" w:sz="4" w:space="0" w:color="BEDAEF"/>
              <w:bottom w:val="single" w:sz="4" w:space="0" w:color="BEDAEF"/>
              <w:end w:val="single" w:sz="4" w:space="0" w:color="BEDAEF"/>
            </w:tcBorders>
            <w:shd w:fill="EBF3FB" w:val="clear"/>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Market + '_' + Shipping Mode</w:t>
            </w:r>
          </w:p>
        </w:tc>
        <w:tc>
          <w:tcPr>
            <w:tcW w:w="1180" w:type="dxa"/>
            <w:tcBorders>
              <w:top w:val="single" w:sz="4" w:space="0" w:color="BEDAEF"/>
              <w:start w:val="single" w:sz="4" w:space="0" w:color="BEDAEF"/>
              <w:bottom w:val="single" w:sz="4" w:space="0" w:color="BEDAEF"/>
              <w:end w:val="single" w:sz="4" w:space="0" w:color="BEDAEF"/>
            </w:tcBorders>
            <w:shd w:fill="EBF3FB" w:val="clear"/>
            <w:tcMar>
              <w:top w:w="70" w:type="dxa"/>
              <w:bottom w:w="70" w:type="dxa"/>
            </w:tcMar>
          </w:tcPr>
          <w:p>
            <w:pPr>
              <w:pStyle w:val="Normal"/>
              <w:spacing w:lineRule="auto" w:line="264" w:before="0" w:after="0"/>
              <w:jc w:val="start"/>
              <w:rPr>
                <w:rFonts w:ascii="Times New Roman" w:hAnsi="Times New Roman"/>
              </w:rPr>
            </w:pPr>
            <w:r>
              <w:rPr>
                <w:rFonts w:eastAsia="Times New Roman" w:cs="Times New Roman"/>
                <w:b w:val="false"/>
                <w:bCs w:val="false"/>
                <w:i w:val="false"/>
                <w:iCs w:val="false"/>
                <w:caps w:val="false"/>
                <w:smallCaps w:val="false"/>
                <w:color w:val="1A1A1A"/>
                <w:sz w:val="19"/>
                <w:szCs w:val="19"/>
              </w:rPr>
              <w:t>Route-level risk (encoded)</w:t>
            </w:r>
          </w:p>
        </w:tc>
      </w:tr>
    </w:tbl>
    <w:p>
      <w:pPr>
        <w:pStyle w:val="Normal"/>
        <w:spacing w:lineRule="auto" w:line="264" w:before="60" w:after="160"/>
        <w:jc w:val="start"/>
        <w:rPr>
          <w:rFonts w:ascii="Times New Roman" w:hAnsi="Times New Roman"/>
        </w:rPr>
      </w:pPr>
      <w:r>
        <w:rPr>
          <w:rFonts w:eastAsia="Times New Roman" w:cs="Times New Roman"/>
          <w:b w:val="false"/>
          <w:bCs w:val="false"/>
          <w:i/>
          <w:iCs/>
          <w:caps w:val="false"/>
          <w:smallCaps w:val="false"/>
          <w:color w:val="555555"/>
          <w:sz w:val="19"/>
          <w:szCs w:val="19"/>
        </w:rPr>
        <w:t>Table 2. Engineered features and their operational rationale.</w:t>
      </w:r>
    </w:p>
    <w:p>
      <w:pPr>
        <w:pStyle w:val="Heading2"/>
        <w:spacing w:lineRule="auto" w:line="264" w:before="200" w:after="80"/>
        <w:jc w:val="start"/>
        <w:rPr>
          <w:rFonts w:ascii="Times New Roman" w:hAnsi="Times New Roman"/>
        </w:rPr>
      </w:pPr>
      <w:r>
        <w:rPr>
          <w:rFonts w:eastAsia="Arial" w:cs="Arial" w:ascii="Times New Roman" w:hAnsi="Times New Roman"/>
          <w:b/>
          <w:bCs/>
          <w:i w:val="false"/>
          <w:iCs w:val="false"/>
          <w:caps w:val="false"/>
          <w:smallCaps w:val="false"/>
          <w:color w:val="2B5F9E"/>
          <w:sz w:val="23"/>
          <w:szCs w:val="23"/>
        </w:rPr>
        <w:t>3.3 Encoding Strategy</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The encoding strategy was designed to handle both high-cardinality and low-cardinality categorical columns without leaking test-set information into training.</w:t>
      </w:r>
    </w:p>
    <w:p>
      <w:pPr>
        <w:pStyle w:val="Normal"/>
        <w:spacing w:lineRule="auto" w:line="264" w:before="160" w:after="60"/>
        <w:jc w:val="start"/>
        <w:rPr>
          <w:rFonts w:ascii="Times New Roman" w:hAnsi="Times New Roman"/>
        </w:rPr>
      </w:pPr>
      <w:r>
        <w:rPr>
          <w:rFonts w:eastAsia="Arial" w:cs="Arial"/>
          <w:b/>
          <w:bCs/>
          <w:i/>
          <w:iCs/>
          <w:caps w:val="false"/>
          <w:smallCaps w:val="false"/>
          <w:color w:val="3A7FC1"/>
          <w:sz w:val="22"/>
          <w:szCs w:val="22"/>
        </w:rPr>
        <w:t>High-Cardinality Columns</w:t>
      </w:r>
    </w:p>
    <w:p>
      <w:pPr>
        <w:pStyle w:val="Normal"/>
        <w:spacing w:lineRule="auto" w:line="288" w:before="0" w:after="120"/>
        <w:ind w:firstLine="440"/>
        <w:jc w:val="start"/>
        <w:rPr/>
      </w:pPr>
      <w:r>
        <w:rPr>
          <w:rFonts w:eastAsia="Times New Roman" w:cs="Times New Roman"/>
          <w:b w:val="false"/>
          <w:bCs w:val="false"/>
          <w:i w:val="false"/>
          <w:iCs w:val="false"/>
          <w:caps w:val="false"/>
          <w:smallCaps w:val="false"/>
          <w:color w:val="000000"/>
          <w:sz w:val="22"/>
          <w:szCs w:val="22"/>
        </w:rPr>
        <w:t xml:space="preserve">Columns such as </w:t>
      </w:r>
      <w:r>
        <w:rPr>
          <w:rStyle w:val="Emphasis"/>
          <w:rFonts w:eastAsia="Times New Roman" w:cs="Times New Roman"/>
          <w:b w:val="false"/>
          <w:bCs w:val="false"/>
          <w:i w:val="false"/>
          <w:iCs w:val="false"/>
          <w:caps w:val="false"/>
          <w:smallCaps w:val="false"/>
          <w:color w:val="000000"/>
          <w:sz w:val="22"/>
          <w:szCs w:val="22"/>
        </w:rPr>
        <w:t>Order Region</w:t>
      </w:r>
      <w:r>
        <w:rPr>
          <w:rFonts w:eastAsia="Times New Roman" w:cs="Times New Roman"/>
          <w:b w:val="false"/>
          <w:bCs w:val="false"/>
          <w:i w:val="false"/>
          <w:iCs w:val="false"/>
          <w:caps w:val="false"/>
          <w:smallCaps w:val="false"/>
          <w:color w:val="000000"/>
          <w:sz w:val="22"/>
          <w:szCs w:val="22"/>
        </w:rPr>
        <w:t xml:space="preserve">, </w:t>
      </w:r>
      <w:r>
        <w:rPr>
          <w:rStyle w:val="Emphasis"/>
          <w:rFonts w:eastAsia="Times New Roman" w:cs="Times New Roman"/>
          <w:b w:val="false"/>
          <w:bCs w:val="false"/>
          <w:i w:val="false"/>
          <w:iCs w:val="false"/>
          <w:caps w:val="false"/>
          <w:smallCaps w:val="false"/>
          <w:color w:val="000000"/>
          <w:sz w:val="22"/>
          <w:szCs w:val="22"/>
        </w:rPr>
        <w:t>Market</w:t>
      </w:r>
      <w:r>
        <w:rPr>
          <w:rFonts w:eastAsia="Times New Roman" w:cs="Times New Roman"/>
          <w:b w:val="false"/>
          <w:bCs w:val="false"/>
          <w:i w:val="false"/>
          <w:iCs w:val="false"/>
          <w:caps w:val="false"/>
          <w:smallCaps w:val="false"/>
          <w:color w:val="000000"/>
          <w:sz w:val="22"/>
          <w:szCs w:val="22"/>
        </w:rPr>
        <w:t xml:space="preserve">, </w:t>
      </w:r>
      <w:r>
        <w:rPr>
          <w:rStyle w:val="Emphasis"/>
          <w:rFonts w:eastAsia="Times New Roman" w:cs="Times New Roman"/>
          <w:b w:val="false"/>
          <w:bCs w:val="false"/>
          <w:i w:val="false"/>
          <w:iCs w:val="false"/>
          <w:caps w:val="false"/>
          <w:smallCaps w:val="false"/>
          <w:color w:val="000000"/>
          <w:sz w:val="22"/>
          <w:szCs w:val="22"/>
        </w:rPr>
        <w:t>Order Country</w:t>
      </w:r>
      <w:r>
        <w:rPr>
          <w:rFonts w:eastAsia="Times New Roman" w:cs="Times New Roman"/>
          <w:b w:val="false"/>
          <w:bCs w:val="false"/>
          <w:i w:val="false"/>
          <w:iCs w:val="false"/>
          <w:caps w:val="false"/>
          <w:smallCaps w:val="false"/>
          <w:color w:val="000000"/>
          <w:sz w:val="22"/>
          <w:szCs w:val="22"/>
        </w:rPr>
        <w:t xml:space="preserve">, and </w:t>
      </w:r>
      <w:r>
        <w:rPr>
          <w:rStyle w:val="Emphasis"/>
          <w:rFonts w:eastAsia="Times New Roman" w:cs="Times New Roman"/>
          <w:b w:val="false"/>
          <w:bCs w:val="false"/>
          <w:i w:val="false"/>
          <w:iCs w:val="false"/>
          <w:caps w:val="false"/>
          <w:smallCaps w:val="false"/>
          <w:color w:val="000000"/>
          <w:sz w:val="22"/>
          <w:szCs w:val="22"/>
        </w:rPr>
        <w:t>route_key</w:t>
      </w:r>
      <w:r>
        <w:rPr>
          <w:rFonts w:eastAsia="Times New Roman" w:cs="Times New Roman"/>
          <w:b w:val="false"/>
          <w:bCs w:val="false"/>
          <w:i w:val="false"/>
          <w:iCs w:val="false"/>
          <w:caps w:val="false"/>
          <w:smallCaps w:val="false"/>
          <w:color w:val="000000"/>
          <w:sz w:val="22"/>
          <w:szCs w:val="22"/>
        </w:rPr>
        <w:t xml:space="preserve"> were encoded using smoothed target encoding based on the m-estimate formulation: </w:t>
      </w:r>
    </w:p>
    <w:p>
      <w:pPr>
        <w:pStyle w:val="Normal"/>
        <w:spacing w:lineRule="auto" w:line="264" w:before="100" w:after="100"/>
        <w:jc w:val="start"/>
        <w:rPr>
          <w:rFonts w:ascii="Times New Roman" w:hAnsi="Times New Roman"/>
        </w:rPr>
      </w:pPr>
      <w:r>
        <w:rPr>
          <w:rFonts w:eastAsia="Courier New" w:cs="Courier New"/>
          <w:b/>
          <w:bCs/>
          <w:color w:val="1A3560"/>
          <w:sz w:val="21"/>
          <w:szCs w:val="21"/>
        </w:rPr>
        <w:t>encoded(c) = (nₙ × p̅ₙ + m × μ) / (nₙ + m)</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 xml:space="preserve">where n_c is the count of training observations in category c, p-bar_c is their observed late-delivery rate, μ is the global training mean, and m = 20 is the smoothing weight. </w:t>
      </w:r>
      <w:r>
        <w:rPr/>
        <w:t xml:space="preserve">The encoder was fitted only on training data and applied to the test set using stored mappings, with unseen categories defaulting to the global mean. </w:t>
      </w:r>
    </w:p>
    <w:p>
      <w:pPr>
        <w:pStyle w:val="Normal"/>
        <w:spacing w:lineRule="auto" w:line="264" w:before="160" w:after="60"/>
        <w:jc w:val="start"/>
        <w:rPr>
          <w:rFonts w:ascii="Times New Roman" w:hAnsi="Times New Roman"/>
        </w:rPr>
      </w:pPr>
      <w:r>
        <w:rPr>
          <w:rFonts w:eastAsia="Arial" w:cs="Arial"/>
          <w:b/>
          <w:bCs/>
          <w:i/>
          <w:iCs/>
          <w:caps w:val="false"/>
          <w:smallCaps w:val="false"/>
          <w:color w:val="3A7FC1"/>
          <w:sz w:val="22"/>
          <w:szCs w:val="22"/>
        </w:rPr>
        <w:t>Low-Cardinality Columns</w:t>
      </w:r>
    </w:p>
    <w:p>
      <w:pPr>
        <w:pStyle w:val="Normal"/>
        <w:spacing w:lineRule="auto" w:line="288" w:before="0" w:after="120"/>
        <w:ind w:firstLine="440"/>
        <w:jc w:val="start"/>
        <w:rPr/>
      </w:pPr>
      <w:r>
        <w:rPr>
          <w:rFonts w:eastAsia="Times New Roman" w:cs="Times New Roman"/>
          <w:b w:val="false"/>
          <w:bCs w:val="false"/>
          <w:i w:val="false"/>
          <w:iCs w:val="false"/>
          <w:caps w:val="false"/>
          <w:smallCaps w:val="false"/>
          <w:color w:val="000000"/>
          <w:sz w:val="22"/>
          <w:szCs w:val="22"/>
        </w:rPr>
        <w:t xml:space="preserve">Columns such as </w:t>
      </w:r>
      <w:r>
        <w:rPr>
          <w:rStyle w:val="Emphasis"/>
          <w:rFonts w:eastAsia="Times New Roman" w:cs="Times New Roman"/>
          <w:b w:val="false"/>
          <w:bCs w:val="false"/>
          <w:i w:val="false"/>
          <w:iCs w:val="false"/>
          <w:caps w:val="false"/>
          <w:smallCaps w:val="false"/>
          <w:color w:val="000000"/>
          <w:sz w:val="22"/>
          <w:szCs w:val="22"/>
        </w:rPr>
        <w:t>Shipping Mode</w:t>
      </w:r>
      <w:r>
        <w:rPr>
          <w:rFonts w:eastAsia="Times New Roman" w:cs="Times New Roman"/>
          <w:b w:val="false"/>
          <w:bCs w:val="false"/>
          <w:i w:val="false"/>
          <w:iCs w:val="false"/>
          <w:caps w:val="false"/>
          <w:smallCaps w:val="false"/>
          <w:color w:val="000000"/>
          <w:sz w:val="22"/>
          <w:szCs w:val="22"/>
        </w:rPr>
        <w:t xml:space="preserve"> and </w:t>
      </w:r>
      <w:r>
        <w:rPr>
          <w:rStyle w:val="Emphasis"/>
          <w:rFonts w:eastAsia="Times New Roman" w:cs="Times New Roman"/>
          <w:b w:val="false"/>
          <w:bCs w:val="false"/>
          <w:i w:val="false"/>
          <w:iCs w:val="false"/>
          <w:caps w:val="false"/>
          <w:smallCaps w:val="false"/>
          <w:color w:val="000000"/>
          <w:sz w:val="22"/>
          <w:szCs w:val="22"/>
        </w:rPr>
        <w:t>Customer Segment</w:t>
      </w:r>
      <w:r>
        <w:rPr>
          <w:rFonts w:eastAsia="Times New Roman" w:cs="Times New Roman"/>
          <w:b w:val="false"/>
          <w:bCs w:val="false"/>
          <w:i w:val="false"/>
          <w:iCs w:val="false"/>
          <w:caps w:val="false"/>
          <w:smallCaps w:val="false"/>
          <w:color w:val="000000"/>
          <w:sz w:val="22"/>
          <w:szCs w:val="22"/>
        </w:rPr>
        <w:t xml:space="preserve"> were one-hot encoded using </w:t>
      </w:r>
      <w:r>
        <w:rPr>
          <w:rStyle w:val="Emphasis"/>
          <w:rFonts w:eastAsia="Times New Roman" w:cs="Times New Roman"/>
          <w:b w:val="false"/>
          <w:bCs w:val="false"/>
          <w:i w:val="false"/>
          <w:iCs w:val="false"/>
          <w:caps w:val="false"/>
          <w:smallCaps w:val="false"/>
          <w:color w:val="000000"/>
          <w:sz w:val="22"/>
          <w:szCs w:val="22"/>
        </w:rPr>
        <w:t>pandas.get_dummies</w:t>
      </w:r>
      <w:r>
        <w:rPr>
          <w:rFonts w:eastAsia="Times New Roman" w:cs="Times New Roman"/>
          <w:b w:val="false"/>
          <w:bCs w:val="false"/>
          <w:i w:val="false"/>
          <w:iCs w:val="false"/>
          <w:caps w:val="false"/>
          <w:smallCaps w:val="false"/>
          <w:color w:val="000000"/>
          <w:sz w:val="22"/>
          <w:szCs w:val="22"/>
        </w:rPr>
        <w:t xml:space="preserve"> on the training set. The test set was aligned using:  reindex(columns=training_columns, fill_value=0), </w:t>
      </w:r>
      <w:r>
        <w:rPr>
          <w:color w:val="000000"/>
        </w:rPr>
        <w:t>This ensures consistent feature space and prevents unseen feature errors.</w:t>
      </w:r>
    </w:p>
    <w:p>
      <w:pPr>
        <w:pStyle w:val="Heading2"/>
        <w:spacing w:lineRule="auto" w:line="264" w:before="200" w:after="80"/>
        <w:jc w:val="start"/>
        <w:rPr>
          <w:rFonts w:ascii="Times New Roman" w:hAnsi="Times New Roman"/>
        </w:rPr>
      </w:pPr>
      <w:r>
        <w:rPr>
          <w:rFonts w:eastAsia="Arial" w:cs="Arial" w:ascii="Times New Roman" w:hAnsi="Times New Roman"/>
          <w:b/>
          <w:bCs/>
          <w:i w:val="false"/>
          <w:iCs w:val="false"/>
          <w:caps w:val="false"/>
          <w:smallCaps w:val="false"/>
          <w:color w:val="2B5F9E"/>
          <w:sz w:val="23"/>
          <w:szCs w:val="23"/>
        </w:rPr>
        <w:t>3.4 Handling Class Imbalance</w:t>
      </w:r>
    </w:p>
    <w:p>
      <w:pPr>
        <w:pStyle w:val="Normal"/>
        <w:spacing w:lineRule="auto" w:line="288" w:before="0" w:after="120"/>
        <w:ind w:firstLine="440"/>
        <w:jc w:val="start"/>
        <w:rPr/>
      </w:pPr>
      <w:r>
        <w:rPr>
          <w:rFonts w:eastAsia="Times New Roman" w:cs="Times New Roman"/>
          <w:b w:val="false"/>
          <w:bCs w:val="false"/>
          <w:i w:val="false"/>
          <w:iCs w:val="false"/>
          <w:caps w:val="false"/>
          <w:smallCaps w:val="false"/>
          <w:color w:val="000000"/>
          <w:sz w:val="22"/>
          <w:szCs w:val="22"/>
        </w:rPr>
        <w:t xml:space="preserve">The ~54/46 class imbalance was addressed using two complementary approaches. SMOTE (Synthetic Minority Oversampling Technique) was applied within an </w:t>
      </w:r>
      <w:r>
        <w:rPr>
          <w:rStyle w:val="Emphasis"/>
          <w:rFonts w:eastAsia="Times New Roman" w:cs="Times New Roman"/>
          <w:b w:val="false"/>
          <w:bCs w:val="false"/>
          <w:i w:val="false"/>
          <w:iCs w:val="false"/>
          <w:caps w:val="false"/>
          <w:smallCaps w:val="false"/>
          <w:color w:val="000000"/>
          <w:sz w:val="22"/>
          <w:szCs w:val="22"/>
        </w:rPr>
        <w:t>imbalanced-learn ImbPipeline</w:t>
      </w:r>
      <w:r>
        <w:rPr>
          <w:rFonts w:eastAsia="Times New Roman" w:cs="Times New Roman"/>
          <w:b w:val="false"/>
          <w:bCs w:val="false"/>
          <w:i w:val="false"/>
          <w:iCs w:val="false"/>
          <w:caps w:val="false"/>
          <w:smallCaps w:val="false"/>
          <w:color w:val="000000"/>
          <w:sz w:val="22"/>
          <w:szCs w:val="22"/>
        </w:rPr>
        <w:t xml:space="preserve">, ensuring that synthetic samples were generated only from training data within each cross-validation fold. This prevents data leakage that can occur when SMOTE is applied prior to dataset splitting, which may otherwise inflate performance metrics. </w:t>
      </w:r>
    </w:p>
    <w:p>
      <w:pPr>
        <w:pStyle w:val="BodyText"/>
        <w:spacing w:lineRule="auto" w:line="288" w:before="0" w:after="120"/>
        <w:ind w:firstLine="440"/>
        <w:jc w:val="start"/>
        <w:rPr/>
      </w:pPr>
      <w:r>
        <w:rPr>
          <w:rFonts w:eastAsia="Times New Roman" w:cs="Times New Roman"/>
          <w:b w:val="false"/>
          <w:bCs w:val="false"/>
          <w:i w:val="false"/>
          <w:iCs w:val="false"/>
          <w:caps w:val="false"/>
          <w:smallCaps w:val="false"/>
          <w:color w:val="000000"/>
          <w:sz w:val="22"/>
          <w:szCs w:val="22"/>
        </w:rPr>
        <w:t xml:space="preserve">For XGBoost, </w:t>
      </w:r>
      <w:r>
        <w:rPr>
          <w:rStyle w:val="Emphasis"/>
          <w:rFonts w:eastAsia="Times New Roman" w:cs="Times New Roman"/>
          <w:b w:val="false"/>
          <w:bCs w:val="false"/>
          <w:i w:val="false"/>
          <w:iCs w:val="false"/>
          <w:caps w:val="false"/>
          <w:smallCaps w:val="false"/>
          <w:color w:val="000000"/>
          <w:sz w:val="22"/>
          <w:szCs w:val="22"/>
        </w:rPr>
        <w:t>scale_pos_weight</w:t>
      </w:r>
      <w:r>
        <w:rPr>
          <w:rFonts w:eastAsia="Times New Roman" w:cs="Times New Roman"/>
          <w:b w:val="false"/>
          <w:bCs w:val="false"/>
          <w:i w:val="false"/>
          <w:iCs w:val="false"/>
          <w:caps w:val="false"/>
          <w:smallCaps w:val="false"/>
          <w:color w:val="000000"/>
          <w:sz w:val="22"/>
          <w:szCs w:val="22"/>
        </w:rPr>
        <w:t xml:space="preserve"> was set to the ratio of negative to positive class instances in the training data. This adjusts the learning process to penalize misclassification of the minority class more heavily. The two approaches are complementary: SMOTE modifies the training data distribution, while </w:t>
      </w:r>
      <w:r>
        <w:rPr>
          <w:rStyle w:val="Emphasis"/>
          <w:rFonts w:eastAsia="Times New Roman" w:cs="Times New Roman"/>
          <w:b w:val="false"/>
          <w:bCs w:val="false"/>
          <w:i w:val="false"/>
          <w:iCs w:val="false"/>
          <w:caps w:val="false"/>
          <w:smallCaps w:val="false"/>
          <w:color w:val="000000"/>
          <w:sz w:val="22"/>
          <w:szCs w:val="22"/>
        </w:rPr>
        <w:t>scale_pos_weight</w:t>
      </w:r>
      <w:r>
        <w:rPr>
          <w:rFonts w:eastAsia="Times New Roman" w:cs="Times New Roman"/>
          <w:b w:val="false"/>
          <w:bCs w:val="false"/>
          <w:i w:val="false"/>
          <w:iCs w:val="false"/>
          <w:caps w:val="false"/>
          <w:smallCaps w:val="false"/>
          <w:color w:val="000000"/>
          <w:sz w:val="22"/>
          <w:szCs w:val="22"/>
        </w:rPr>
        <w:t xml:space="preserve"> adjusts the model’s optimization behavior.</w:t>
      </w:r>
    </w:p>
    <w:p>
      <w:pPr>
        <w:pStyle w:val="Heading2"/>
        <w:spacing w:lineRule="auto" w:line="264" w:before="200" w:after="80"/>
        <w:jc w:val="start"/>
        <w:rPr>
          <w:rFonts w:ascii="Times New Roman" w:hAnsi="Times New Roman"/>
        </w:rPr>
      </w:pPr>
      <w:r>
        <w:rPr>
          <w:rFonts w:eastAsia="Arial" w:cs="Arial" w:ascii="Times New Roman" w:hAnsi="Times New Roman"/>
          <w:b/>
          <w:bCs/>
          <w:i w:val="false"/>
          <w:iCs w:val="false"/>
          <w:caps w:val="false"/>
          <w:smallCaps w:val="false"/>
          <w:color w:val="2B5F9E"/>
          <w:sz w:val="23"/>
          <w:szCs w:val="23"/>
        </w:rPr>
        <w:t>3.5 Model Development</w:t>
      </w:r>
    </w:p>
    <w:p>
      <w:pPr>
        <w:pStyle w:val="Normal"/>
        <w:spacing w:lineRule="auto" w:line="264" w:before="160" w:after="60"/>
        <w:jc w:val="start"/>
        <w:rPr>
          <w:rFonts w:ascii="Times New Roman" w:hAnsi="Times New Roman"/>
        </w:rPr>
      </w:pPr>
      <w:r>
        <w:rPr>
          <w:rFonts w:eastAsia="Arial" w:cs="Arial"/>
          <w:b/>
          <w:bCs/>
          <w:i/>
          <w:iCs/>
          <w:caps w:val="false"/>
          <w:smallCaps w:val="false"/>
          <w:color w:val="3A7FC1"/>
          <w:sz w:val="22"/>
          <w:szCs w:val="22"/>
        </w:rPr>
        <w:t>Logistic Regression</w:t>
      </w:r>
    </w:p>
    <w:p>
      <w:pPr>
        <w:pStyle w:val="Normal"/>
        <w:spacing w:lineRule="auto" w:line="288" w:before="0" w:after="120"/>
        <w:ind w:firstLine="440"/>
        <w:jc w:val="start"/>
        <w:rPr/>
      </w:pPr>
      <w:r>
        <w:rPr>
          <w:rFonts w:eastAsia="Times New Roman" w:cs="Times New Roman"/>
          <w:b w:val="false"/>
          <w:bCs w:val="false"/>
          <w:i w:val="false"/>
          <w:iCs w:val="false"/>
          <w:caps w:val="false"/>
          <w:smallCaps w:val="false"/>
          <w:color w:val="000000"/>
          <w:sz w:val="22"/>
          <w:szCs w:val="22"/>
        </w:rPr>
        <w:t>Logistic Regression was u</w:t>
      </w:r>
      <w:r>
        <w:rPr>
          <w:i w:val="false"/>
          <w:iCs w:val="false"/>
        </w:rPr>
        <w:t xml:space="preserve">sed as a baseline model with </w:t>
      </w:r>
      <w:r>
        <w:rPr>
          <w:rStyle w:val="Emphasis"/>
          <w:i w:val="false"/>
          <w:iCs w:val="false"/>
        </w:rPr>
        <w:t>class_weight='balanced'</w:t>
      </w:r>
      <w:r>
        <w:rPr>
          <w:i w:val="false"/>
          <w:iCs w:val="false"/>
        </w:rPr>
        <w:t xml:space="preserve"> and C=0.5 </w:t>
      </w:r>
      <w:r>
        <w:rPr/>
        <w:t>(L2 regularization)</w:t>
      </w:r>
      <w:r>
        <w:rPr>
          <w:i w:val="false"/>
          <w:iCs w:val="false"/>
        </w:rPr>
        <w:t xml:space="preserve">. A </w:t>
      </w:r>
      <w:r>
        <w:rPr>
          <w:rStyle w:val="Emphasis"/>
          <w:i w:val="false"/>
          <w:iCs w:val="false"/>
        </w:rPr>
        <w:t>StandardScaler</w:t>
      </w:r>
      <w:r>
        <w:rPr>
          <w:i w:val="false"/>
          <w:iCs w:val="false"/>
        </w:rPr>
        <w:t xml:space="preserve"> was applied to ensure stable convergence.</w:t>
      </w:r>
    </w:p>
    <w:p>
      <w:pPr>
        <w:pStyle w:val="Normal"/>
        <w:spacing w:lineRule="auto" w:line="264" w:before="160" w:after="60"/>
        <w:jc w:val="start"/>
        <w:rPr>
          <w:rFonts w:ascii="Times New Roman" w:hAnsi="Times New Roman"/>
        </w:rPr>
      </w:pPr>
      <w:r>
        <w:rPr>
          <w:rFonts w:eastAsia="Arial" w:cs="Arial"/>
          <w:b/>
          <w:bCs/>
          <w:i/>
          <w:iCs/>
          <w:caps w:val="false"/>
          <w:smallCaps w:val="false"/>
          <w:color w:val="3A7FC1"/>
          <w:sz w:val="22"/>
          <w:szCs w:val="22"/>
        </w:rPr>
        <w:t>Random Forest</w:t>
      </w:r>
    </w:p>
    <w:p>
      <w:pPr>
        <w:pStyle w:val="Normal"/>
        <w:spacing w:lineRule="auto" w:line="288" w:before="0" w:after="120"/>
        <w:ind w:firstLine="440"/>
        <w:jc w:val="start"/>
        <w:rPr/>
      </w:pPr>
      <w:r>
        <w:rPr>
          <w:rFonts w:eastAsia="Times New Roman" w:cs="Times New Roman"/>
          <w:b w:val="false"/>
          <w:bCs w:val="false"/>
          <w:i w:val="false"/>
          <w:iCs w:val="false"/>
          <w:caps w:val="false"/>
          <w:smallCaps w:val="false"/>
          <w:color w:val="000000"/>
          <w:sz w:val="22"/>
          <w:szCs w:val="22"/>
        </w:rPr>
        <w:t xml:space="preserve">The Random Forest model was configured with 300 trees, </w:t>
      </w:r>
      <w:r>
        <w:rPr>
          <w:rStyle w:val="Emphasis"/>
          <w:rFonts w:eastAsia="Times New Roman" w:cs="Times New Roman"/>
          <w:b w:val="false"/>
          <w:bCs w:val="false"/>
          <w:i w:val="false"/>
          <w:iCs w:val="false"/>
          <w:caps w:val="false"/>
          <w:smallCaps w:val="false"/>
          <w:color w:val="000000"/>
          <w:sz w:val="22"/>
          <w:szCs w:val="22"/>
        </w:rPr>
        <w:t>max_depth = 12</w:t>
      </w:r>
      <w:r>
        <w:rPr>
          <w:rFonts w:eastAsia="Times New Roman" w:cs="Times New Roman"/>
          <w:b w:val="false"/>
          <w:bCs w:val="false"/>
          <w:i w:val="false"/>
          <w:iCs w:val="false"/>
          <w:caps w:val="false"/>
          <w:smallCaps w:val="false"/>
          <w:color w:val="000000"/>
          <w:sz w:val="22"/>
          <w:szCs w:val="22"/>
        </w:rPr>
        <w:t xml:space="preserve">, and </w:t>
      </w:r>
      <w:r>
        <w:rPr>
          <w:rStyle w:val="Emphasis"/>
          <w:rFonts w:eastAsia="Times New Roman" w:cs="Times New Roman"/>
          <w:b w:val="false"/>
          <w:bCs w:val="false"/>
          <w:i w:val="false"/>
          <w:iCs w:val="false"/>
          <w:caps w:val="false"/>
          <w:smallCaps w:val="false"/>
          <w:color w:val="000000"/>
          <w:sz w:val="22"/>
          <w:szCs w:val="22"/>
        </w:rPr>
        <w:t>min_samples_leaf = 5</w:t>
      </w:r>
      <w:r>
        <w:rPr>
          <w:rFonts w:eastAsia="Times New Roman" w:cs="Times New Roman"/>
          <w:b w:val="false"/>
          <w:bCs w:val="false"/>
          <w:i w:val="false"/>
          <w:iCs w:val="false"/>
          <w:caps w:val="false"/>
          <w:smallCaps w:val="false"/>
          <w:color w:val="000000"/>
          <w:sz w:val="22"/>
          <w:szCs w:val="22"/>
        </w:rPr>
        <w:t xml:space="preserve">.  </w:t>
      </w:r>
      <w:r>
        <w:rPr/>
        <w:t>The minimum leaf size was a key tuning parameter</w:t>
      </w:r>
      <w:r>
        <w:rPr>
          <w:rFonts w:eastAsia="Times New Roman" w:cs="Times New Roman"/>
          <w:b w:val="false"/>
          <w:bCs w:val="false"/>
          <w:i w:val="false"/>
          <w:iCs w:val="false"/>
          <w:caps w:val="false"/>
          <w:smallCaps w:val="false"/>
          <w:color w:val="000000"/>
          <w:sz w:val="22"/>
          <w:szCs w:val="22"/>
        </w:rPr>
        <w:t xml:space="preserve">: without a minimum leaf size, the model tends to overfit on small-sample regional combinations, driving down validation performance. </w:t>
      </w:r>
    </w:p>
    <w:p>
      <w:pPr>
        <w:pStyle w:val="Normal"/>
        <w:spacing w:lineRule="auto" w:line="264" w:before="160" w:after="60"/>
        <w:jc w:val="start"/>
        <w:rPr>
          <w:rFonts w:ascii="Times New Roman" w:hAnsi="Times New Roman"/>
        </w:rPr>
      </w:pPr>
      <w:r>
        <w:rPr>
          <w:rFonts w:eastAsia="Arial" w:cs="Arial"/>
          <w:b/>
          <w:bCs/>
          <w:i/>
          <w:iCs/>
          <w:caps w:val="false"/>
          <w:smallCaps w:val="false"/>
          <w:color w:val="3A7FC1"/>
          <w:sz w:val="22"/>
          <w:szCs w:val="22"/>
        </w:rPr>
        <w:t>XGBoost</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XGBoost used 300 estimators, max_depth = 6, learning_rate = 0.05, and subsample / colsample_bytree both set to 0.8 for stochastic regularization. The lower learning rate (compared to the common default of 0.1) produces slower but more stable convergence across temporal folds. scale_pos_weight was computed from the training set class ratio. The serialized pipeline artifact weighs approximately 45 MB.</w:t>
      </w:r>
    </w:p>
    <w:p>
      <w:pPr>
        <w:pStyle w:val="Heading2"/>
        <w:spacing w:lineRule="auto" w:line="264" w:before="200" w:after="80"/>
        <w:jc w:val="start"/>
        <w:rPr>
          <w:rFonts w:ascii="Times New Roman" w:hAnsi="Times New Roman"/>
        </w:rPr>
      </w:pPr>
      <w:r>
        <w:rPr>
          <w:rFonts w:eastAsia="Arial" w:cs="Arial" w:ascii="Times New Roman" w:hAnsi="Times New Roman"/>
          <w:b/>
          <w:bCs/>
          <w:i w:val="false"/>
          <w:iCs w:val="false"/>
          <w:caps w:val="false"/>
          <w:smallCaps w:val="false"/>
          <w:color w:val="2B5F9E"/>
          <w:sz w:val="23"/>
          <w:szCs w:val="23"/>
        </w:rPr>
        <w:t>3.6 Evaluation Framework</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The primary evaluation metric was ROC-AUC, which measures the model’s ability to rank high-risk orders above low-risk ones across all thresholds. This aligns with the operational objective of prioritizing orders by risk rather than relying on a fixed binary decision.</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Secondary metrics: Precision, Recall, and F1 were evaluated at the operational threshold of 0.35, selected through threshold sensitivity analysis. At this threshold, the Random Forest model achieves Recall = 0.816, Precision = 0.627, and F1 = 0.709, while flagging 71.8% of all orders for review. This reflects a deliberate trade-off: maintaining high recall to capture most late deliveries at the cost of a larger operational queue.</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Lower thresholds further increase recall but result in an impractically large flagged set, while higher thresholds reduce operational load at the expense of missing more true delays.</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Model validation used TimeSeriesSplit with five folds, ensuring a strict temporal structure (train on past, validate on future). Final evaluation was conducted on a chronological hold-out set comprising the most recent 20% of orders (~36,000 rows), which were not used during training or validation.</w:t>
      </w:r>
    </w:p>
    <w:p>
      <w:pPr>
        <w:pStyle w:val="Heading1"/>
        <w:pBdr>
          <w:bottom w:val="single" w:sz="6" w:space="4" w:color="3A7FC1"/>
        </w:pBdr>
        <w:spacing w:lineRule="auto" w:line="264" w:before="320" w:after="120"/>
        <w:jc w:val="start"/>
        <w:rPr>
          <w:rFonts w:ascii="Times New Roman" w:hAnsi="Times New Roman"/>
        </w:rPr>
      </w:pPr>
      <w:r>
        <w:rPr>
          <w:rFonts w:eastAsia="Arial" w:cs="Arial" w:ascii="Times New Roman" w:hAnsi="Times New Roman"/>
          <w:b/>
          <w:bCs/>
          <w:i w:val="false"/>
          <w:iCs w:val="false"/>
          <w:caps w:val="false"/>
          <w:smallCaps w:val="false"/>
          <w:color w:val="1A3560"/>
          <w:sz w:val="26"/>
          <w:szCs w:val="26"/>
        </w:rPr>
        <w:t>4. Results and Discussion</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The evaluation uses a chronological split, which ensures that test metrics reflect genuinely unseen future data. Observed differences between training and test periods may arise from seasonality, carrier changes, or new market entries, making these results a realistic estimate for the immediate operational horizon.</w:t>
      </w:r>
    </w:p>
    <w:p>
      <w:pPr>
        <w:pStyle w:val="Heading2"/>
        <w:spacing w:lineRule="auto" w:line="264" w:before="200" w:after="80"/>
        <w:jc w:val="start"/>
        <w:rPr>
          <w:rFonts w:ascii="Times New Roman" w:hAnsi="Times New Roman"/>
        </w:rPr>
      </w:pPr>
      <w:r>
        <w:rPr>
          <w:rFonts w:eastAsia="Arial" w:cs="Arial" w:ascii="Times New Roman" w:hAnsi="Times New Roman"/>
          <w:b/>
          <w:bCs/>
          <w:i w:val="false"/>
          <w:iCs w:val="false"/>
          <w:caps w:val="false"/>
          <w:smallCaps w:val="false"/>
          <w:color w:val="2B5F9E"/>
          <w:sz w:val="23"/>
          <w:szCs w:val="23"/>
        </w:rPr>
        <w:t>4.1 Cross-Validation Performance</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Five-fold TimeSeriesSplit cross-validation was performed to evaluate model stability across temporal splits. While the exact per-fold AUC values are not available in the provided output summary, the cross-validation trends are illustrated in Figure 1.</w:t>
      </w:r>
    </w:p>
    <w:tbl>
      <w:tblPr>
        <w:tblW w:w="4320" w:type="dxa"/>
        <w:jc w:val="start"/>
        <w:tblInd w:w="0" w:type="dxa"/>
        <w:tblLayout w:type="fixed"/>
        <w:tblCellMar>
          <w:top w:w="200" w:type="dxa"/>
          <w:start w:w="300" w:type="dxa"/>
          <w:bottom w:w="200" w:type="dxa"/>
          <w:end w:w="300" w:type="dxa"/>
        </w:tblCellMar>
      </w:tblPr>
      <w:tblGrid>
        <w:gridCol w:w="4320"/>
      </w:tblGrid>
      <w:tr>
        <w:trPr/>
        <w:tc>
          <w:tcPr>
            <w:tcW w:w="4320" w:type="dxa"/>
            <w:tcBorders>
              <w:top w:val="single" w:sz="8" w:space="0" w:color="3A7FC1"/>
              <w:start w:val="single" w:sz="8" w:space="0" w:color="3A7FC1"/>
              <w:bottom w:val="single" w:sz="8" w:space="0" w:color="3A7FC1"/>
              <w:end w:val="single" w:sz="8" w:space="0" w:color="3A7FC1"/>
            </w:tcBorders>
            <w:shd w:fill="F0F6FC" w:val="clear"/>
          </w:tcPr>
          <w:p>
            <w:pPr>
              <w:pStyle w:val="Normal"/>
              <w:spacing w:lineRule="auto" w:line="264" w:before="0" w:after="60"/>
              <w:jc w:val="start"/>
              <w:rPr>
                <w:rFonts w:ascii="Times New Roman" w:hAnsi="Times New Roman" w:eastAsia="Times New Roman" w:cs="Times New Roman"/>
                <w:b w:val="false"/>
                <w:bCs w:val="false"/>
                <w:i/>
                <w:iCs/>
                <w:caps w:val="false"/>
                <w:smallCaps w:val="false"/>
                <w:color w:val="555555"/>
                <w:sz w:val="19"/>
                <w:szCs w:val="19"/>
              </w:rPr>
            </w:pPr>
            <w:r>
              <w:rPr>
                <w:rFonts w:eastAsia="Times New Roman" w:cs="Times New Roman"/>
                <w:b w:val="false"/>
                <w:bCs w:val="false"/>
                <w:i/>
                <w:iCs/>
                <w:caps w:val="false"/>
                <w:smallCaps w:val="false"/>
                <w:color w:val="555555"/>
                <w:sz w:val="19"/>
                <w:szCs w:val="19"/>
              </w:rPr>
              <w:drawing>
                <wp:anchor distT="0" distB="0" distL="0" distR="0" simplePos="0" relativeHeight="3" behindDoc="0" locked="0" layoutInCell="1" allowOverlap="1">
                  <wp:simplePos x="0" y="0"/>
                  <wp:positionH relativeFrom="column">
                    <wp:posOffset>-53975</wp:posOffset>
                  </wp:positionH>
                  <wp:positionV relativeFrom="paragraph">
                    <wp:posOffset>133350</wp:posOffset>
                  </wp:positionV>
                  <wp:extent cx="2470785" cy="142303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a:stretch>
                            <a:fillRect/>
                          </a:stretch>
                        </pic:blipFill>
                        <pic:spPr bwMode="auto">
                          <a:xfrm>
                            <a:off x="0" y="0"/>
                            <a:ext cx="2470785" cy="1423035"/>
                          </a:xfrm>
                          <a:prstGeom prst="rect">
                            <a:avLst/>
                          </a:prstGeom>
                          <a:noFill/>
                        </pic:spPr>
                      </pic:pic>
                    </a:graphicData>
                  </a:graphic>
                </wp:anchor>
              </w:drawing>
            </w:r>
          </w:p>
        </w:tc>
      </w:tr>
    </w:tbl>
    <w:p>
      <w:pPr>
        <w:pStyle w:val="Normal"/>
        <w:spacing w:lineRule="auto" w:line="264" w:before="60" w:after="160"/>
        <w:jc w:val="start"/>
        <w:rPr>
          <w:rFonts w:ascii="Times New Roman" w:hAnsi="Times New Roman"/>
        </w:rPr>
      </w:pPr>
      <w:r>
        <w:rPr>
          <w:rFonts w:eastAsia="Times New Roman" w:cs="Times New Roman"/>
          <w:b w:val="false"/>
          <w:bCs w:val="false"/>
          <w:i/>
          <w:iCs/>
          <w:caps w:val="false"/>
          <w:smallCaps w:val="false"/>
          <w:color w:val="555555"/>
          <w:sz w:val="19"/>
          <w:szCs w:val="19"/>
        </w:rPr>
        <w:t>Figure 1. TimeSeriesSplit cross-validation AUC stability. Fold number represents chronological order.</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The figure indicates relatively stable performance across folds, suggesting that the models are capturing consistent temporal patterns rather than overfitting to specific periods.</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Logistic Regression shows consistently lower performance, reflecting its inability to model non-linear interactions between shipment characteristics such as quantity, schedule constraints, and regional risk without explicit feature engineering. Exact fold-level AUC values are not reported here, but their trends are captured in the cross-validation plot.</w:t>
      </w:r>
    </w:p>
    <w:p>
      <w:pPr>
        <w:pStyle w:val="Heading2"/>
        <w:spacing w:lineRule="auto" w:line="264" w:before="200" w:after="80"/>
        <w:jc w:val="start"/>
        <w:rPr>
          <w:rFonts w:ascii="Times New Roman" w:hAnsi="Times New Roman"/>
        </w:rPr>
      </w:pPr>
      <w:r>
        <w:rPr>
          <w:rFonts w:eastAsia="Arial" w:cs="Arial" w:ascii="Times New Roman" w:hAnsi="Times New Roman"/>
          <w:b/>
          <w:bCs/>
          <w:i w:val="false"/>
          <w:iCs w:val="false"/>
          <w:caps w:val="false"/>
          <w:smallCaps w:val="false"/>
          <w:color w:val="2B5F9E"/>
          <w:sz w:val="23"/>
          <w:szCs w:val="23"/>
        </w:rPr>
        <w:t>4.2 Hold-Out Test Performance</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Final evaluation was conducted on the chronological hold-out set (most recent 20% of orders). Model performance is assessed using ROC and Precision–Recall curves, with detailed metrics reported for the selected production model.</w:t>
      </w:r>
    </w:p>
    <w:tbl>
      <w:tblPr>
        <w:tblW w:w="4320" w:type="dxa"/>
        <w:jc w:val="start"/>
        <w:tblInd w:w="0" w:type="dxa"/>
        <w:tblLayout w:type="fixed"/>
        <w:tblCellMar>
          <w:top w:w="200" w:type="dxa"/>
          <w:start w:w="300" w:type="dxa"/>
          <w:bottom w:w="200" w:type="dxa"/>
          <w:end w:w="300" w:type="dxa"/>
        </w:tblCellMar>
      </w:tblPr>
      <w:tblGrid>
        <w:gridCol w:w="4320"/>
      </w:tblGrid>
      <w:tr>
        <w:trPr/>
        <w:tc>
          <w:tcPr>
            <w:tcW w:w="4320" w:type="dxa"/>
            <w:tcBorders>
              <w:top w:val="single" w:sz="8" w:space="0" w:color="3A7FC1"/>
              <w:start w:val="single" w:sz="8" w:space="0" w:color="3A7FC1"/>
              <w:bottom w:val="single" w:sz="8" w:space="0" w:color="3A7FC1"/>
              <w:end w:val="single" w:sz="8" w:space="0" w:color="3A7FC1"/>
            </w:tcBorders>
            <w:shd w:fill="F0F6FC" w:val="clear"/>
          </w:tcPr>
          <w:p>
            <w:pPr>
              <w:pStyle w:val="Normal"/>
              <w:spacing w:lineRule="auto" w:line="264" w:before="0" w:after="60"/>
              <w:jc w:val="start"/>
              <w:rPr>
                <w:rFonts w:ascii="Times New Roman" w:hAnsi="Times New Roman" w:eastAsia="Times New Roman" w:cs="Times New Roman"/>
                <w:b w:val="false"/>
                <w:bCs w:val="false"/>
                <w:i/>
                <w:iCs/>
                <w:caps w:val="false"/>
                <w:smallCaps w:val="false"/>
                <w:color w:val="555555"/>
                <w:sz w:val="19"/>
                <w:szCs w:val="19"/>
              </w:rPr>
            </w:pPr>
            <w:r>
              <w:rPr>
                <w:rFonts w:eastAsia="Times New Roman" w:cs="Times New Roman"/>
                <w:b w:val="false"/>
                <w:bCs w:val="false"/>
                <w:i/>
                <w:iCs/>
                <w:caps w:val="false"/>
                <w:smallCaps w:val="false"/>
                <w:color w:val="555555"/>
                <w:sz w:val="19"/>
                <w:szCs w:val="19"/>
              </w:rPr>
              <w:drawing>
                <wp:anchor distT="0" distB="0" distL="0" distR="0" simplePos="0" relativeHeight="2" behindDoc="0" locked="0" layoutInCell="1" allowOverlap="1">
                  <wp:simplePos x="0" y="0"/>
                  <wp:positionH relativeFrom="column">
                    <wp:align>center</wp:align>
                  </wp:positionH>
                  <wp:positionV relativeFrom="paragraph">
                    <wp:posOffset>635</wp:posOffset>
                  </wp:positionV>
                  <wp:extent cx="2362200" cy="164465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6"/>
                          <a:stretch>
                            <a:fillRect/>
                          </a:stretch>
                        </pic:blipFill>
                        <pic:spPr bwMode="auto">
                          <a:xfrm>
                            <a:off x="0" y="0"/>
                            <a:ext cx="2362200" cy="1644650"/>
                          </a:xfrm>
                          <a:prstGeom prst="rect">
                            <a:avLst/>
                          </a:prstGeom>
                          <a:noFill/>
                        </pic:spPr>
                      </pic:pic>
                    </a:graphicData>
                  </a:graphic>
                </wp:anchor>
              </w:drawing>
            </w:r>
          </w:p>
        </w:tc>
      </w:tr>
    </w:tbl>
    <w:p>
      <w:pPr>
        <w:pStyle w:val="Normal"/>
        <w:spacing w:lineRule="auto" w:line="264" w:before="60" w:after="160"/>
        <w:jc w:val="start"/>
        <w:rPr>
          <w:rFonts w:ascii="Times New Roman" w:hAnsi="Times New Roman"/>
        </w:rPr>
      </w:pPr>
      <w:r>
        <w:rPr>
          <w:rFonts w:eastAsia="Times New Roman" w:cs="Times New Roman"/>
          <w:b w:val="false"/>
          <w:bCs w:val="false"/>
          <w:i/>
          <w:iCs/>
          <w:caps w:val="false"/>
          <w:smallCaps w:val="false"/>
          <w:color w:val="555555"/>
          <w:sz w:val="19"/>
          <w:szCs w:val="19"/>
        </w:rPr>
        <w:t>Figure 2. ROC curves on chronological test set. The dashed diagonal represents random selection.</w:t>
      </w:r>
    </w:p>
    <w:tbl>
      <w:tblPr>
        <w:tblW w:w="4320" w:type="dxa"/>
        <w:jc w:val="start"/>
        <w:tblInd w:w="0" w:type="dxa"/>
        <w:tblLayout w:type="fixed"/>
        <w:tblCellMar>
          <w:top w:w="200" w:type="dxa"/>
          <w:start w:w="300" w:type="dxa"/>
          <w:bottom w:w="200" w:type="dxa"/>
          <w:end w:w="300" w:type="dxa"/>
        </w:tblCellMar>
      </w:tblPr>
      <w:tblGrid>
        <w:gridCol w:w="4320"/>
      </w:tblGrid>
      <w:tr>
        <w:trPr/>
        <w:tc>
          <w:tcPr>
            <w:tcW w:w="4320" w:type="dxa"/>
            <w:tcBorders>
              <w:top w:val="single" w:sz="8" w:space="0" w:color="3A7FC1"/>
              <w:start w:val="single" w:sz="8" w:space="0" w:color="3A7FC1"/>
              <w:bottom w:val="single" w:sz="8" w:space="0" w:color="3A7FC1"/>
              <w:end w:val="single" w:sz="8" w:space="0" w:color="3A7FC1"/>
            </w:tcBorders>
            <w:shd w:fill="F0F6FC" w:val="clear"/>
          </w:tcPr>
          <w:p>
            <w:pPr>
              <w:pStyle w:val="Normal"/>
              <w:spacing w:lineRule="auto" w:line="264" w:before="0" w:after="60"/>
              <w:jc w:val="start"/>
              <w:rPr>
                <w:rFonts w:ascii="Times New Roman" w:hAnsi="Times New Roman" w:eastAsia="Times New Roman" w:cs="Times New Roman"/>
                <w:b w:val="false"/>
                <w:bCs w:val="false"/>
                <w:i/>
                <w:iCs/>
                <w:caps w:val="false"/>
                <w:smallCaps w:val="false"/>
                <w:color w:val="555555"/>
                <w:sz w:val="19"/>
                <w:szCs w:val="19"/>
              </w:rPr>
            </w:pPr>
            <w:r>
              <w:rPr>
                <w:rFonts w:eastAsia="Times New Roman" w:cs="Times New Roman"/>
                <w:b w:val="false"/>
                <w:bCs w:val="false"/>
                <w:i/>
                <w:iCs/>
                <w:caps w:val="false"/>
                <w:smallCaps w:val="false"/>
                <w:color w:val="555555"/>
                <w:sz w:val="19"/>
                <w:szCs w:val="19"/>
              </w:rPr>
              <w:drawing>
                <wp:anchor distT="0" distB="0" distL="0" distR="0" simplePos="0" relativeHeight="4" behindDoc="0" locked="0" layoutInCell="1" allowOverlap="1">
                  <wp:simplePos x="0" y="0"/>
                  <wp:positionH relativeFrom="column">
                    <wp:posOffset>0</wp:posOffset>
                  </wp:positionH>
                  <wp:positionV relativeFrom="paragraph">
                    <wp:posOffset>104775</wp:posOffset>
                  </wp:positionV>
                  <wp:extent cx="2362200" cy="166751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7"/>
                          <a:stretch>
                            <a:fillRect/>
                          </a:stretch>
                        </pic:blipFill>
                        <pic:spPr bwMode="auto">
                          <a:xfrm>
                            <a:off x="0" y="0"/>
                            <a:ext cx="2362200" cy="1667510"/>
                          </a:xfrm>
                          <a:prstGeom prst="rect">
                            <a:avLst/>
                          </a:prstGeom>
                          <a:noFill/>
                        </pic:spPr>
                      </pic:pic>
                    </a:graphicData>
                  </a:graphic>
                </wp:anchor>
              </w:drawing>
            </w:r>
          </w:p>
        </w:tc>
      </w:tr>
    </w:tbl>
    <w:p>
      <w:pPr>
        <w:pStyle w:val="Normal"/>
        <w:spacing w:lineRule="auto" w:line="264" w:before="60" w:after="160"/>
        <w:jc w:val="start"/>
        <w:rPr>
          <w:rFonts w:ascii="Times New Roman" w:hAnsi="Times New Roman"/>
        </w:rPr>
      </w:pPr>
      <w:r>
        <w:rPr>
          <w:rFonts w:eastAsia="Times New Roman" w:cs="Times New Roman"/>
          <w:b w:val="false"/>
          <w:bCs w:val="false"/>
          <w:i/>
          <w:iCs/>
          <w:caps w:val="false"/>
          <w:smallCaps w:val="false"/>
          <w:color w:val="555555"/>
          <w:sz w:val="19"/>
          <w:szCs w:val="19"/>
        </w:rPr>
        <w:t>Figure 3. Precision-Recall curves. Average Precision scores are reported in legend.</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Across both ROC and Precision–Recall curves, Random Forest demonstrates the strongest overall performance and is selected as the production model. While Logistic Regression shows weaker separation due to its linear structure, XGBoost performs competitively but does not outperform Random Forest on the hold-out set.</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For the selected Random Forest model, detailed metrics at the operational threshold of 0.35 are as follows:</w:t>
      </w:r>
    </w:p>
    <w:p>
      <w:pPr>
        <w:pStyle w:val="Normal"/>
        <w:spacing w:lineRule="auto" w:line="288" w:before="0" w:after="120"/>
        <w:ind w:firstLine="440"/>
        <w:jc w:val="start"/>
        <w:rPr>
          <w:rFonts w:ascii="Times New Roman" w:hAnsi="Times New Roman" w:eastAsia="Times New Roman" w:cs="Times New Roman"/>
          <w:b w:val="false"/>
          <w:bCs w:val="false"/>
          <w:i w:val="false"/>
          <w:iCs w:val="false"/>
          <w:caps w:val="false"/>
          <w:smallCaps w:val="false"/>
          <w:color w:val="000000"/>
          <w:sz w:val="22"/>
          <w:szCs w:val="22"/>
        </w:rPr>
      </w:pPr>
      <w:r>
        <w:rPr>
          <w:rFonts w:eastAsia="Times New Roman" w:cs="Times New Roman"/>
          <w:b w:val="false"/>
          <w:bCs w:val="false"/>
          <w:i w:val="false"/>
          <w:iCs w:val="false"/>
          <w:caps w:val="false"/>
          <w:smallCaps w:val="false"/>
          <w:color w:val="000000"/>
          <w:sz w:val="22"/>
          <w:szCs w:val="22"/>
        </w:rPr>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Metric</w:t>
        <w:tab/>
        <w:tab/>
        <w:t>Value</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ROC-AUC</w:t>
        <w:tab/>
        <w:tab/>
        <w:t>0.7435</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Precision</w:t>
        <w:tab/>
        <w:tab/>
        <w:t>0.627</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Recall</w:t>
        <w:tab/>
        <w:tab/>
        <w:t>0.816</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F1 Score</w:t>
        <w:tab/>
        <w:tab/>
        <w:t>0.709</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Random Forest achieves a ROC-AUC of 0.7435, indicating meaningful ranking ability above random selection. At the selected threshold, the model captures 81.6% of genuinely late orders while maintaining a Precision of 0.627.</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These results reflect a deliberate trade-off: high recall is prioritised to minimise missed delays, at the cost of moderate precision. Approximately 18% of late deliveries are not captured. Some of these may arise from factors not represented in the dataset (e.g., weather disruptions or carrier incidents), while others reflect inherent model limitations.</w:t>
      </w:r>
    </w:p>
    <w:p>
      <w:pPr>
        <w:pStyle w:val="Heading2"/>
        <w:spacing w:lineRule="auto" w:line="264" w:before="200" w:after="80"/>
        <w:jc w:val="start"/>
        <w:rPr>
          <w:rFonts w:ascii="Times New Roman" w:hAnsi="Times New Roman"/>
        </w:rPr>
      </w:pPr>
      <w:r>
        <w:rPr>
          <w:rFonts w:eastAsia="Arial" w:cs="Arial" w:ascii="Times New Roman" w:hAnsi="Times New Roman"/>
          <w:b/>
          <w:bCs/>
          <w:i w:val="false"/>
          <w:iCs w:val="false"/>
          <w:caps w:val="false"/>
          <w:smallCaps w:val="false"/>
          <w:color w:val="2B5F9E"/>
          <w:sz w:val="23"/>
          <w:szCs w:val="23"/>
        </w:rPr>
        <w:t>4.3 Threshold Sensitivity Analysis</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T</w:t>
      </w:r>
      <w:r>
        <w:rPr>
          <w:rFonts w:eastAsia="Times New Roman" w:cs="Times New Roman"/>
          <w:b w:val="false"/>
          <w:bCs w:val="false"/>
          <w:i w:val="false"/>
          <w:iCs w:val="false"/>
          <w:color w:val="000000"/>
          <w:sz w:val="22"/>
          <w:szCs w:val="22"/>
        </w:rPr>
        <w:t>able 4 shows the full threshold sensitivity profile for the Random Forest model on the chronological hold-out test set. All values are sourced directly from pipeline output.</w:t>
      </w:r>
    </w:p>
    <w:p>
      <w:pPr>
        <w:pStyle w:val="Normal"/>
        <w:spacing w:lineRule="auto" w:line="288" w:before="0" w:after="80"/>
        <w:jc w:val="start"/>
        <w:rPr>
          <w:rFonts w:ascii="Times New Roman" w:hAnsi="Times New Roman"/>
        </w:rPr>
      </w:pPr>
      <w:r>
        <w:rPr/>
      </w:r>
    </w:p>
    <w:tbl>
      <w:tblPr>
        <w:tblW w:w="4305" w:type="dxa"/>
        <w:jc w:val="start"/>
        <w:tblInd w:w="0" w:type="dxa"/>
        <w:tblLayout w:type="fixed"/>
        <w:tblCellMar>
          <w:top w:w="80" w:type="dxa"/>
          <w:start w:w="110" w:type="dxa"/>
          <w:bottom w:w="80" w:type="dxa"/>
          <w:end w:w="110" w:type="dxa"/>
        </w:tblCellMar>
      </w:tblPr>
      <w:tblGrid>
        <w:gridCol w:w="1080"/>
        <w:gridCol w:w="794"/>
        <w:gridCol w:w="736"/>
        <w:gridCol w:w="675"/>
        <w:gridCol w:w="1020"/>
      </w:tblGrid>
      <w:tr>
        <w:trPr>
          <w:tblHeader w:val="true"/>
        </w:trPr>
        <w:tc>
          <w:tcPr>
            <w:tcW w:w="1080" w:type="dxa"/>
            <w:tcBorders>
              <w:top w:val="single" w:sz="6" w:space="0" w:color="1A3560"/>
              <w:start w:val="single" w:sz="6" w:space="0" w:color="1A3560"/>
              <w:bottom w:val="single" w:sz="6" w:space="0" w:color="1A3560"/>
              <w:end w:val="single" w:sz="6" w:space="0" w:color="1A3560"/>
            </w:tcBorders>
            <w:shd w:fill="1A3560" w:val="clear"/>
          </w:tcPr>
          <w:p>
            <w:pPr>
              <w:pStyle w:val="Normal"/>
              <w:spacing w:lineRule="auto" w:line="288" w:before="0" w:after="0"/>
              <w:jc w:val="start"/>
              <w:rPr>
                <w:rFonts w:ascii="Times New Roman" w:hAnsi="Times New Roman"/>
              </w:rPr>
            </w:pPr>
            <w:r>
              <w:rPr>
                <w:rFonts w:eastAsia="Arial" w:cs="Arial"/>
                <w:b/>
                <w:bCs/>
                <w:color w:val="FFFFFF"/>
                <w:sz w:val="19"/>
                <w:szCs w:val="19"/>
              </w:rPr>
              <w:t>Threshold</w:t>
            </w:r>
          </w:p>
        </w:tc>
        <w:tc>
          <w:tcPr>
            <w:tcW w:w="794" w:type="dxa"/>
            <w:tcBorders>
              <w:top w:val="single" w:sz="6" w:space="0" w:color="1A3560"/>
              <w:start w:val="single" w:sz="6" w:space="0" w:color="1A3560"/>
              <w:bottom w:val="single" w:sz="6" w:space="0" w:color="1A3560"/>
              <w:end w:val="single" w:sz="6" w:space="0" w:color="1A3560"/>
            </w:tcBorders>
            <w:shd w:fill="1A3560" w:val="clear"/>
          </w:tcPr>
          <w:p>
            <w:pPr>
              <w:pStyle w:val="Normal"/>
              <w:spacing w:lineRule="auto" w:line="288" w:before="0" w:after="0"/>
              <w:jc w:val="start"/>
              <w:rPr>
                <w:rFonts w:ascii="Times New Roman" w:hAnsi="Times New Roman"/>
              </w:rPr>
            </w:pPr>
            <w:r>
              <w:rPr>
                <w:rFonts w:eastAsia="Arial" w:cs="Arial"/>
                <w:b/>
                <w:bCs/>
                <w:color w:val="FFFFFF"/>
                <w:sz w:val="19"/>
                <w:szCs w:val="19"/>
              </w:rPr>
              <w:t>Precision</w:t>
            </w:r>
          </w:p>
        </w:tc>
        <w:tc>
          <w:tcPr>
            <w:tcW w:w="736" w:type="dxa"/>
            <w:tcBorders>
              <w:top w:val="single" w:sz="6" w:space="0" w:color="1A3560"/>
              <w:start w:val="single" w:sz="6" w:space="0" w:color="1A3560"/>
              <w:bottom w:val="single" w:sz="6" w:space="0" w:color="1A3560"/>
              <w:end w:val="single" w:sz="6" w:space="0" w:color="1A3560"/>
            </w:tcBorders>
            <w:shd w:fill="1A3560" w:val="clear"/>
          </w:tcPr>
          <w:p>
            <w:pPr>
              <w:pStyle w:val="Normal"/>
              <w:spacing w:lineRule="auto" w:line="288" w:before="0" w:after="0"/>
              <w:jc w:val="start"/>
              <w:rPr>
                <w:rFonts w:ascii="Times New Roman" w:hAnsi="Times New Roman"/>
              </w:rPr>
            </w:pPr>
            <w:r>
              <w:rPr>
                <w:rFonts w:eastAsia="Arial" w:cs="Arial"/>
                <w:b/>
                <w:bCs/>
                <w:color w:val="FFFFFF"/>
                <w:sz w:val="19"/>
                <w:szCs w:val="19"/>
              </w:rPr>
              <w:t>Recall</w:t>
            </w:r>
          </w:p>
        </w:tc>
        <w:tc>
          <w:tcPr>
            <w:tcW w:w="675" w:type="dxa"/>
            <w:tcBorders>
              <w:top w:val="single" w:sz="6" w:space="0" w:color="1A3560"/>
              <w:start w:val="single" w:sz="6" w:space="0" w:color="1A3560"/>
              <w:bottom w:val="single" w:sz="6" w:space="0" w:color="1A3560"/>
              <w:end w:val="single" w:sz="6" w:space="0" w:color="1A3560"/>
            </w:tcBorders>
            <w:shd w:fill="1A3560" w:val="clear"/>
          </w:tcPr>
          <w:p>
            <w:pPr>
              <w:pStyle w:val="Normal"/>
              <w:spacing w:lineRule="auto" w:line="288" w:before="0" w:after="0"/>
              <w:jc w:val="start"/>
              <w:rPr>
                <w:rFonts w:ascii="Times New Roman" w:hAnsi="Times New Roman"/>
              </w:rPr>
            </w:pPr>
            <w:r>
              <w:rPr>
                <w:rFonts w:eastAsia="Arial" w:cs="Arial"/>
                <w:b/>
                <w:bCs/>
                <w:color w:val="FFFFFF"/>
                <w:sz w:val="19"/>
                <w:szCs w:val="19"/>
              </w:rPr>
              <w:t>F1 Score</w:t>
            </w:r>
          </w:p>
        </w:tc>
        <w:tc>
          <w:tcPr>
            <w:tcW w:w="1020" w:type="dxa"/>
            <w:tcBorders>
              <w:top w:val="single" w:sz="6" w:space="0" w:color="1A3560"/>
              <w:start w:val="single" w:sz="6" w:space="0" w:color="1A3560"/>
              <w:bottom w:val="single" w:sz="6" w:space="0" w:color="1A3560"/>
              <w:end w:val="single" w:sz="6" w:space="0" w:color="1A3560"/>
            </w:tcBorders>
            <w:shd w:fill="1A3560" w:val="clear"/>
          </w:tcPr>
          <w:p>
            <w:pPr>
              <w:pStyle w:val="Normal"/>
              <w:spacing w:lineRule="auto" w:line="288" w:before="0" w:after="0"/>
              <w:jc w:val="start"/>
              <w:rPr>
                <w:rFonts w:ascii="Times New Roman" w:hAnsi="Times New Roman"/>
              </w:rPr>
            </w:pPr>
            <w:r>
              <w:rPr>
                <w:rFonts w:eastAsia="Arial" w:cs="Arial"/>
                <w:b/>
                <w:bCs/>
                <w:color w:val="FFFFFF"/>
                <w:sz w:val="19"/>
                <w:szCs w:val="19"/>
              </w:rPr>
              <w:t>Orders Flagged (%)</w:t>
            </w:r>
          </w:p>
        </w:tc>
      </w:tr>
      <w:tr>
        <w:trPr/>
        <w:tc>
          <w:tcPr>
            <w:tcW w:w="1080" w:type="dxa"/>
            <w:tcBorders>
              <w:top w:val="single" w:sz="4" w:space="0" w:color="C5D8EC"/>
              <w:start w:val="single" w:sz="4" w:space="0" w:color="C5D8EC"/>
              <w:bottom w:val="single" w:sz="4" w:space="0" w:color="C5D8EC"/>
              <w:end w:val="single" w:sz="4" w:space="0" w:color="C5D8EC"/>
            </w:tcBorders>
            <w:shd w:fill="EBF3FB" w:val="clear"/>
            <w:tcMar>
              <w:top w:w="70" w:type="dxa"/>
              <w:bottom w:w="70" w:type="dxa"/>
            </w:tcMar>
          </w:tcPr>
          <w:p>
            <w:pPr>
              <w:pStyle w:val="Normal"/>
              <w:spacing w:lineRule="auto" w:line="288" w:before="0" w:after="0"/>
              <w:jc w:val="start"/>
              <w:rPr>
                <w:rFonts w:ascii="Times New Roman" w:hAnsi="Times New Roman"/>
              </w:rPr>
            </w:pPr>
            <w:r>
              <w:rPr>
                <w:rFonts w:eastAsia="Times New Roman" w:cs="Times New Roman"/>
                <w:color w:val="1A1A1A"/>
                <w:sz w:val="19"/>
                <w:szCs w:val="19"/>
              </w:rPr>
              <w:t>0.25</w:t>
            </w:r>
          </w:p>
        </w:tc>
        <w:tc>
          <w:tcPr>
            <w:tcW w:w="794" w:type="dxa"/>
            <w:tcBorders>
              <w:top w:val="single" w:sz="4" w:space="0" w:color="C5D8EC"/>
              <w:start w:val="single" w:sz="4" w:space="0" w:color="C5D8EC"/>
              <w:bottom w:val="single" w:sz="4" w:space="0" w:color="C5D8EC"/>
              <w:end w:val="single" w:sz="4" w:space="0" w:color="C5D8EC"/>
            </w:tcBorders>
            <w:shd w:fill="EBF3FB" w:val="clear"/>
            <w:tcMar>
              <w:top w:w="70" w:type="dxa"/>
              <w:bottom w:w="70" w:type="dxa"/>
            </w:tcMar>
          </w:tcPr>
          <w:p>
            <w:pPr>
              <w:pStyle w:val="Normal"/>
              <w:spacing w:lineRule="auto" w:line="288" w:before="0" w:after="0"/>
              <w:jc w:val="start"/>
              <w:rPr>
                <w:rFonts w:ascii="Times New Roman" w:hAnsi="Times New Roman"/>
              </w:rPr>
            </w:pPr>
            <w:r>
              <w:rPr>
                <w:rFonts w:eastAsia="Times New Roman" w:cs="Times New Roman"/>
                <w:color w:val="1A1A1A"/>
                <w:sz w:val="19"/>
                <w:szCs w:val="19"/>
              </w:rPr>
              <w:t>0.553</w:t>
            </w:r>
          </w:p>
        </w:tc>
        <w:tc>
          <w:tcPr>
            <w:tcW w:w="736" w:type="dxa"/>
            <w:tcBorders>
              <w:top w:val="single" w:sz="4" w:space="0" w:color="C5D8EC"/>
              <w:start w:val="single" w:sz="4" w:space="0" w:color="C5D8EC"/>
              <w:bottom w:val="single" w:sz="4" w:space="0" w:color="C5D8EC"/>
              <w:end w:val="single" w:sz="4" w:space="0" w:color="C5D8EC"/>
            </w:tcBorders>
            <w:shd w:fill="EBF3FB" w:val="clear"/>
            <w:tcMar>
              <w:top w:w="70" w:type="dxa"/>
              <w:bottom w:w="70" w:type="dxa"/>
            </w:tcMar>
          </w:tcPr>
          <w:p>
            <w:pPr>
              <w:pStyle w:val="Normal"/>
              <w:spacing w:lineRule="auto" w:line="288" w:before="0" w:after="0"/>
              <w:jc w:val="start"/>
              <w:rPr>
                <w:rFonts w:ascii="Times New Roman" w:hAnsi="Times New Roman"/>
              </w:rPr>
            </w:pPr>
            <w:r>
              <w:rPr>
                <w:rFonts w:eastAsia="Times New Roman" w:cs="Times New Roman"/>
                <w:color w:val="1A1A1A"/>
                <w:sz w:val="19"/>
                <w:szCs w:val="19"/>
              </w:rPr>
              <w:t>0.995</w:t>
            </w:r>
          </w:p>
        </w:tc>
        <w:tc>
          <w:tcPr>
            <w:tcW w:w="675" w:type="dxa"/>
            <w:tcBorders>
              <w:top w:val="single" w:sz="4" w:space="0" w:color="C5D8EC"/>
              <w:start w:val="single" w:sz="4" w:space="0" w:color="C5D8EC"/>
              <w:bottom w:val="single" w:sz="4" w:space="0" w:color="C5D8EC"/>
              <w:end w:val="single" w:sz="4" w:space="0" w:color="C5D8EC"/>
            </w:tcBorders>
            <w:shd w:fill="EBF3FB" w:val="clear"/>
            <w:tcMar>
              <w:top w:w="70" w:type="dxa"/>
              <w:bottom w:w="70" w:type="dxa"/>
            </w:tcMar>
          </w:tcPr>
          <w:p>
            <w:pPr>
              <w:pStyle w:val="Normal"/>
              <w:spacing w:lineRule="auto" w:line="288" w:before="0" w:after="0"/>
              <w:jc w:val="start"/>
              <w:rPr>
                <w:rFonts w:ascii="Times New Roman" w:hAnsi="Times New Roman"/>
              </w:rPr>
            </w:pPr>
            <w:r>
              <w:rPr>
                <w:rFonts w:eastAsia="Times New Roman" w:cs="Times New Roman"/>
                <w:color w:val="1A1A1A"/>
                <w:sz w:val="19"/>
                <w:szCs w:val="19"/>
              </w:rPr>
              <w:t>0.711</w:t>
            </w:r>
          </w:p>
        </w:tc>
        <w:tc>
          <w:tcPr>
            <w:tcW w:w="1020" w:type="dxa"/>
            <w:tcBorders>
              <w:top w:val="single" w:sz="4" w:space="0" w:color="C5D8EC"/>
              <w:start w:val="single" w:sz="4" w:space="0" w:color="C5D8EC"/>
              <w:bottom w:val="single" w:sz="4" w:space="0" w:color="C5D8EC"/>
              <w:end w:val="single" w:sz="4" w:space="0" w:color="C5D8EC"/>
            </w:tcBorders>
            <w:shd w:fill="EBF3FB" w:val="clear"/>
            <w:tcMar>
              <w:top w:w="70" w:type="dxa"/>
              <w:bottom w:w="70" w:type="dxa"/>
            </w:tcMar>
          </w:tcPr>
          <w:p>
            <w:pPr>
              <w:pStyle w:val="Normal"/>
              <w:spacing w:lineRule="auto" w:line="288" w:before="0" w:after="0"/>
              <w:jc w:val="start"/>
              <w:rPr>
                <w:rFonts w:ascii="Times New Roman" w:hAnsi="Times New Roman"/>
              </w:rPr>
            </w:pPr>
            <w:r>
              <w:rPr>
                <w:rFonts w:eastAsia="Times New Roman" w:cs="Times New Roman"/>
                <w:color w:val="1A1A1A"/>
                <w:sz w:val="19"/>
                <w:szCs w:val="19"/>
              </w:rPr>
              <w:t>99.2%</w:t>
            </w:r>
          </w:p>
        </w:tc>
      </w:tr>
      <w:tr>
        <w:trPr/>
        <w:tc>
          <w:tcPr>
            <w:tcW w:w="1080" w:type="dxa"/>
            <w:tcBorders>
              <w:top w:val="single" w:sz="4" w:space="0" w:color="C5D8EC"/>
              <w:start w:val="single" w:sz="4" w:space="0" w:color="C5D8EC"/>
              <w:bottom w:val="single" w:sz="4" w:space="0" w:color="C5D8EC"/>
              <w:end w:val="single" w:sz="4" w:space="0" w:color="C5D8EC"/>
            </w:tcBorders>
            <w:tcMar>
              <w:top w:w="70" w:type="dxa"/>
              <w:bottom w:w="70" w:type="dxa"/>
            </w:tcMar>
          </w:tcPr>
          <w:p>
            <w:pPr>
              <w:pStyle w:val="Normal"/>
              <w:spacing w:lineRule="auto" w:line="288" w:before="0" w:after="0"/>
              <w:jc w:val="start"/>
              <w:rPr>
                <w:rFonts w:ascii="Times New Roman" w:hAnsi="Times New Roman"/>
              </w:rPr>
            </w:pPr>
            <w:r>
              <w:rPr>
                <w:rFonts w:eastAsia="Times New Roman" w:cs="Times New Roman"/>
                <w:color w:val="1A1A1A"/>
                <w:sz w:val="19"/>
                <w:szCs w:val="19"/>
              </w:rPr>
              <w:t>0.30</w:t>
            </w:r>
          </w:p>
        </w:tc>
        <w:tc>
          <w:tcPr>
            <w:tcW w:w="794" w:type="dxa"/>
            <w:tcBorders>
              <w:top w:val="single" w:sz="4" w:space="0" w:color="C5D8EC"/>
              <w:start w:val="single" w:sz="4" w:space="0" w:color="C5D8EC"/>
              <w:bottom w:val="single" w:sz="4" w:space="0" w:color="C5D8EC"/>
              <w:end w:val="single" w:sz="4" w:space="0" w:color="C5D8EC"/>
            </w:tcBorders>
            <w:tcMar>
              <w:top w:w="70" w:type="dxa"/>
              <w:bottom w:w="70" w:type="dxa"/>
            </w:tcMar>
          </w:tcPr>
          <w:p>
            <w:pPr>
              <w:pStyle w:val="Normal"/>
              <w:spacing w:lineRule="auto" w:line="288" w:before="0" w:after="0"/>
              <w:jc w:val="start"/>
              <w:rPr>
                <w:rFonts w:ascii="Times New Roman" w:hAnsi="Times New Roman"/>
              </w:rPr>
            </w:pPr>
            <w:r>
              <w:rPr>
                <w:rFonts w:eastAsia="Times New Roman" w:cs="Times New Roman"/>
                <w:color w:val="1A1A1A"/>
                <w:sz w:val="19"/>
                <w:szCs w:val="19"/>
              </w:rPr>
              <w:t>0.570</w:t>
            </w:r>
          </w:p>
        </w:tc>
        <w:tc>
          <w:tcPr>
            <w:tcW w:w="736" w:type="dxa"/>
            <w:tcBorders>
              <w:top w:val="single" w:sz="4" w:space="0" w:color="C5D8EC"/>
              <w:start w:val="single" w:sz="4" w:space="0" w:color="C5D8EC"/>
              <w:bottom w:val="single" w:sz="4" w:space="0" w:color="C5D8EC"/>
              <w:end w:val="single" w:sz="4" w:space="0" w:color="C5D8EC"/>
            </w:tcBorders>
            <w:tcMar>
              <w:top w:w="70" w:type="dxa"/>
              <w:bottom w:w="70" w:type="dxa"/>
            </w:tcMar>
          </w:tcPr>
          <w:p>
            <w:pPr>
              <w:pStyle w:val="Normal"/>
              <w:spacing w:lineRule="auto" w:line="288" w:before="0" w:after="0"/>
              <w:jc w:val="start"/>
              <w:rPr>
                <w:rFonts w:ascii="Times New Roman" w:hAnsi="Times New Roman"/>
              </w:rPr>
            </w:pPr>
            <w:r>
              <w:rPr>
                <w:rFonts w:eastAsia="Times New Roman" w:cs="Times New Roman"/>
                <w:color w:val="1A1A1A"/>
                <w:sz w:val="19"/>
                <w:szCs w:val="19"/>
              </w:rPr>
              <w:t>0.948</w:t>
            </w:r>
          </w:p>
        </w:tc>
        <w:tc>
          <w:tcPr>
            <w:tcW w:w="675" w:type="dxa"/>
            <w:tcBorders>
              <w:top w:val="single" w:sz="4" w:space="0" w:color="C5D8EC"/>
              <w:start w:val="single" w:sz="4" w:space="0" w:color="C5D8EC"/>
              <w:bottom w:val="single" w:sz="4" w:space="0" w:color="C5D8EC"/>
              <w:end w:val="single" w:sz="4" w:space="0" w:color="C5D8EC"/>
            </w:tcBorders>
            <w:tcMar>
              <w:top w:w="70" w:type="dxa"/>
              <w:bottom w:w="70" w:type="dxa"/>
            </w:tcMar>
          </w:tcPr>
          <w:p>
            <w:pPr>
              <w:pStyle w:val="Normal"/>
              <w:spacing w:lineRule="auto" w:line="288" w:before="0" w:after="0"/>
              <w:jc w:val="start"/>
              <w:rPr>
                <w:rFonts w:ascii="Times New Roman" w:hAnsi="Times New Roman"/>
              </w:rPr>
            </w:pPr>
            <w:r>
              <w:rPr>
                <w:rFonts w:eastAsia="Times New Roman" w:cs="Times New Roman"/>
                <w:color w:val="1A1A1A"/>
                <w:sz w:val="19"/>
                <w:szCs w:val="19"/>
              </w:rPr>
              <w:t>0.712</w:t>
            </w:r>
          </w:p>
        </w:tc>
        <w:tc>
          <w:tcPr>
            <w:tcW w:w="1020" w:type="dxa"/>
            <w:tcBorders>
              <w:top w:val="single" w:sz="4" w:space="0" w:color="C5D8EC"/>
              <w:start w:val="single" w:sz="4" w:space="0" w:color="C5D8EC"/>
              <w:bottom w:val="single" w:sz="4" w:space="0" w:color="C5D8EC"/>
              <w:end w:val="single" w:sz="4" w:space="0" w:color="C5D8EC"/>
            </w:tcBorders>
            <w:tcMar>
              <w:top w:w="70" w:type="dxa"/>
              <w:bottom w:w="70" w:type="dxa"/>
            </w:tcMar>
          </w:tcPr>
          <w:p>
            <w:pPr>
              <w:pStyle w:val="Normal"/>
              <w:spacing w:lineRule="auto" w:line="288" w:before="0" w:after="0"/>
              <w:jc w:val="start"/>
              <w:rPr>
                <w:rFonts w:ascii="Times New Roman" w:hAnsi="Times New Roman"/>
              </w:rPr>
            </w:pPr>
            <w:r>
              <w:rPr>
                <w:rFonts w:eastAsia="Times New Roman" w:cs="Times New Roman"/>
                <w:color w:val="1A1A1A"/>
                <w:sz w:val="19"/>
                <w:szCs w:val="19"/>
              </w:rPr>
              <w:t>91.7%</w:t>
            </w:r>
          </w:p>
        </w:tc>
      </w:tr>
      <w:tr>
        <w:trPr/>
        <w:tc>
          <w:tcPr>
            <w:tcW w:w="1080" w:type="dxa"/>
            <w:tcBorders>
              <w:top w:val="single" w:sz="4" w:space="0" w:color="C5D8EC"/>
              <w:start w:val="single" w:sz="4" w:space="0" w:color="C5D8EC"/>
              <w:bottom w:val="single" w:sz="4" w:space="0" w:color="C5D8EC"/>
              <w:end w:val="single" w:sz="4" w:space="0" w:color="C5D8EC"/>
            </w:tcBorders>
            <w:shd w:fill="EBF3FB" w:val="clear"/>
            <w:tcMar>
              <w:top w:w="70" w:type="dxa"/>
              <w:bottom w:w="70" w:type="dxa"/>
            </w:tcMar>
          </w:tcPr>
          <w:p>
            <w:pPr>
              <w:pStyle w:val="Normal"/>
              <w:spacing w:lineRule="auto" w:line="288" w:before="0" w:after="0"/>
              <w:jc w:val="start"/>
              <w:rPr>
                <w:rFonts w:ascii="Times New Roman" w:hAnsi="Times New Roman"/>
              </w:rPr>
            </w:pPr>
            <w:r>
              <w:rPr>
                <w:rFonts w:eastAsia="Times New Roman" w:cs="Times New Roman"/>
                <w:color w:val="1A5C1A"/>
                <w:sz w:val="19"/>
                <w:szCs w:val="19"/>
              </w:rPr>
              <w:t>0.35  ◀  SELECTED</w:t>
            </w:r>
          </w:p>
        </w:tc>
        <w:tc>
          <w:tcPr>
            <w:tcW w:w="794" w:type="dxa"/>
            <w:tcBorders>
              <w:top w:val="single" w:sz="4" w:space="0" w:color="C5D8EC"/>
              <w:start w:val="single" w:sz="4" w:space="0" w:color="C5D8EC"/>
              <w:bottom w:val="single" w:sz="4" w:space="0" w:color="C5D8EC"/>
              <w:end w:val="single" w:sz="4" w:space="0" w:color="C5D8EC"/>
            </w:tcBorders>
            <w:shd w:fill="EBF3FB" w:val="clear"/>
            <w:tcMar>
              <w:top w:w="70" w:type="dxa"/>
              <w:bottom w:w="70" w:type="dxa"/>
            </w:tcMar>
          </w:tcPr>
          <w:p>
            <w:pPr>
              <w:pStyle w:val="Normal"/>
              <w:spacing w:lineRule="auto" w:line="288" w:before="0" w:after="0"/>
              <w:jc w:val="start"/>
              <w:rPr>
                <w:rFonts w:ascii="Times New Roman" w:hAnsi="Times New Roman"/>
              </w:rPr>
            </w:pPr>
            <w:r>
              <w:rPr>
                <w:rFonts w:eastAsia="Times New Roman" w:cs="Times New Roman"/>
                <w:color w:val="1A5C1A"/>
                <w:sz w:val="19"/>
                <w:szCs w:val="19"/>
              </w:rPr>
              <w:t>0.627</w:t>
            </w:r>
          </w:p>
        </w:tc>
        <w:tc>
          <w:tcPr>
            <w:tcW w:w="736" w:type="dxa"/>
            <w:tcBorders>
              <w:top w:val="single" w:sz="4" w:space="0" w:color="C5D8EC"/>
              <w:start w:val="single" w:sz="4" w:space="0" w:color="C5D8EC"/>
              <w:bottom w:val="single" w:sz="4" w:space="0" w:color="C5D8EC"/>
              <w:end w:val="single" w:sz="4" w:space="0" w:color="C5D8EC"/>
            </w:tcBorders>
            <w:shd w:fill="EBF3FB" w:val="clear"/>
            <w:tcMar>
              <w:top w:w="70" w:type="dxa"/>
              <w:bottom w:w="70" w:type="dxa"/>
            </w:tcMar>
          </w:tcPr>
          <w:p>
            <w:pPr>
              <w:pStyle w:val="Normal"/>
              <w:spacing w:lineRule="auto" w:line="288" w:before="0" w:after="0"/>
              <w:jc w:val="start"/>
              <w:rPr>
                <w:rFonts w:ascii="Times New Roman" w:hAnsi="Times New Roman"/>
              </w:rPr>
            </w:pPr>
            <w:r>
              <w:rPr>
                <w:rFonts w:eastAsia="Times New Roman" w:cs="Times New Roman"/>
                <w:color w:val="1A5C1A"/>
                <w:sz w:val="19"/>
                <w:szCs w:val="19"/>
              </w:rPr>
              <w:t>0.816</w:t>
            </w:r>
          </w:p>
        </w:tc>
        <w:tc>
          <w:tcPr>
            <w:tcW w:w="675" w:type="dxa"/>
            <w:tcBorders>
              <w:top w:val="single" w:sz="4" w:space="0" w:color="C5D8EC"/>
              <w:start w:val="single" w:sz="4" w:space="0" w:color="C5D8EC"/>
              <w:bottom w:val="single" w:sz="4" w:space="0" w:color="C5D8EC"/>
              <w:end w:val="single" w:sz="4" w:space="0" w:color="C5D8EC"/>
            </w:tcBorders>
            <w:shd w:fill="EBF3FB" w:val="clear"/>
            <w:tcMar>
              <w:top w:w="70" w:type="dxa"/>
              <w:bottom w:w="70" w:type="dxa"/>
            </w:tcMar>
          </w:tcPr>
          <w:p>
            <w:pPr>
              <w:pStyle w:val="Normal"/>
              <w:spacing w:lineRule="auto" w:line="288" w:before="0" w:after="0"/>
              <w:jc w:val="start"/>
              <w:rPr>
                <w:rFonts w:ascii="Times New Roman" w:hAnsi="Times New Roman"/>
              </w:rPr>
            </w:pPr>
            <w:r>
              <w:rPr>
                <w:rFonts w:eastAsia="Times New Roman" w:cs="Times New Roman"/>
                <w:color w:val="1A5C1A"/>
                <w:sz w:val="19"/>
                <w:szCs w:val="19"/>
              </w:rPr>
              <w:t>0.709</w:t>
            </w:r>
          </w:p>
        </w:tc>
        <w:tc>
          <w:tcPr>
            <w:tcW w:w="1020" w:type="dxa"/>
            <w:tcBorders>
              <w:top w:val="single" w:sz="4" w:space="0" w:color="C5D8EC"/>
              <w:start w:val="single" w:sz="4" w:space="0" w:color="C5D8EC"/>
              <w:bottom w:val="single" w:sz="4" w:space="0" w:color="C5D8EC"/>
              <w:end w:val="single" w:sz="4" w:space="0" w:color="C5D8EC"/>
            </w:tcBorders>
            <w:shd w:fill="EBF3FB" w:val="clear"/>
            <w:tcMar>
              <w:top w:w="70" w:type="dxa"/>
              <w:bottom w:w="70" w:type="dxa"/>
            </w:tcMar>
          </w:tcPr>
          <w:p>
            <w:pPr>
              <w:pStyle w:val="Normal"/>
              <w:spacing w:lineRule="auto" w:line="288" w:before="0" w:after="0"/>
              <w:jc w:val="start"/>
              <w:rPr>
                <w:rFonts w:ascii="Times New Roman" w:hAnsi="Times New Roman"/>
              </w:rPr>
            </w:pPr>
            <w:r>
              <w:rPr>
                <w:rFonts w:eastAsia="Times New Roman" w:cs="Times New Roman"/>
                <w:color w:val="1A5C1A"/>
                <w:sz w:val="19"/>
                <w:szCs w:val="19"/>
              </w:rPr>
              <w:t>71.8%</w:t>
            </w:r>
          </w:p>
        </w:tc>
      </w:tr>
      <w:tr>
        <w:trPr/>
        <w:tc>
          <w:tcPr>
            <w:tcW w:w="1080" w:type="dxa"/>
            <w:tcBorders>
              <w:top w:val="single" w:sz="4" w:space="0" w:color="C5D8EC"/>
              <w:start w:val="single" w:sz="4" w:space="0" w:color="C5D8EC"/>
              <w:bottom w:val="single" w:sz="4" w:space="0" w:color="C5D8EC"/>
              <w:end w:val="single" w:sz="4" w:space="0" w:color="C5D8EC"/>
            </w:tcBorders>
            <w:tcMar>
              <w:top w:w="70" w:type="dxa"/>
              <w:bottom w:w="70" w:type="dxa"/>
            </w:tcMar>
          </w:tcPr>
          <w:p>
            <w:pPr>
              <w:pStyle w:val="Normal"/>
              <w:spacing w:lineRule="auto" w:line="288" w:before="0" w:after="0"/>
              <w:jc w:val="start"/>
              <w:rPr>
                <w:rFonts w:ascii="Times New Roman" w:hAnsi="Times New Roman"/>
              </w:rPr>
            </w:pPr>
            <w:r>
              <w:rPr>
                <w:rFonts w:eastAsia="Times New Roman" w:cs="Times New Roman"/>
                <w:color w:val="1A1A1A"/>
                <w:sz w:val="19"/>
                <w:szCs w:val="19"/>
              </w:rPr>
              <w:t>0.40</w:t>
            </w:r>
          </w:p>
        </w:tc>
        <w:tc>
          <w:tcPr>
            <w:tcW w:w="794" w:type="dxa"/>
            <w:tcBorders>
              <w:top w:val="single" w:sz="4" w:space="0" w:color="C5D8EC"/>
              <w:start w:val="single" w:sz="4" w:space="0" w:color="C5D8EC"/>
              <w:bottom w:val="single" w:sz="4" w:space="0" w:color="C5D8EC"/>
              <w:end w:val="single" w:sz="4" w:space="0" w:color="C5D8EC"/>
            </w:tcBorders>
            <w:tcMar>
              <w:top w:w="70" w:type="dxa"/>
              <w:bottom w:w="70" w:type="dxa"/>
            </w:tcMar>
          </w:tcPr>
          <w:p>
            <w:pPr>
              <w:pStyle w:val="Normal"/>
              <w:spacing w:lineRule="auto" w:line="288" w:before="0" w:after="0"/>
              <w:jc w:val="start"/>
              <w:rPr>
                <w:rFonts w:ascii="Times New Roman" w:hAnsi="Times New Roman"/>
              </w:rPr>
            </w:pPr>
            <w:r>
              <w:rPr>
                <w:rFonts w:eastAsia="Times New Roman" w:cs="Times New Roman"/>
                <w:color w:val="1A1A1A"/>
                <w:sz w:val="19"/>
                <w:szCs w:val="19"/>
              </w:rPr>
              <w:t>0.734</w:t>
            </w:r>
          </w:p>
        </w:tc>
        <w:tc>
          <w:tcPr>
            <w:tcW w:w="736" w:type="dxa"/>
            <w:tcBorders>
              <w:top w:val="single" w:sz="4" w:space="0" w:color="C5D8EC"/>
              <w:start w:val="single" w:sz="4" w:space="0" w:color="C5D8EC"/>
              <w:bottom w:val="single" w:sz="4" w:space="0" w:color="C5D8EC"/>
              <w:end w:val="single" w:sz="4" w:space="0" w:color="C5D8EC"/>
            </w:tcBorders>
            <w:tcMar>
              <w:top w:w="70" w:type="dxa"/>
              <w:bottom w:w="70" w:type="dxa"/>
            </w:tcMar>
          </w:tcPr>
          <w:p>
            <w:pPr>
              <w:pStyle w:val="Normal"/>
              <w:spacing w:lineRule="auto" w:line="288" w:before="0" w:after="0"/>
              <w:jc w:val="start"/>
              <w:rPr>
                <w:rFonts w:ascii="Times New Roman" w:hAnsi="Times New Roman"/>
              </w:rPr>
            </w:pPr>
            <w:r>
              <w:rPr>
                <w:rFonts w:eastAsia="Times New Roman" w:cs="Times New Roman"/>
                <w:color w:val="1A1A1A"/>
                <w:sz w:val="19"/>
                <w:szCs w:val="19"/>
              </w:rPr>
              <w:t>0.652</w:t>
            </w:r>
          </w:p>
        </w:tc>
        <w:tc>
          <w:tcPr>
            <w:tcW w:w="675" w:type="dxa"/>
            <w:tcBorders>
              <w:top w:val="single" w:sz="4" w:space="0" w:color="C5D8EC"/>
              <w:start w:val="single" w:sz="4" w:space="0" w:color="C5D8EC"/>
              <w:bottom w:val="single" w:sz="4" w:space="0" w:color="C5D8EC"/>
              <w:end w:val="single" w:sz="4" w:space="0" w:color="C5D8EC"/>
            </w:tcBorders>
            <w:tcMar>
              <w:top w:w="70" w:type="dxa"/>
              <w:bottom w:w="70" w:type="dxa"/>
            </w:tcMar>
          </w:tcPr>
          <w:p>
            <w:pPr>
              <w:pStyle w:val="Normal"/>
              <w:spacing w:lineRule="auto" w:line="288" w:before="0" w:after="0"/>
              <w:jc w:val="start"/>
              <w:rPr>
                <w:rFonts w:ascii="Times New Roman" w:hAnsi="Times New Roman"/>
              </w:rPr>
            </w:pPr>
            <w:r>
              <w:rPr>
                <w:rFonts w:eastAsia="Times New Roman" w:cs="Times New Roman"/>
                <w:color w:val="1A1A1A"/>
                <w:sz w:val="19"/>
                <w:szCs w:val="19"/>
              </w:rPr>
              <w:t>0.690</w:t>
            </w:r>
          </w:p>
        </w:tc>
        <w:tc>
          <w:tcPr>
            <w:tcW w:w="1020" w:type="dxa"/>
            <w:tcBorders>
              <w:top w:val="single" w:sz="4" w:space="0" w:color="C5D8EC"/>
              <w:start w:val="single" w:sz="4" w:space="0" w:color="C5D8EC"/>
              <w:bottom w:val="single" w:sz="4" w:space="0" w:color="C5D8EC"/>
              <w:end w:val="single" w:sz="4" w:space="0" w:color="C5D8EC"/>
            </w:tcBorders>
            <w:tcMar>
              <w:top w:w="70" w:type="dxa"/>
              <w:bottom w:w="70" w:type="dxa"/>
            </w:tcMar>
          </w:tcPr>
          <w:p>
            <w:pPr>
              <w:pStyle w:val="Normal"/>
              <w:spacing w:lineRule="auto" w:line="288" w:before="0" w:after="0"/>
              <w:jc w:val="start"/>
              <w:rPr>
                <w:rFonts w:ascii="Times New Roman" w:hAnsi="Times New Roman"/>
              </w:rPr>
            </w:pPr>
            <w:r>
              <w:rPr>
                <w:rFonts w:eastAsia="Times New Roman" w:cs="Times New Roman"/>
                <w:color w:val="1A1A1A"/>
                <w:sz w:val="19"/>
                <w:szCs w:val="19"/>
              </w:rPr>
              <w:t>49.0%</w:t>
            </w:r>
          </w:p>
        </w:tc>
      </w:tr>
      <w:tr>
        <w:trPr/>
        <w:tc>
          <w:tcPr>
            <w:tcW w:w="1080" w:type="dxa"/>
            <w:tcBorders>
              <w:top w:val="single" w:sz="4" w:space="0" w:color="C5D8EC"/>
              <w:start w:val="single" w:sz="4" w:space="0" w:color="C5D8EC"/>
              <w:bottom w:val="single" w:sz="4" w:space="0" w:color="C5D8EC"/>
              <w:end w:val="single" w:sz="4" w:space="0" w:color="C5D8EC"/>
            </w:tcBorders>
            <w:shd w:fill="EBF3FB" w:val="clear"/>
            <w:tcMar>
              <w:top w:w="70" w:type="dxa"/>
              <w:bottom w:w="70" w:type="dxa"/>
            </w:tcMar>
          </w:tcPr>
          <w:p>
            <w:pPr>
              <w:pStyle w:val="Normal"/>
              <w:spacing w:lineRule="auto" w:line="288" w:before="0" w:after="0"/>
              <w:jc w:val="start"/>
              <w:rPr>
                <w:rFonts w:ascii="Times New Roman" w:hAnsi="Times New Roman"/>
              </w:rPr>
            </w:pPr>
            <w:r>
              <w:rPr>
                <w:rFonts w:eastAsia="Times New Roman" w:cs="Times New Roman"/>
                <w:color w:val="1A1A1A"/>
                <w:sz w:val="19"/>
                <w:szCs w:val="19"/>
              </w:rPr>
              <w:t>0.45</w:t>
            </w:r>
          </w:p>
        </w:tc>
        <w:tc>
          <w:tcPr>
            <w:tcW w:w="794" w:type="dxa"/>
            <w:tcBorders>
              <w:top w:val="single" w:sz="4" w:space="0" w:color="C5D8EC"/>
              <w:start w:val="single" w:sz="4" w:space="0" w:color="C5D8EC"/>
              <w:bottom w:val="single" w:sz="4" w:space="0" w:color="C5D8EC"/>
              <w:end w:val="single" w:sz="4" w:space="0" w:color="C5D8EC"/>
            </w:tcBorders>
            <w:shd w:fill="EBF3FB" w:val="clear"/>
            <w:tcMar>
              <w:top w:w="70" w:type="dxa"/>
              <w:bottom w:w="70" w:type="dxa"/>
            </w:tcMar>
          </w:tcPr>
          <w:p>
            <w:pPr>
              <w:pStyle w:val="Normal"/>
              <w:spacing w:lineRule="auto" w:line="288" w:before="0" w:after="0"/>
              <w:jc w:val="start"/>
              <w:rPr>
                <w:rFonts w:ascii="Times New Roman" w:hAnsi="Times New Roman"/>
              </w:rPr>
            </w:pPr>
            <w:r>
              <w:rPr>
                <w:rFonts w:eastAsia="Times New Roman" w:cs="Times New Roman"/>
                <w:color w:val="1A1A1A"/>
                <w:sz w:val="19"/>
                <w:szCs w:val="19"/>
              </w:rPr>
              <w:t>0.790</w:t>
            </w:r>
          </w:p>
        </w:tc>
        <w:tc>
          <w:tcPr>
            <w:tcW w:w="736" w:type="dxa"/>
            <w:tcBorders>
              <w:top w:val="single" w:sz="4" w:space="0" w:color="C5D8EC"/>
              <w:start w:val="single" w:sz="4" w:space="0" w:color="C5D8EC"/>
              <w:bottom w:val="single" w:sz="4" w:space="0" w:color="C5D8EC"/>
              <w:end w:val="single" w:sz="4" w:space="0" w:color="C5D8EC"/>
            </w:tcBorders>
            <w:shd w:fill="EBF3FB" w:val="clear"/>
            <w:tcMar>
              <w:top w:w="70" w:type="dxa"/>
              <w:bottom w:w="70" w:type="dxa"/>
            </w:tcMar>
          </w:tcPr>
          <w:p>
            <w:pPr>
              <w:pStyle w:val="Normal"/>
              <w:spacing w:lineRule="auto" w:line="288" w:before="0" w:after="0"/>
              <w:jc w:val="start"/>
              <w:rPr>
                <w:rFonts w:ascii="Times New Roman" w:hAnsi="Times New Roman"/>
              </w:rPr>
            </w:pPr>
            <w:r>
              <w:rPr>
                <w:rFonts w:eastAsia="Times New Roman" w:cs="Times New Roman"/>
                <w:color w:val="1A1A1A"/>
                <w:sz w:val="19"/>
                <w:szCs w:val="19"/>
              </w:rPr>
              <w:t>0.592</w:t>
            </w:r>
          </w:p>
        </w:tc>
        <w:tc>
          <w:tcPr>
            <w:tcW w:w="675" w:type="dxa"/>
            <w:tcBorders>
              <w:top w:val="single" w:sz="4" w:space="0" w:color="C5D8EC"/>
              <w:start w:val="single" w:sz="4" w:space="0" w:color="C5D8EC"/>
              <w:bottom w:val="single" w:sz="4" w:space="0" w:color="C5D8EC"/>
              <w:end w:val="single" w:sz="4" w:space="0" w:color="C5D8EC"/>
            </w:tcBorders>
            <w:shd w:fill="EBF3FB" w:val="clear"/>
            <w:tcMar>
              <w:top w:w="70" w:type="dxa"/>
              <w:bottom w:w="70" w:type="dxa"/>
            </w:tcMar>
          </w:tcPr>
          <w:p>
            <w:pPr>
              <w:pStyle w:val="Normal"/>
              <w:spacing w:lineRule="auto" w:line="288" w:before="0" w:after="0"/>
              <w:jc w:val="start"/>
              <w:rPr>
                <w:rFonts w:ascii="Times New Roman" w:hAnsi="Times New Roman"/>
              </w:rPr>
            </w:pPr>
            <w:r>
              <w:rPr>
                <w:rFonts w:eastAsia="Times New Roman" w:cs="Times New Roman"/>
                <w:color w:val="1A1A1A"/>
                <w:sz w:val="19"/>
                <w:szCs w:val="19"/>
              </w:rPr>
              <w:t>0.677</w:t>
            </w:r>
          </w:p>
        </w:tc>
        <w:tc>
          <w:tcPr>
            <w:tcW w:w="1020" w:type="dxa"/>
            <w:tcBorders>
              <w:top w:val="single" w:sz="4" w:space="0" w:color="C5D8EC"/>
              <w:start w:val="single" w:sz="4" w:space="0" w:color="C5D8EC"/>
              <w:bottom w:val="single" w:sz="4" w:space="0" w:color="C5D8EC"/>
              <w:end w:val="single" w:sz="4" w:space="0" w:color="C5D8EC"/>
            </w:tcBorders>
            <w:shd w:fill="EBF3FB" w:val="clear"/>
            <w:tcMar>
              <w:top w:w="70" w:type="dxa"/>
              <w:bottom w:w="70" w:type="dxa"/>
            </w:tcMar>
          </w:tcPr>
          <w:p>
            <w:pPr>
              <w:pStyle w:val="Normal"/>
              <w:spacing w:lineRule="auto" w:line="288" w:before="0" w:after="0"/>
              <w:jc w:val="start"/>
              <w:rPr>
                <w:rFonts w:ascii="Times New Roman" w:hAnsi="Times New Roman"/>
              </w:rPr>
            </w:pPr>
            <w:r>
              <w:rPr>
                <w:rFonts w:eastAsia="Times New Roman" w:cs="Times New Roman"/>
                <w:color w:val="1A1A1A"/>
                <w:sz w:val="19"/>
                <w:szCs w:val="19"/>
              </w:rPr>
              <w:t>41.3%</w:t>
            </w:r>
          </w:p>
        </w:tc>
      </w:tr>
      <w:tr>
        <w:trPr/>
        <w:tc>
          <w:tcPr>
            <w:tcW w:w="1080" w:type="dxa"/>
            <w:tcBorders>
              <w:top w:val="single" w:sz="4" w:space="0" w:color="C5D8EC"/>
              <w:start w:val="single" w:sz="4" w:space="0" w:color="C5D8EC"/>
              <w:bottom w:val="single" w:sz="4" w:space="0" w:color="C5D8EC"/>
              <w:end w:val="single" w:sz="4" w:space="0" w:color="C5D8EC"/>
            </w:tcBorders>
            <w:tcMar>
              <w:top w:w="70" w:type="dxa"/>
              <w:bottom w:w="70" w:type="dxa"/>
            </w:tcMar>
          </w:tcPr>
          <w:p>
            <w:pPr>
              <w:pStyle w:val="Normal"/>
              <w:spacing w:lineRule="auto" w:line="288" w:before="0" w:after="0"/>
              <w:jc w:val="start"/>
              <w:rPr>
                <w:rFonts w:ascii="Times New Roman" w:hAnsi="Times New Roman"/>
              </w:rPr>
            </w:pPr>
            <w:r>
              <w:rPr>
                <w:rFonts w:eastAsia="Times New Roman" w:cs="Times New Roman"/>
                <w:color w:val="1A1A1A"/>
                <w:sz w:val="19"/>
                <w:szCs w:val="19"/>
              </w:rPr>
              <w:t>0.50</w:t>
            </w:r>
          </w:p>
        </w:tc>
        <w:tc>
          <w:tcPr>
            <w:tcW w:w="794" w:type="dxa"/>
            <w:tcBorders>
              <w:top w:val="single" w:sz="4" w:space="0" w:color="C5D8EC"/>
              <w:start w:val="single" w:sz="4" w:space="0" w:color="C5D8EC"/>
              <w:bottom w:val="single" w:sz="4" w:space="0" w:color="C5D8EC"/>
              <w:end w:val="single" w:sz="4" w:space="0" w:color="C5D8EC"/>
            </w:tcBorders>
            <w:tcMar>
              <w:top w:w="70" w:type="dxa"/>
              <w:bottom w:w="70" w:type="dxa"/>
            </w:tcMar>
          </w:tcPr>
          <w:p>
            <w:pPr>
              <w:pStyle w:val="Normal"/>
              <w:spacing w:lineRule="auto" w:line="288" w:before="0" w:after="0"/>
              <w:jc w:val="start"/>
              <w:rPr>
                <w:rFonts w:ascii="Times New Roman" w:hAnsi="Times New Roman"/>
              </w:rPr>
            </w:pPr>
            <w:r>
              <w:rPr>
                <w:rFonts w:eastAsia="Times New Roman" w:cs="Times New Roman"/>
                <w:color w:val="1A1A1A"/>
                <w:sz w:val="19"/>
                <w:szCs w:val="19"/>
              </w:rPr>
              <w:t>0.827</w:t>
            </w:r>
          </w:p>
        </w:tc>
        <w:tc>
          <w:tcPr>
            <w:tcW w:w="736" w:type="dxa"/>
            <w:tcBorders>
              <w:top w:val="single" w:sz="4" w:space="0" w:color="C5D8EC"/>
              <w:start w:val="single" w:sz="4" w:space="0" w:color="C5D8EC"/>
              <w:bottom w:val="single" w:sz="4" w:space="0" w:color="C5D8EC"/>
              <w:end w:val="single" w:sz="4" w:space="0" w:color="C5D8EC"/>
            </w:tcBorders>
            <w:tcMar>
              <w:top w:w="70" w:type="dxa"/>
              <w:bottom w:w="70" w:type="dxa"/>
            </w:tcMar>
          </w:tcPr>
          <w:p>
            <w:pPr>
              <w:pStyle w:val="Normal"/>
              <w:spacing w:lineRule="auto" w:line="288" w:before="0" w:after="0"/>
              <w:jc w:val="start"/>
              <w:rPr>
                <w:rFonts w:ascii="Times New Roman" w:hAnsi="Times New Roman"/>
              </w:rPr>
            </w:pPr>
            <w:r>
              <w:rPr>
                <w:rFonts w:eastAsia="Times New Roman" w:cs="Times New Roman"/>
                <w:color w:val="1A1A1A"/>
                <w:sz w:val="19"/>
                <w:szCs w:val="19"/>
              </w:rPr>
              <w:t>0.564</w:t>
            </w:r>
          </w:p>
        </w:tc>
        <w:tc>
          <w:tcPr>
            <w:tcW w:w="675" w:type="dxa"/>
            <w:tcBorders>
              <w:top w:val="single" w:sz="4" w:space="0" w:color="C5D8EC"/>
              <w:start w:val="single" w:sz="4" w:space="0" w:color="C5D8EC"/>
              <w:bottom w:val="single" w:sz="4" w:space="0" w:color="C5D8EC"/>
              <w:end w:val="single" w:sz="4" w:space="0" w:color="C5D8EC"/>
            </w:tcBorders>
            <w:tcMar>
              <w:top w:w="70" w:type="dxa"/>
              <w:bottom w:w="70" w:type="dxa"/>
            </w:tcMar>
          </w:tcPr>
          <w:p>
            <w:pPr>
              <w:pStyle w:val="Normal"/>
              <w:spacing w:lineRule="auto" w:line="288" w:before="0" w:after="0"/>
              <w:jc w:val="start"/>
              <w:rPr>
                <w:rFonts w:ascii="Times New Roman" w:hAnsi="Times New Roman"/>
              </w:rPr>
            </w:pPr>
            <w:r>
              <w:rPr>
                <w:rFonts w:eastAsia="Times New Roman" w:cs="Times New Roman"/>
                <w:color w:val="1A1A1A"/>
                <w:sz w:val="19"/>
                <w:szCs w:val="19"/>
              </w:rPr>
              <w:t>0.671</w:t>
            </w:r>
          </w:p>
        </w:tc>
        <w:tc>
          <w:tcPr>
            <w:tcW w:w="1020" w:type="dxa"/>
            <w:tcBorders>
              <w:top w:val="single" w:sz="4" w:space="0" w:color="C5D8EC"/>
              <w:start w:val="single" w:sz="4" w:space="0" w:color="C5D8EC"/>
              <w:bottom w:val="single" w:sz="4" w:space="0" w:color="C5D8EC"/>
              <w:end w:val="single" w:sz="4" w:space="0" w:color="C5D8EC"/>
            </w:tcBorders>
            <w:tcMar>
              <w:top w:w="70" w:type="dxa"/>
              <w:bottom w:w="70" w:type="dxa"/>
            </w:tcMar>
          </w:tcPr>
          <w:p>
            <w:pPr>
              <w:pStyle w:val="Normal"/>
              <w:spacing w:lineRule="auto" w:line="288" w:before="0" w:after="0"/>
              <w:jc w:val="start"/>
              <w:rPr>
                <w:rFonts w:ascii="Times New Roman" w:hAnsi="Times New Roman"/>
              </w:rPr>
            </w:pPr>
            <w:r>
              <w:rPr>
                <w:rFonts w:eastAsia="Times New Roman" w:cs="Times New Roman"/>
                <w:color w:val="1A1A1A"/>
                <w:sz w:val="19"/>
                <w:szCs w:val="19"/>
              </w:rPr>
              <w:t>37.6%</w:t>
            </w:r>
          </w:p>
        </w:tc>
      </w:tr>
    </w:tbl>
    <w:p>
      <w:pPr>
        <w:pStyle w:val="Normal"/>
        <w:spacing w:lineRule="auto" w:line="288" w:before="60" w:after="160"/>
        <w:jc w:val="start"/>
        <w:rPr>
          <w:rFonts w:ascii="Times New Roman" w:hAnsi="Times New Roman"/>
        </w:rPr>
      </w:pPr>
      <w:r>
        <w:rPr>
          <w:rFonts w:eastAsia="Times New Roman" w:cs="Times New Roman"/>
          <w:i/>
          <w:iCs/>
          <w:color w:val="555555"/>
          <w:sz w:val="19"/>
          <w:szCs w:val="19"/>
        </w:rPr>
        <w:t>Table 4. Threshold sensitivity — Random Forest, chronological test set. ◀ = selected operational threshold. All values confirmed from pipeline output.</w:t>
      </w:r>
    </w:p>
    <w:p>
      <w:pPr>
        <w:pStyle w:val="Normal"/>
        <w:spacing w:lineRule="auto" w:line="288" w:before="0" w:after="100"/>
        <w:jc w:val="start"/>
        <w:rPr>
          <w:rFonts w:ascii="Times New Roman" w:hAnsi="Times New Roman"/>
        </w:rPr>
      </w:pPr>
      <w:r>
        <w:rPr/>
      </w:r>
    </w:p>
    <w:p>
      <w:pPr>
        <w:pStyle w:val="Normal"/>
        <w:spacing w:lineRule="auto" w:line="288" w:before="0" w:after="120"/>
        <w:ind w:hanging="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Several operational patterns emerge from this table that are worth discussing explicitly.</w:t>
      </w:r>
    </w:p>
    <w:p>
      <w:pPr>
        <w:pStyle w:val="Normal"/>
        <w:spacing w:lineRule="auto" w:line="288" w:before="0" w:after="120"/>
        <w:ind w:hanging="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 xml:space="preserve">        </w:t>
      </w:r>
      <w:r>
        <w:rPr>
          <w:rFonts w:eastAsia="Times New Roman" w:cs="Times New Roman"/>
          <w:b w:val="false"/>
          <w:bCs w:val="false"/>
          <w:i w:val="false"/>
          <w:iCs w:val="false"/>
          <w:caps w:val="false"/>
          <w:smallCaps w:val="false"/>
          <w:color w:val="000000"/>
          <w:sz w:val="22"/>
          <w:szCs w:val="22"/>
        </w:rPr>
        <w:t>At threshold 0.25, recall reaches 0.995 — nearly all late orders are captured — but 99.2% of orders are flagged, making it operationally infeasible.</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At threshold 0.35 (selected), recall is 0.816, meaning ~18% of late deliveries are missed, while 71.8% of orders are flagged. This creates a large but manageable queue that can be prioritized using probability scores.</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At threshold 0.50, flagged orders drop to 37.6% and precision increases to 0.827, but recall falls to 0.564, meaning a substantial portion of late deliveries are missed.</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The F1 scores remain relatively stable across thresholds (0.671–0.712), indicating no single threshold dominates both precision and recall. The 0.35 threshold is selected to prioritize recall, though the optimal point depends on operational capacity and cost trade-offs.</w:t>
      </w:r>
    </w:p>
    <w:p>
      <w:pPr>
        <w:pStyle w:val="Normal"/>
        <w:spacing w:lineRule="auto" w:line="264" w:before="60" w:after="160"/>
        <w:jc w:val="start"/>
        <w:rPr>
          <w:rFonts w:ascii="Times New Roman" w:hAnsi="Times New Roman"/>
        </w:rPr>
      </w:pPr>
      <w:r>
        <w:rPr/>
      </w:r>
    </w:p>
    <w:tbl>
      <w:tblPr>
        <w:tblW w:w="4320" w:type="dxa"/>
        <w:jc w:val="start"/>
        <w:tblInd w:w="0" w:type="dxa"/>
        <w:tblLayout w:type="fixed"/>
        <w:tblCellMar>
          <w:top w:w="200" w:type="dxa"/>
          <w:start w:w="300" w:type="dxa"/>
          <w:bottom w:w="200" w:type="dxa"/>
          <w:end w:w="300" w:type="dxa"/>
        </w:tblCellMar>
      </w:tblPr>
      <w:tblGrid>
        <w:gridCol w:w="4320"/>
      </w:tblGrid>
      <w:tr>
        <w:trPr/>
        <w:tc>
          <w:tcPr>
            <w:tcW w:w="4320" w:type="dxa"/>
            <w:tcBorders>
              <w:top w:val="single" w:sz="8" w:space="0" w:color="3A7FC1"/>
              <w:start w:val="single" w:sz="8" w:space="0" w:color="3A7FC1"/>
              <w:bottom w:val="single" w:sz="8" w:space="0" w:color="3A7FC1"/>
              <w:end w:val="single" w:sz="8" w:space="0" w:color="3A7FC1"/>
            </w:tcBorders>
            <w:shd w:fill="F0F6FC" w:val="clear"/>
          </w:tcPr>
          <w:p>
            <w:pPr>
              <w:pStyle w:val="Normal"/>
              <w:spacing w:lineRule="auto" w:line="264" w:before="0" w:after="60"/>
              <w:jc w:val="start"/>
              <w:rPr>
                <w:rFonts w:ascii="Times New Roman" w:hAnsi="Times New Roman" w:eastAsia="Times New Roman" w:cs="Times New Roman"/>
                <w:b w:val="false"/>
                <w:bCs w:val="false"/>
                <w:i/>
                <w:iCs/>
                <w:caps w:val="false"/>
                <w:smallCaps w:val="false"/>
                <w:color w:val="555555"/>
                <w:sz w:val="19"/>
                <w:szCs w:val="19"/>
              </w:rPr>
            </w:pPr>
            <w:r>
              <w:rPr>
                <w:rFonts w:eastAsia="Times New Roman" w:cs="Times New Roman"/>
                <w:b w:val="false"/>
                <w:bCs w:val="false"/>
                <w:i/>
                <w:iCs/>
                <w:caps w:val="false"/>
                <w:smallCaps w:val="false"/>
                <w:color w:val="555555"/>
                <w:sz w:val="19"/>
                <w:szCs w:val="19"/>
              </w:rPr>
              <w:drawing>
                <wp:anchor distT="0" distB="0" distL="0" distR="0" simplePos="0" relativeHeight="5" behindDoc="0" locked="0" layoutInCell="1" allowOverlap="1">
                  <wp:simplePos x="0" y="0"/>
                  <wp:positionH relativeFrom="column">
                    <wp:posOffset>-69215</wp:posOffset>
                  </wp:positionH>
                  <wp:positionV relativeFrom="paragraph">
                    <wp:posOffset>85725</wp:posOffset>
                  </wp:positionV>
                  <wp:extent cx="2501265" cy="138176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8"/>
                          <a:stretch>
                            <a:fillRect/>
                          </a:stretch>
                        </pic:blipFill>
                        <pic:spPr bwMode="auto">
                          <a:xfrm>
                            <a:off x="0" y="0"/>
                            <a:ext cx="2501265" cy="1381760"/>
                          </a:xfrm>
                          <a:prstGeom prst="rect">
                            <a:avLst/>
                          </a:prstGeom>
                          <a:noFill/>
                        </pic:spPr>
                      </pic:pic>
                    </a:graphicData>
                  </a:graphic>
                </wp:anchor>
              </w:drawing>
            </w:r>
          </w:p>
        </w:tc>
      </w:tr>
    </w:tbl>
    <w:p>
      <w:pPr>
        <w:pStyle w:val="Normal"/>
        <w:spacing w:lineRule="auto" w:line="264" w:before="60" w:after="160"/>
        <w:jc w:val="start"/>
        <w:rPr>
          <w:rFonts w:ascii="Times New Roman" w:hAnsi="Times New Roman"/>
        </w:rPr>
      </w:pPr>
      <w:r>
        <w:rPr>
          <w:i/>
          <w:iCs/>
          <w:color w:val="555555"/>
          <w:sz w:val="19"/>
          <w:szCs w:val="19"/>
        </w:rPr>
        <w:t>Figure 4. Confusion matrices at operational threshold 0.35 on the test set.</w:t>
      </w:r>
    </w:p>
    <w:p>
      <w:pPr>
        <w:pStyle w:val="Heading2"/>
        <w:spacing w:lineRule="auto" w:line="264" w:before="200" w:after="80"/>
        <w:jc w:val="start"/>
        <w:rPr>
          <w:rFonts w:ascii="Times New Roman" w:hAnsi="Times New Roman"/>
        </w:rPr>
      </w:pPr>
      <w:r>
        <w:rPr>
          <w:rFonts w:eastAsia="Arial" w:cs="Arial" w:ascii="Times New Roman" w:hAnsi="Times New Roman"/>
          <w:b/>
          <w:bCs/>
          <w:i w:val="false"/>
          <w:iCs w:val="false"/>
          <w:caps w:val="false"/>
          <w:smallCaps w:val="false"/>
          <w:color w:val="2B5F9E"/>
          <w:sz w:val="23"/>
          <w:szCs w:val="23"/>
        </w:rPr>
        <w:t>4.4 KPI Summary</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Tfter model training and evaluation, the fitted Random Forest pipeline was applied to all 180,519 orders in the dataset to generate the fleet-level KPIs displayed in the operations dashboard. These figures are confirmed from the pipeline's Phase 10 output.</w:t>
      </w:r>
    </w:p>
    <w:tbl>
      <w:tblPr>
        <w:tblW w:w="4305" w:type="dxa"/>
        <w:jc w:val="start"/>
        <w:tblInd w:w="0" w:type="dxa"/>
        <w:tblLayout w:type="fixed"/>
        <w:tblCellMar>
          <w:top w:w="80" w:type="dxa"/>
          <w:start w:w="110" w:type="dxa"/>
          <w:bottom w:w="80" w:type="dxa"/>
          <w:end w:w="110" w:type="dxa"/>
        </w:tblCellMar>
      </w:tblPr>
      <w:tblGrid>
        <w:gridCol w:w="2264"/>
        <w:gridCol w:w="2041"/>
      </w:tblGrid>
      <w:tr>
        <w:trPr>
          <w:tblHeader w:val="true"/>
        </w:trPr>
        <w:tc>
          <w:tcPr>
            <w:tcW w:w="2264" w:type="dxa"/>
            <w:tcBorders>
              <w:top w:val="single" w:sz="6" w:space="0" w:color="1A3560"/>
              <w:start w:val="single" w:sz="6" w:space="0" w:color="1A3560"/>
              <w:bottom w:val="single" w:sz="6" w:space="0" w:color="1A3560"/>
              <w:end w:val="single" w:sz="6" w:space="0" w:color="1A3560"/>
            </w:tcBorders>
            <w:shd w:fill="1A3560" w:val="clear"/>
          </w:tcPr>
          <w:p>
            <w:pPr>
              <w:pStyle w:val="Normal"/>
              <w:spacing w:lineRule="auto" w:line="288" w:before="0" w:after="0"/>
              <w:rPr>
                <w:rFonts w:ascii="Times New Roman" w:hAnsi="Times New Roman"/>
              </w:rPr>
            </w:pPr>
            <w:r>
              <w:rPr>
                <w:rFonts w:eastAsia="Arial" w:cs="Arial"/>
                <w:b/>
                <w:bCs/>
                <w:color w:val="FFFFFF"/>
                <w:sz w:val="19"/>
                <w:szCs w:val="19"/>
              </w:rPr>
              <w:t>KPI</w:t>
            </w:r>
          </w:p>
        </w:tc>
        <w:tc>
          <w:tcPr>
            <w:tcW w:w="2041" w:type="dxa"/>
            <w:tcBorders>
              <w:top w:val="single" w:sz="6" w:space="0" w:color="1A3560"/>
              <w:start w:val="single" w:sz="6" w:space="0" w:color="1A3560"/>
              <w:bottom w:val="single" w:sz="6" w:space="0" w:color="1A3560"/>
              <w:end w:val="single" w:sz="6" w:space="0" w:color="1A3560"/>
            </w:tcBorders>
            <w:shd w:fill="1A3560" w:val="clear"/>
          </w:tcPr>
          <w:p>
            <w:pPr>
              <w:pStyle w:val="Normal"/>
              <w:spacing w:lineRule="auto" w:line="288" w:before="0" w:after="0"/>
              <w:rPr>
                <w:rFonts w:ascii="Times New Roman" w:hAnsi="Times New Roman"/>
              </w:rPr>
            </w:pPr>
            <w:r>
              <w:rPr>
                <w:rFonts w:eastAsia="Arial" w:cs="Arial"/>
                <w:b/>
                <w:bCs/>
                <w:color w:val="FFFFFF"/>
                <w:sz w:val="19"/>
                <w:szCs w:val="19"/>
              </w:rPr>
              <w:t>Value</w:t>
            </w:r>
          </w:p>
        </w:tc>
      </w:tr>
      <w:tr>
        <w:trPr/>
        <w:tc>
          <w:tcPr>
            <w:tcW w:w="2264" w:type="dxa"/>
            <w:tcBorders>
              <w:top w:val="single" w:sz="4" w:space="0" w:color="C5D8EC"/>
              <w:start w:val="single" w:sz="4" w:space="0" w:color="C5D8EC"/>
              <w:bottom w:val="single" w:sz="4" w:space="0" w:color="C5D8EC"/>
              <w:end w:val="single" w:sz="4" w:space="0" w:color="C5D8EC"/>
            </w:tcBorders>
            <w:shd w:fill="EBF3FB" w:val="clear"/>
            <w:tcMar>
              <w:top w:w="70" w:type="dxa"/>
              <w:bottom w:w="70" w:type="dxa"/>
            </w:tcMar>
          </w:tcPr>
          <w:p>
            <w:pPr>
              <w:pStyle w:val="Normal"/>
              <w:spacing w:lineRule="auto" w:line="288" w:before="0" w:after="0"/>
              <w:rPr>
                <w:rFonts w:ascii="Times New Roman" w:hAnsi="Times New Roman"/>
              </w:rPr>
            </w:pPr>
            <w:r>
              <w:rPr>
                <w:rFonts w:eastAsia="Times New Roman" w:cs="Times New Roman"/>
                <w:color w:val="1A1A1A"/>
                <w:sz w:val="19"/>
                <w:szCs w:val="19"/>
              </w:rPr>
              <w:t>Total scored orders</w:t>
            </w:r>
          </w:p>
        </w:tc>
        <w:tc>
          <w:tcPr>
            <w:tcW w:w="2041" w:type="dxa"/>
            <w:tcBorders>
              <w:top w:val="single" w:sz="4" w:space="0" w:color="C5D8EC"/>
              <w:start w:val="single" w:sz="4" w:space="0" w:color="C5D8EC"/>
              <w:bottom w:val="single" w:sz="4" w:space="0" w:color="C5D8EC"/>
              <w:end w:val="single" w:sz="4" w:space="0" w:color="C5D8EC"/>
            </w:tcBorders>
            <w:shd w:fill="EBF3FB" w:val="clear"/>
            <w:tcMar>
              <w:top w:w="70" w:type="dxa"/>
              <w:bottom w:w="70" w:type="dxa"/>
            </w:tcMar>
          </w:tcPr>
          <w:p>
            <w:pPr>
              <w:pStyle w:val="Normal"/>
              <w:spacing w:lineRule="auto" w:line="288" w:before="0" w:after="0"/>
              <w:rPr>
                <w:rFonts w:ascii="Times New Roman" w:hAnsi="Times New Roman"/>
              </w:rPr>
            </w:pPr>
            <w:r>
              <w:rPr>
                <w:rFonts w:eastAsia="Times New Roman" w:cs="Times New Roman"/>
                <w:color w:val="1A1A1A"/>
                <w:sz w:val="19"/>
                <w:szCs w:val="19"/>
              </w:rPr>
              <w:t>180,519</w:t>
            </w:r>
          </w:p>
        </w:tc>
      </w:tr>
      <w:tr>
        <w:trPr/>
        <w:tc>
          <w:tcPr>
            <w:tcW w:w="2264" w:type="dxa"/>
            <w:tcBorders>
              <w:top w:val="single" w:sz="4" w:space="0" w:color="C5D8EC"/>
              <w:start w:val="single" w:sz="4" w:space="0" w:color="C5D8EC"/>
              <w:bottom w:val="single" w:sz="4" w:space="0" w:color="C5D8EC"/>
              <w:end w:val="single" w:sz="4" w:space="0" w:color="C5D8EC"/>
            </w:tcBorders>
            <w:tcMar>
              <w:top w:w="70" w:type="dxa"/>
              <w:bottom w:w="70" w:type="dxa"/>
            </w:tcMar>
          </w:tcPr>
          <w:p>
            <w:pPr>
              <w:pStyle w:val="Normal"/>
              <w:spacing w:lineRule="auto" w:line="288" w:before="0" w:after="0"/>
              <w:rPr>
                <w:rFonts w:ascii="Times New Roman" w:hAnsi="Times New Roman"/>
              </w:rPr>
            </w:pPr>
            <w:r>
              <w:rPr>
                <w:rFonts w:eastAsia="Times New Roman" w:cs="Times New Roman"/>
                <w:color w:val="1A1A1A"/>
                <w:sz w:val="19"/>
                <w:szCs w:val="19"/>
              </w:rPr>
              <w:t>Average risk probability</w:t>
            </w:r>
          </w:p>
        </w:tc>
        <w:tc>
          <w:tcPr>
            <w:tcW w:w="2041" w:type="dxa"/>
            <w:tcBorders>
              <w:top w:val="single" w:sz="4" w:space="0" w:color="C5D8EC"/>
              <w:start w:val="single" w:sz="4" w:space="0" w:color="C5D8EC"/>
              <w:bottom w:val="single" w:sz="4" w:space="0" w:color="C5D8EC"/>
              <w:end w:val="single" w:sz="4" w:space="0" w:color="C5D8EC"/>
            </w:tcBorders>
            <w:tcMar>
              <w:top w:w="70" w:type="dxa"/>
              <w:bottom w:w="70" w:type="dxa"/>
            </w:tcMar>
          </w:tcPr>
          <w:p>
            <w:pPr>
              <w:pStyle w:val="Normal"/>
              <w:spacing w:lineRule="auto" w:line="288" w:before="0" w:after="0"/>
              <w:rPr>
                <w:rFonts w:ascii="Times New Roman" w:hAnsi="Times New Roman"/>
              </w:rPr>
            </w:pPr>
            <w:r>
              <w:rPr>
                <w:rFonts w:eastAsia="Times New Roman" w:cs="Times New Roman"/>
                <w:color w:val="1A1A1A"/>
                <w:sz w:val="19"/>
                <w:szCs w:val="19"/>
              </w:rPr>
              <w:t>52.6%</w:t>
            </w:r>
          </w:p>
        </w:tc>
      </w:tr>
      <w:tr>
        <w:trPr/>
        <w:tc>
          <w:tcPr>
            <w:tcW w:w="2264" w:type="dxa"/>
            <w:tcBorders>
              <w:top w:val="single" w:sz="4" w:space="0" w:color="C5D8EC"/>
              <w:start w:val="single" w:sz="4" w:space="0" w:color="C5D8EC"/>
              <w:bottom w:val="single" w:sz="4" w:space="0" w:color="C5D8EC"/>
              <w:end w:val="single" w:sz="4" w:space="0" w:color="C5D8EC"/>
            </w:tcBorders>
            <w:shd w:fill="EBF3FB" w:val="clear"/>
            <w:tcMar>
              <w:top w:w="70" w:type="dxa"/>
              <w:bottom w:w="70" w:type="dxa"/>
            </w:tcMar>
          </w:tcPr>
          <w:p>
            <w:pPr>
              <w:pStyle w:val="Normal"/>
              <w:spacing w:lineRule="auto" w:line="288" w:before="0" w:after="0"/>
              <w:rPr>
                <w:rFonts w:ascii="Times New Roman" w:hAnsi="Times New Roman"/>
              </w:rPr>
            </w:pPr>
            <w:r>
              <w:rPr>
                <w:rFonts w:eastAsia="Times New Roman" w:cs="Times New Roman"/>
                <w:color w:val="1A1A1A"/>
                <w:sz w:val="19"/>
                <w:szCs w:val="19"/>
              </w:rPr>
              <w:t>High-risk orders</w:t>
            </w:r>
          </w:p>
        </w:tc>
        <w:tc>
          <w:tcPr>
            <w:tcW w:w="2041" w:type="dxa"/>
            <w:tcBorders>
              <w:top w:val="single" w:sz="4" w:space="0" w:color="C5D8EC"/>
              <w:start w:val="single" w:sz="4" w:space="0" w:color="C5D8EC"/>
              <w:bottom w:val="single" w:sz="4" w:space="0" w:color="C5D8EC"/>
              <w:end w:val="single" w:sz="4" w:space="0" w:color="C5D8EC"/>
            </w:tcBorders>
            <w:shd w:fill="EBF3FB" w:val="clear"/>
            <w:tcMar>
              <w:top w:w="70" w:type="dxa"/>
              <w:bottom w:w="70" w:type="dxa"/>
            </w:tcMar>
          </w:tcPr>
          <w:p>
            <w:pPr>
              <w:pStyle w:val="Normal"/>
              <w:spacing w:lineRule="auto" w:line="288" w:before="0" w:after="0"/>
              <w:rPr>
                <w:rFonts w:ascii="Times New Roman" w:hAnsi="Times New Roman"/>
              </w:rPr>
            </w:pPr>
            <w:r>
              <w:rPr>
                <w:rFonts w:eastAsia="Times New Roman" w:cs="Times New Roman"/>
                <w:color w:val="1A1A1A"/>
                <w:sz w:val="19"/>
                <w:szCs w:val="19"/>
              </w:rPr>
              <w:t>63,536 (35.2%)</w:t>
            </w:r>
          </w:p>
        </w:tc>
      </w:tr>
      <w:tr>
        <w:trPr/>
        <w:tc>
          <w:tcPr>
            <w:tcW w:w="2264" w:type="dxa"/>
            <w:tcBorders>
              <w:top w:val="single" w:sz="4" w:space="0" w:color="C5D8EC"/>
              <w:start w:val="single" w:sz="4" w:space="0" w:color="C5D8EC"/>
              <w:bottom w:val="single" w:sz="4" w:space="0" w:color="C5D8EC"/>
              <w:end w:val="single" w:sz="4" w:space="0" w:color="C5D8EC"/>
            </w:tcBorders>
            <w:tcMar>
              <w:top w:w="70" w:type="dxa"/>
              <w:bottom w:w="70" w:type="dxa"/>
            </w:tcMar>
          </w:tcPr>
          <w:p>
            <w:pPr>
              <w:pStyle w:val="Normal"/>
              <w:spacing w:lineRule="auto" w:line="288" w:before="0" w:after="0"/>
              <w:rPr>
                <w:rFonts w:ascii="Times New Roman" w:hAnsi="Times New Roman"/>
              </w:rPr>
            </w:pPr>
            <w:r>
              <w:rPr>
                <w:rFonts w:eastAsia="Times New Roman" w:cs="Times New Roman"/>
                <w:color w:val="1A1A1A"/>
                <w:sz w:val="19"/>
                <w:szCs w:val="19"/>
              </w:rPr>
              <w:t>Medium-risk orders</w:t>
            </w:r>
          </w:p>
        </w:tc>
        <w:tc>
          <w:tcPr>
            <w:tcW w:w="2041" w:type="dxa"/>
            <w:tcBorders>
              <w:top w:val="single" w:sz="4" w:space="0" w:color="C5D8EC"/>
              <w:start w:val="single" w:sz="4" w:space="0" w:color="C5D8EC"/>
              <w:bottom w:val="single" w:sz="4" w:space="0" w:color="C5D8EC"/>
              <w:end w:val="single" w:sz="4" w:space="0" w:color="C5D8EC"/>
            </w:tcBorders>
            <w:tcMar>
              <w:top w:w="70" w:type="dxa"/>
              <w:bottom w:w="70" w:type="dxa"/>
            </w:tcMar>
          </w:tcPr>
          <w:p>
            <w:pPr>
              <w:pStyle w:val="Normal"/>
              <w:spacing w:lineRule="auto" w:line="288" w:before="0" w:after="0"/>
              <w:rPr>
                <w:rFonts w:ascii="Times New Roman" w:hAnsi="Times New Roman"/>
              </w:rPr>
            </w:pPr>
            <w:r>
              <w:rPr>
                <w:rFonts w:eastAsia="Times New Roman" w:cs="Times New Roman"/>
                <w:color w:val="1A1A1A"/>
                <w:sz w:val="19"/>
                <w:szCs w:val="19"/>
              </w:rPr>
              <w:t>99,083 (54.9%)</w:t>
            </w:r>
          </w:p>
        </w:tc>
      </w:tr>
      <w:tr>
        <w:trPr/>
        <w:tc>
          <w:tcPr>
            <w:tcW w:w="2264" w:type="dxa"/>
            <w:tcBorders>
              <w:top w:val="single" w:sz="4" w:space="0" w:color="C5D8EC"/>
              <w:start w:val="single" w:sz="4" w:space="0" w:color="C5D8EC"/>
              <w:bottom w:val="single" w:sz="4" w:space="0" w:color="C5D8EC"/>
              <w:end w:val="single" w:sz="4" w:space="0" w:color="C5D8EC"/>
            </w:tcBorders>
            <w:shd w:fill="EBF3FB" w:val="clear"/>
            <w:tcMar>
              <w:top w:w="70" w:type="dxa"/>
              <w:bottom w:w="70" w:type="dxa"/>
            </w:tcMar>
          </w:tcPr>
          <w:p>
            <w:pPr>
              <w:pStyle w:val="Normal"/>
              <w:spacing w:lineRule="auto" w:line="288" w:before="0" w:after="0"/>
              <w:rPr>
                <w:rFonts w:ascii="Times New Roman" w:hAnsi="Times New Roman"/>
              </w:rPr>
            </w:pPr>
            <w:r>
              <w:rPr>
                <w:rFonts w:eastAsia="Times New Roman" w:cs="Times New Roman"/>
                <w:color w:val="1A1A1A"/>
                <w:sz w:val="19"/>
                <w:szCs w:val="19"/>
              </w:rPr>
              <w:t>Low-risk orders</w:t>
            </w:r>
          </w:p>
        </w:tc>
        <w:tc>
          <w:tcPr>
            <w:tcW w:w="2041" w:type="dxa"/>
            <w:tcBorders>
              <w:top w:val="single" w:sz="4" w:space="0" w:color="C5D8EC"/>
              <w:start w:val="single" w:sz="4" w:space="0" w:color="C5D8EC"/>
              <w:bottom w:val="single" w:sz="4" w:space="0" w:color="C5D8EC"/>
              <w:end w:val="single" w:sz="4" w:space="0" w:color="C5D8EC"/>
            </w:tcBorders>
            <w:shd w:fill="EBF3FB" w:val="clear"/>
            <w:tcMar>
              <w:top w:w="70" w:type="dxa"/>
              <w:bottom w:w="70" w:type="dxa"/>
            </w:tcMar>
          </w:tcPr>
          <w:p>
            <w:pPr>
              <w:pStyle w:val="Normal"/>
              <w:spacing w:lineRule="auto" w:line="288" w:before="0" w:after="0"/>
              <w:rPr>
                <w:rFonts w:ascii="Times New Roman" w:hAnsi="Times New Roman"/>
              </w:rPr>
            </w:pPr>
            <w:r>
              <w:rPr>
                <w:rFonts w:eastAsia="Times New Roman" w:cs="Times New Roman"/>
                <w:color w:val="1A1A1A"/>
                <w:sz w:val="19"/>
                <w:szCs w:val="19"/>
              </w:rPr>
              <w:t>17,900 (9.9%)</w:t>
            </w:r>
          </w:p>
        </w:tc>
      </w:tr>
    </w:tbl>
    <w:p>
      <w:pPr>
        <w:pStyle w:val="Normal"/>
        <w:spacing w:lineRule="auto" w:line="288" w:before="60" w:after="160"/>
        <w:jc w:val="center"/>
        <w:rPr>
          <w:rFonts w:ascii="Times New Roman" w:hAnsi="Times New Roman"/>
        </w:rPr>
      </w:pPr>
      <w:r>
        <w:rPr>
          <w:rFonts w:eastAsia="Times New Roman" w:cs="Times New Roman"/>
          <w:i/>
          <w:iCs/>
          <w:color w:val="555555"/>
          <w:sz w:val="19"/>
          <w:szCs w:val="19"/>
        </w:rPr>
        <w:t>Table 5. KPI summary.</w:t>
      </w:r>
    </w:p>
    <w:tbl>
      <w:tblPr>
        <w:tblW w:w="4320" w:type="dxa"/>
        <w:jc w:val="start"/>
        <w:tblInd w:w="0" w:type="dxa"/>
        <w:tblLayout w:type="fixed"/>
        <w:tblCellMar>
          <w:top w:w="200" w:type="dxa"/>
          <w:start w:w="300" w:type="dxa"/>
          <w:bottom w:w="200" w:type="dxa"/>
          <w:end w:w="300" w:type="dxa"/>
        </w:tblCellMar>
      </w:tblPr>
      <w:tblGrid>
        <w:gridCol w:w="4320"/>
      </w:tblGrid>
      <w:tr>
        <w:trPr/>
        <w:tc>
          <w:tcPr>
            <w:tcW w:w="4320" w:type="dxa"/>
            <w:tcBorders>
              <w:top w:val="single" w:sz="8" w:space="0" w:color="3A7FC1"/>
              <w:start w:val="single" w:sz="8" w:space="0" w:color="3A7FC1"/>
              <w:bottom w:val="single" w:sz="8" w:space="0" w:color="3A7FC1"/>
              <w:end w:val="single" w:sz="8" w:space="0" w:color="3A7FC1"/>
            </w:tcBorders>
            <w:shd w:fill="F0F6FC" w:val="clear"/>
          </w:tcPr>
          <w:p>
            <w:pPr>
              <w:pStyle w:val="Normal"/>
              <w:spacing w:lineRule="auto" w:line="264" w:before="0" w:after="60"/>
              <w:jc w:val="start"/>
              <w:rPr>
                <w:rFonts w:ascii="Times New Roman" w:hAnsi="Times New Roman" w:eastAsia="Times New Roman" w:cs="Times New Roman"/>
                <w:b w:val="false"/>
                <w:bCs w:val="false"/>
                <w:i/>
                <w:iCs/>
                <w:caps w:val="false"/>
                <w:smallCaps w:val="false"/>
                <w:color w:val="555555"/>
                <w:sz w:val="19"/>
                <w:szCs w:val="19"/>
              </w:rPr>
            </w:pPr>
            <w:r>
              <w:rPr>
                <w:rFonts w:eastAsia="Times New Roman" w:cs="Times New Roman"/>
                <w:b w:val="false"/>
                <w:bCs w:val="false"/>
                <w:i/>
                <w:iCs/>
                <w:caps w:val="false"/>
                <w:smallCaps w:val="false"/>
                <w:color w:val="555555"/>
                <w:sz w:val="19"/>
                <w:szCs w:val="19"/>
              </w:rPr>
              <w:drawing>
                <wp:anchor distT="0" distB="0" distL="0" distR="0" simplePos="0" relativeHeight="6" behindDoc="0" locked="0" layoutInCell="1" allowOverlap="1">
                  <wp:simplePos x="0" y="0"/>
                  <wp:positionH relativeFrom="column">
                    <wp:align>center</wp:align>
                  </wp:positionH>
                  <wp:positionV relativeFrom="paragraph">
                    <wp:posOffset>635</wp:posOffset>
                  </wp:positionV>
                  <wp:extent cx="2362200" cy="122618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9"/>
                          <a:stretch>
                            <a:fillRect/>
                          </a:stretch>
                        </pic:blipFill>
                        <pic:spPr bwMode="auto">
                          <a:xfrm>
                            <a:off x="0" y="0"/>
                            <a:ext cx="2362200" cy="1226185"/>
                          </a:xfrm>
                          <a:prstGeom prst="rect">
                            <a:avLst/>
                          </a:prstGeom>
                          <a:noFill/>
                        </pic:spPr>
                      </pic:pic>
                    </a:graphicData>
                  </a:graphic>
                </wp:anchor>
              </w:drawing>
            </w:r>
          </w:p>
        </w:tc>
      </w:tr>
    </w:tbl>
    <w:p>
      <w:pPr>
        <w:pStyle w:val="Normal"/>
        <w:spacing w:lineRule="auto" w:line="264" w:before="60" w:after="160"/>
        <w:jc w:val="start"/>
        <w:rPr>
          <w:rFonts w:ascii="Times New Roman" w:hAnsi="Times New Roman"/>
        </w:rPr>
      </w:pPr>
      <w:r>
        <w:rPr>
          <w:rFonts w:eastAsia="Times New Roman" w:cs="Times New Roman"/>
          <w:b w:val="false"/>
          <w:bCs w:val="false"/>
          <w:i/>
          <w:iCs/>
          <w:caps w:val="false"/>
          <w:smallCaps w:val="false"/>
          <w:color w:val="555555"/>
          <w:sz w:val="19"/>
          <w:szCs w:val="19"/>
        </w:rPr>
        <w:t>Figure 5. Risk probability distribution across all scored orders, by category.</w:t>
      </w:r>
    </w:p>
    <w:p>
      <w:pPr>
        <w:pStyle w:val="Normal"/>
        <w:spacing w:lineRule="auto" w:line="288" w:before="0" w:after="120"/>
        <w:ind w:firstLine="440"/>
        <w:jc w:val="start"/>
        <w:rPr>
          <w:rFonts w:ascii="Times New Roman" w:hAnsi="Times New Roman"/>
        </w:rPr>
      </w:pPr>
      <w:r>
        <w:rPr>
          <w:rFonts w:eastAsia="Times New Roman" w:cs="Times New Roman"/>
          <w:b w:val="false"/>
          <w:bCs w:val="false"/>
          <w:color w:val="000000"/>
          <w:sz w:val="22"/>
          <w:szCs w:val="22"/>
        </w:rPr>
        <w:t>The most operationally significant result is the dominance of the Medium-risk category (54.9%), indicating that a large portion of orders fall into an uncertain risk zone requiring monitoring.</w:t>
      </w:r>
    </w:p>
    <w:p>
      <w:pPr>
        <w:pStyle w:val="Normal"/>
        <w:spacing w:lineRule="auto" w:line="288" w:before="0" w:after="120"/>
        <w:ind w:firstLine="440"/>
        <w:jc w:val="start"/>
        <w:rPr>
          <w:rFonts w:ascii="Times New Roman" w:hAnsi="Times New Roman"/>
        </w:rPr>
      </w:pPr>
      <w:r>
        <w:rPr>
          <w:rFonts w:eastAsia="Times New Roman" w:cs="Times New Roman"/>
          <w:b w:val="false"/>
          <w:bCs w:val="false"/>
          <w:color w:val="000000"/>
          <w:sz w:val="22"/>
          <w:szCs w:val="22"/>
        </w:rPr>
        <w:t>At the selected threshold of 0.35, both Medium and High-risk orders above the threshold contribute to the 71.8% flagged rate.</w:t>
      </w:r>
    </w:p>
    <w:p>
      <w:pPr>
        <w:pStyle w:val="Normal"/>
        <w:spacing w:lineRule="auto" w:line="288" w:before="0" w:after="120"/>
        <w:ind w:firstLine="440"/>
        <w:jc w:val="start"/>
        <w:rPr>
          <w:rFonts w:ascii="Times New Roman" w:hAnsi="Times New Roman"/>
        </w:rPr>
      </w:pPr>
      <w:r>
        <w:rPr>
          <w:rFonts w:eastAsia="Times New Roman" w:cs="Times New Roman"/>
          <w:b w:val="false"/>
          <w:bCs w:val="false"/>
          <w:color w:val="000000"/>
          <w:sz w:val="22"/>
          <w:szCs w:val="22"/>
        </w:rPr>
        <w:t>The Low-risk segment (9.9%) is relatively small, reflecting the underlying class distribution where late deliveries are common. The average predicted probability (52.6%) closely aligns with this base rate, suggesting the model is well calibrated.</w:t>
      </w:r>
    </w:p>
    <w:p>
      <w:pPr>
        <w:pStyle w:val="Heading1"/>
        <w:pBdr>
          <w:bottom w:val="single" w:sz="6" w:space="4" w:color="3A7FC1"/>
        </w:pBdr>
        <w:spacing w:lineRule="auto" w:line="264" w:before="320" w:after="120"/>
        <w:jc w:val="start"/>
        <w:rPr>
          <w:rFonts w:ascii="Times New Roman" w:hAnsi="Times New Roman"/>
        </w:rPr>
      </w:pPr>
      <w:r>
        <w:rPr>
          <w:rFonts w:eastAsia="Arial" w:cs="Arial" w:ascii="Times New Roman" w:hAnsi="Times New Roman"/>
          <w:b/>
          <w:bCs/>
          <w:i w:val="false"/>
          <w:iCs w:val="false"/>
          <w:caps w:val="false"/>
          <w:smallCaps w:val="false"/>
          <w:color w:val="1A3560"/>
          <w:sz w:val="26"/>
          <w:szCs w:val="26"/>
        </w:rPr>
        <w:t>5. Feature Importance and Explainability</w:t>
      </w:r>
    </w:p>
    <w:p>
      <w:pPr>
        <w:pStyle w:val="Normal"/>
        <w:spacing w:lineRule="auto" w:line="288" w:before="0" w:after="120"/>
        <w:ind w:firstLine="440"/>
        <w:jc w:val="start"/>
        <w:rPr>
          <w:rFonts w:ascii="Times New Roman" w:hAnsi="Times New Roman"/>
        </w:rPr>
      </w:pPr>
      <w:r>
        <w:rPr/>
        <w:t>Feature attribution was performed using two complementary methods:</w:t>
        <w:br/>
        <w:t xml:space="preserve">Gini importance from the fitted Random Forest and SHAP values computed on the same model. Since Gini importance can bias toward high-cardinality features, SHAP values were used as the primary basis for interpretation. </w:t>
      </w:r>
    </w:p>
    <w:p>
      <w:pPr>
        <w:pStyle w:val="Heading2"/>
        <w:spacing w:lineRule="auto" w:line="264" w:before="200" w:after="80"/>
        <w:jc w:val="start"/>
        <w:rPr>
          <w:rFonts w:ascii="Times New Roman" w:hAnsi="Times New Roman"/>
        </w:rPr>
      </w:pPr>
      <w:r>
        <w:rPr>
          <w:rFonts w:eastAsia="Arial" w:cs="Arial" w:ascii="Times New Roman" w:hAnsi="Times New Roman"/>
          <w:b/>
          <w:bCs/>
          <w:i w:val="false"/>
          <w:iCs w:val="false"/>
          <w:caps w:val="false"/>
          <w:smallCaps w:val="false"/>
          <w:color w:val="2B5F9E"/>
          <w:sz w:val="23"/>
          <w:szCs w:val="23"/>
        </w:rPr>
        <w:t>5.1 Global Feature Rankings</w:t>
      </w:r>
    </w:p>
    <w:p>
      <w:pPr>
        <w:pStyle w:val="BodyText"/>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The most influential predictors are:</w:t>
      </w:r>
    </w:p>
    <w:p>
      <w:pPr>
        <w:pStyle w:val="BodyText"/>
        <w:numPr>
          <w:ilvl w:val="0"/>
          <w:numId w:val="1"/>
        </w:numPr>
        <w:tabs>
          <w:tab w:val="clear" w:pos="720"/>
          <w:tab w:val="left" w:pos="0" w:leader="none"/>
        </w:tabs>
        <w:spacing w:lineRule="auto" w:line="288" w:before="0" w:after="0"/>
        <w:ind w:hanging="283" w:start="709"/>
        <w:rPr/>
      </w:pPr>
      <w:r>
        <w:rPr>
          <w:rStyle w:val="Strong"/>
          <w:color w:val="000000"/>
        </w:rPr>
        <w:t xml:space="preserve">Days for shipment (scheduled): </w:t>
      </w:r>
      <w:r>
        <w:rPr>
          <w:color w:val="000000"/>
        </w:rPr>
        <w:t xml:space="preserve">strongest driver of risk; shorter schedules leave minimal buffer for delays </w:t>
      </w:r>
    </w:p>
    <w:p>
      <w:pPr>
        <w:pStyle w:val="BodyText"/>
        <w:numPr>
          <w:ilvl w:val="0"/>
          <w:numId w:val="1"/>
        </w:numPr>
        <w:tabs>
          <w:tab w:val="clear" w:pos="720"/>
          <w:tab w:val="left" w:pos="0" w:leader="none"/>
        </w:tabs>
        <w:spacing w:lineRule="auto" w:line="288" w:before="0" w:after="0"/>
        <w:ind w:hanging="283" w:start="709"/>
        <w:rPr/>
      </w:pPr>
      <w:r>
        <w:rPr>
          <w:rStyle w:val="Strong"/>
          <w:color w:val="000000"/>
        </w:rPr>
        <w:t>shipping_pressure:</w:t>
      </w:r>
      <w:r>
        <w:rPr>
          <w:color w:val="000000"/>
        </w:rPr>
        <w:t xml:space="preserve"> interaction of order size and schedule tightness </w:t>
      </w:r>
    </w:p>
    <w:p>
      <w:pPr>
        <w:pStyle w:val="BodyText"/>
        <w:numPr>
          <w:ilvl w:val="0"/>
          <w:numId w:val="1"/>
        </w:numPr>
        <w:tabs>
          <w:tab w:val="clear" w:pos="720"/>
          <w:tab w:val="left" w:pos="0" w:leader="none"/>
        </w:tabs>
        <w:spacing w:lineRule="auto" w:line="288" w:before="0" w:after="0"/>
        <w:ind w:hanging="283" w:start="709"/>
        <w:rPr/>
      </w:pPr>
      <w:r>
        <w:rPr>
          <w:rStyle w:val="Strong"/>
          <w:color w:val="000000"/>
        </w:rPr>
        <w:t>region_risk_score:</w:t>
      </w:r>
      <w:r>
        <w:rPr>
          <w:color w:val="000000"/>
        </w:rPr>
        <w:t xml:space="preserve"> smoothed historical delay rate by region </w:t>
      </w:r>
    </w:p>
    <w:p>
      <w:pPr>
        <w:pStyle w:val="BodyText"/>
        <w:numPr>
          <w:ilvl w:val="0"/>
          <w:numId w:val="1"/>
        </w:numPr>
        <w:tabs>
          <w:tab w:val="clear" w:pos="720"/>
          <w:tab w:val="left" w:pos="0" w:leader="none"/>
        </w:tabs>
        <w:spacing w:lineRule="auto" w:line="288" w:before="0" w:after="0"/>
        <w:ind w:hanging="283" w:start="709"/>
        <w:rPr/>
      </w:pPr>
      <w:r>
        <w:rPr>
          <w:rStyle w:val="Strong"/>
          <w:color w:val="000000"/>
        </w:rPr>
        <w:t xml:space="preserve">Shipping Mode: </w:t>
      </w:r>
      <w:r>
        <w:rPr>
          <w:color w:val="000000"/>
        </w:rPr>
        <w:t xml:space="preserve">Standard Class consistently shows higher delay risk </w:t>
      </w:r>
    </w:p>
    <w:p>
      <w:pPr>
        <w:pStyle w:val="BodyText"/>
        <w:numPr>
          <w:ilvl w:val="0"/>
          <w:numId w:val="1"/>
        </w:numPr>
        <w:tabs>
          <w:tab w:val="clear" w:pos="720"/>
          <w:tab w:val="left" w:pos="0" w:leader="none"/>
        </w:tabs>
        <w:spacing w:lineRule="auto" w:line="288"/>
        <w:ind w:hanging="283" w:start="709"/>
        <w:rPr/>
      </w:pPr>
      <w:r>
        <w:rPr>
          <w:rStyle w:val="Strong"/>
          <w:color w:val="000000"/>
        </w:rPr>
        <w:t>order_value_tier:</w:t>
      </w:r>
      <w:r>
        <w:rPr>
          <w:color w:val="000000"/>
        </w:rPr>
        <w:t xml:space="preserve"> higher-value orders show slightly lower delay probability </w:t>
      </w:r>
    </w:p>
    <w:p>
      <w:pPr>
        <w:pStyle w:val="BodyText"/>
        <w:spacing w:lineRule="auto" w:line="288" w:before="0" w:after="120"/>
        <w:rPr>
          <w:rFonts w:ascii="Times New Roman" w:hAnsi="Times New Roman"/>
        </w:rPr>
      </w:pPr>
      <w:r>
        <w:rPr>
          <w:color w:val="000000"/>
        </w:rPr>
        <w:t>Lower-impact features include:</w:t>
      </w:r>
    </w:p>
    <w:p>
      <w:pPr>
        <w:pStyle w:val="BodyText"/>
        <w:numPr>
          <w:ilvl w:val="0"/>
          <w:numId w:val="2"/>
        </w:numPr>
        <w:tabs>
          <w:tab w:val="clear" w:pos="720"/>
          <w:tab w:val="left" w:pos="0" w:leader="none"/>
        </w:tabs>
        <w:spacing w:lineRule="auto" w:line="288" w:before="0" w:after="0"/>
        <w:ind w:hanging="283" w:start="709"/>
        <w:rPr/>
      </w:pPr>
      <w:r>
        <w:rPr>
          <w:rStyle w:val="Strong"/>
          <w:color w:val="000000"/>
        </w:rPr>
        <w:t>discount_pressure</w:t>
      </w:r>
      <w:r>
        <w:rPr>
          <w:color w:val="000000"/>
        </w:rPr>
        <w:t xml:space="preserve"> </w:t>
      </w:r>
    </w:p>
    <w:p>
      <w:pPr>
        <w:pStyle w:val="BodyText"/>
        <w:numPr>
          <w:ilvl w:val="0"/>
          <w:numId w:val="2"/>
        </w:numPr>
        <w:tabs>
          <w:tab w:val="clear" w:pos="720"/>
          <w:tab w:val="left" w:pos="0" w:leader="none"/>
        </w:tabs>
        <w:spacing w:lineRule="auto" w:line="288" w:before="0" w:after="0"/>
        <w:ind w:hanging="283" w:start="709"/>
        <w:rPr/>
      </w:pPr>
      <w:r>
        <w:rPr>
          <w:rStyle w:val="Strong"/>
          <w:color w:val="000000"/>
        </w:rPr>
        <w:t>benefit_ratio</w:t>
      </w:r>
      <w:r>
        <w:rPr>
          <w:color w:val="000000"/>
        </w:rPr>
        <w:t xml:space="preserve"> </w:t>
      </w:r>
    </w:p>
    <w:p>
      <w:pPr>
        <w:pStyle w:val="BodyText"/>
        <w:numPr>
          <w:ilvl w:val="0"/>
          <w:numId w:val="2"/>
        </w:numPr>
        <w:tabs>
          <w:tab w:val="clear" w:pos="720"/>
          <w:tab w:val="left" w:pos="0" w:leader="none"/>
        </w:tabs>
        <w:spacing w:lineRule="auto" w:line="288"/>
        <w:ind w:hanging="283" w:start="709"/>
        <w:rPr/>
      </w:pPr>
      <w:r>
        <w:rPr>
          <w:rStyle w:val="Strong"/>
          <w:color w:val="000000"/>
        </w:rPr>
        <w:t>Customer Segment</w:t>
      </w:r>
      <w:r>
        <w:rPr>
          <w:color w:val="000000"/>
        </w:rPr>
        <w:t xml:space="preserve"> (minimal incremental signal)</w:t>
      </w:r>
    </w:p>
    <w:p>
      <w:pPr>
        <w:pStyle w:val="Normal"/>
        <w:spacing w:lineRule="auto" w:line="288" w:before="0" w:after="120"/>
        <w:ind w:firstLine="440"/>
        <w:jc w:val="start"/>
        <w:rPr>
          <w:rFonts w:ascii="Times New Roman" w:hAnsi="Times New Roman" w:eastAsia="Times New Roman" w:cs="Times New Roman"/>
          <w:b w:val="false"/>
          <w:bCs w:val="false"/>
          <w:i w:val="false"/>
          <w:iCs w:val="false"/>
          <w:caps w:val="false"/>
          <w:smallCaps w:val="false"/>
          <w:color w:val="000000"/>
          <w:sz w:val="22"/>
          <w:szCs w:val="22"/>
        </w:rPr>
      </w:pPr>
      <w:r>
        <w:rPr>
          <w:rFonts w:eastAsia="Times New Roman" w:cs="Times New Roman"/>
          <w:b w:val="false"/>
          <w:bCs w:val="false"/>
          <w:i w:val="false"/>
          <w:iCs w:val="false"/>
          <w:caps w:val="false"/>
          <w:smallCaps w:val="false"/>
          <w:color w:val="000000"/>
          <w:sz w:val="22"/>
          <w:szCs w:val="22"/>
        </w:rPr>
      </w:r>
    </w:p>
    <w:tbl>
      <w:tblPr>
        <w:tblW w:w="4305" w:type="dxa"/>
        <w:jc w:val="start"/>
        <w:tblInd w:w="0" w:type="dxa"/>
        <w:tblLayout w:type="fixed"/>
        <w:tblCellMar>
          <w:top w:w="200" w:type="dxa"/>
          <w:start w:w="300" w:type="dxa"/>
          <w:bottom w:w="200" w:type="dxa"/>
          <w:end w:w="300" w:type="dxa"/>
        </w:tblCellMar>
      </w:tblPr>
      <w:tblGrid>
        <w:gridCol w:w="4305"/>
      </w:tblGrid>
      <w:tr>
        <w:trPr/>
        <w:tc>
          <w:tcPr>
            <w:tcW w:w="4305" w:type="dxa"/>
            <w:tcBorders>
              <w:top w:val="single" w:sz="8" w:space="0" w:color="3A7FC1"/>
              <w:start w:val="single" w:sz="8" w:space="0" w:color="3A7FC1"/>
              <w:bottom w:val="single" w:sz="8" w:space="0" w:color="3A7FC1"/>
              <w:end w:val="single" w:sz="8" w:space="0" w:color="3A7FC1"/>
            </w:tcBorders>
            <w:shd w:fill="F0F6FC" w:val="clear"/>
          </w:tcPr>
          <w:p>
            <w:pPr>
              <w:pStyle w:val="Normal"/>
              <w:spacing w:lineRule="auto" w:line="264" w:before="0" w:after="60"/>
              <w:jc w:val="start"/>
              <w:rPr>
                <w:rFonts w:ascii="Times New Roman" w:hAnsi="Times New Roman" w:eastAsia="Times New Roman" w:cs="Times New Roman"/>
                <w:b w:val="false"/>
                <w:bCs w:val="false"/>
                <w:i/>
                <w:iCs/>
                <w:caps w:val="false"/>
                <w:smallCaps w:val="false"/>
                <w:color w:val="555555"/>
                <w:sz w:val="19"/>
                <w:szCs w:val="19"/>
              </w:rPr>
            </w:pPr>
            <w:r>
              <w:rPr>
                <w:rFonts w:eastAsia="Times New Roman" w:cs="Times New Roman"/>
                <w:b w:val="false"/>
                <w:bCs w:val="false"/>
                <w:i/>
                <w:iCs/>
                <w:caps w:val="false"/>
                <w:smallCaps w:val="false"/>
                <w:color w:val="555555"/>
                <w:sz w:val="19"/>
                <w:szCs w:val="19"/>
              </w:rPr>
              <w:drawing>
                <wp:anchor distT="0" distB="0" distL="0" distR="0" simplePos="0" relativeHeight="7" behindDoc="0" locked="0" layoutInCell="1" allowOverlap="1">
                  <wp:simplePos x="0" y="0"/>
                  <wp:positionH relativeFrom="column">
                    <wp:posOffset>-135255</wp:posOffset>
                  </wp:positionH>
                  <wp:positionV relativeFrom="paragraph">
                    <wp:posOffset>104775</wp:posOffset>
                  </wp:positionV>
                  <wp:extent cx="2651760" cy="315150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0"/>
                          <a:stretch>
                            <a:fillRect/>
                          </a:stretch>
                        </pic:blipFill>
                        <pic:spPr bwMode="auto">
                          <a:xfrm>
                            <a:off x="0" y="0"/>
                            <a:ext cx="2651760" cy="3151505"/>
                          </a:xfrm>
                          <a:prstGeom prst="rect">
                            <a:avLst/>
                          </a:prstGeom>
                          <a:noFill/>
                        </pic:spPr>
                      </pic:pic>
                    </a:graphicData>
                  </a:graphic>
                </wp:anchor>
              </w:drawing>
            </w:r>
          </w:p>
        </w:tc>
      </w:tr>
    </w:tbl>
    <w:p>
      <w:pPr>
        <w:pStyle w:val="Normal"/>
        <w:spacing w:lineRule="auto" w:line="264" w:before="60" w:after="160"/>
        <w:jc w:val="start"/>
        <w:rPr>
          <w:rFonts w:ascii="Times New Roman" w:hAnsi="Times New Roman"/>
        </w:rPr>
      </w:pPr>
      <w:r>
        <w:rPr>
          <w:rFonts w:eastAsia="Times New Roman" w:cs="Times New Roman"/>
          <w:b w:val="false"/>
          <w:bCs w:val="false"/>
          <w:i/>
          <w:iCs/>
          <w:caps w:val="false"/>
          <w:smallCaps w:val="false"/>
          <w:color w:val="555555"/>
          <w:sz w:val="19"/>
          <w:szCs w:val="19"/>
        </w:rPr>
        <w:t>Figure 6. SHAP global feature importance (XGBoost). Features ordered by mean |SHAP value|.</w:t>
      </w:r>
    </w:p>
    <w:tbl>
      <w:tblPr>
        <w:tblW w:w="4665" w:type="dxa"/>
        <w:jc w:val="start"/>
        <w:tblInd w:w="0" w:type="dxa"/>
        <w:tblLayout w:type="fixed"/>
        <w:tblCellMar>
          <w:top w:w="200" w:type="dxa"/>
          <w:start w:w="300" w:type="dxa"/>
          <w:bottom w:w="200" w:type="dxa"/>
          <w:end w:w="300" w:type="dxa"/>
        </w:tblCellMar>
      </w:tblPr>
      <w:tblGrid>
        <w:gridCol w:w="4665"/>
      </w:tblGrid>
      <w:tr>
        <w:trPr/>
        <w:tc>
          <w:tcPr>
            <w:tcW w:w="4665" w:type="dxa"/>
            <w:tcBorders>
              <w:top w:val="single" w:sz="8" w:space="0" w:color="3A7FC1"/>
              <w:start w:val="single" w:sz="8" w:space="0" w:color="3A7FC1"/>
              <w:bottom w:val="single" w:sz="8" w:space="0" w:color="3A7FC1"/>
              <w:end w:val="single" w:sz="8" w:space="0" w:color="3A7FC1"/>
            </w:tcBorders>
            <w:shd w:fill="F0F6FC" w:val="clear"/>
          </w:tcPr>
          <w:p>
            <w:pPr>
              <w:pStyle w:val="Normal"/>
              <w:spacing w:lineRule="auto" w:line="264" w:before="0" w:after="60"/>
              <w:jc w:val="start"/>
              <w:rPr>
                <w:rFonts w:ascii="Times New Roman" w:hAnsi="Times New Roman" w:eastAsia="Times New Roman" w:cs="Times New Roman"/>
                <w:b w:val="false"/>
                <w:bCs w:val="false"/>
                <w:i/>
                <w:iCs/>
                <w:caps w:val="false"/>
                <w:smallCaps w:val="false"/>
                <w:color w:val="555555"/>
                <w:sz w:val="19"/>
                <w:szCs w:val="19"/>
              </w:rPr>
            </w:pPr>
            <w:r>
              <w:rPr>
                <w:rFonts w:eastAsia="Times New Roman" w:cs="Times New Roman"/>
                <w:b w:val="false"/>
                <w:bCs w:val="false"/>
                <w:i/>
                <w:iCs/>
                <w:caps w:val="false"/>
                <w:smallCaps w:val="false"/>
                <w:color w:val="555555"/>
                <w:sz w:val="19"/>
                <w:szCs w:val="19"/>
              </w:rPr>
              <w:drawing>
                <wp:anchor distT="0" distB="0" distL="0" distR="0" simplePos="0" relativeHeight="8" behindDoc="0" locked="0" layoutInCell="1" allowOverlap="1">
                  <wp:simplePos x="0" y="0"/>
                  <wp:positionH relativeFrom="column">
                    <wp:align>center</wp:align>
                  </wp:positionH>
                  <wp:positionV relativeFrom="paragraph">
                    <wp:posOffset>635</wp:posOffset>
                  </wp:positionV>
                  <wp:extent cx="2682240" cy="3067050"/>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1"/>
                          <a:stretch>
                            <a:fillRect/>
                          </a:stretch>
                        </pic:blipFill>
                        <pic:spPr bwMode="auto">
                          <a:xfrm>
                            <a:off x="0" y="0"/>
                            <a:ext cx="2682240" cy="3067050"/>
                          </a:xfrm>
                          <a:prstGeom prst="rect">
                            <a:avLst/>
                          </a:prstGeom>
                          <a:noFill/>
                        </pic:spPr>
                      </pic:pic>
                    </a:graphicData>
                  </a:graphic>
                </wp:anchor>
              </w:drawing>
            </w:r>
          </w:p>
        </w:tc>
      </w:tr>
    </w:tbl>
    <w:p>
      <w:pPr>
        <w:pStyle w:val="Normal"/>
        <w:spacing w:lineRule="auto" w:line="264" w:before="60" w:after="160"/>
        <w:jc w:val="start"/>
        <w:rPr>
          <w:rFonts w:ascii="Times New Roman" w:hAnsi="Times New Roman"/>
        </w:rPr>
      </w:pPr>
      <w:r>
        <w:rPr>
          <w:rFonts w:eastAsia="Times New Roman" w:cs="Times New Roman"/>
          <w:b w:val="false"/>
          <w:bCs w:val="false"/>
          <w:i/>
          <w:iCs/>
          <w:caps w:val="false"/>
          <w:smallCaps w:val="false"/>
          <w:color w:val="555555"/>
          <w:sz w:val="19"/>
          <w:szCs w:val="19"/>
        </w:rPr>
        <w:t>Figure 7. SHAP beeswarm plot. Red = increases risk, blue = decreases risk. Point spread = distribution across orders.</w:t>
      </w:r>
    </w:p>
    <w:p>
      <w:pPr>
        <w:pStyle w:val="Heading2"/>
        <w:spacing w:lineRule="auto" w:line="264" w:before="200" w:after="80"/>
        <w:jc w:val="start"/>
        <w:rPr>
          <w:rFonts w:ascii="Times New Roman" w:hAnsi="Times New Roman"/>
        </w:rPr>
      </w:pPr>
      <w:r>
        <w:rPr>
          <w:rFonts w:eastAsia="Arial" w:cs="Arial" w:ascii="Times New Roman" w:hAnsi="Times New Roman"/>
          <w:b/>
          <w:bCs/>
          <w:i w:val="false"/>
          <w:iCs w:val="false"/>
          <w:caps w:val="false"/>
          <w:smallCaps w:val="false"/>
          <w:color w:val="2B5F9E"/>
          <w:sz w:val="23"/>
          <w:szCs w:val="23"/>
        </w:rPr>
        <w:t>5.2 Instance-Level Explanations</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 xml:space="preserve">SHAP enables order-level explanations by decomposing each prediction into its underlying feature contributions. Instead of presenting a single risk score in isolation, the model provides a breakdown of the factors driving that score for each individual order. </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 xml:space="preserve">A typical high-risk order is characterized by a combination of high shipping pressure, a short scheduled delivery window, and elevated risk associated with the specific route or region. These factors interact to push the predicted probability above the operational threshold. </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By understanding the drivers of risk, operation teams can make targeted interventions such as upgrading the shipping mode, splitting large orders across shipments, or proactively communicating potential delays to customers before dispatch.</w:t>
      </w:r>
    </w:p>
    <w:p>
      <w:pPr>
        <w:pStyle w:val="Heading2"/>
        <w:spacing w:lineRule="auto" w:line="264" w:before="200" w:after="80"/>
        <w:jc w:val="start"/>
        <w:rPr>
          <w:rFonts w:ascii="Times New Roman" w:hAnsi="Times New Roman"/>
        </w:rPr>
      </w:pPr>
      <w:r>
        <w:rPr>
          <w:rFonts w:eastAsia="Arial" w:cs="Arial" w:ascii="Times New Roman" w:hAnsi="Times New Roman"/>
          <w:b/>
          <w:bCs/>
          <w:i w:val="false"/>
          <w:iCs w:val="false"/>
          <w:caps w:val="false"/>
          <w:smallCaps w:val="false"/>
          <w:color w:val="2B5F9E"/>
          <w:sz w:val="23"/>
          <w:szCs w:val="23"/>
        </w:rPr>
        <w:t>5.3 Risk Category Distribution</w:t>
      </w:r>
    </w:p>
    <w:p>
      <w:pPr>
        <w:pStyle w:val="BodyText"/>
        <w:spacing w:lineRule="auto" w:line="288" w:before="0" w:after="120"/>
        <w:ind w:firstLine="440"/>
        <w:jc w:val="start"/>
        <w:rPr>
          <w:rFonts w:ascii="Times New Roman" w:hAnsi="Times New Roman"/>
        </w:rPr>
      </w:pPr>
      <w:r>
        <w:rPr>
          <w:color w:val="000000"/>
        </w:rPr>
        <w:t>Across all 180,519 orders, 35.2% (63,536) are classified as High-risk, 54.9% (99,083) as Medium-risk, and 9.9% (17,900) as Low-risk, with an average predicted probability of 52.6%. The dominance of the Medium-risk tier indicates a large decision-sensitive segment. High-risk orders form the primary intervention queue, while Medium-risk orders require secondary prioritization. Standard Class shipments show higher risk, whereas Same Day and First Class trend lower.</w:t>
      </w:r>
    </w:p>
    <w:p>
      <w:pPr>
        <w:pStyle w:val="Heading1"/>
        <w:pBdr>
          <w:bottom w:val="single" w:sz="6" w:space="4" w:color="3A7FC1"/>
        </w:pBdr>
        <w:spacing w:lineRule="auto" w:line="264" w:before="320" w:after="120"/>
        <w:jc w:val="start"/>
        <w:rPr>
          <w:rFonts w:ascii="Times New Roman" w:hAnsi="Times New Roman"/>
        </w:rPr>
      </w:pPr>
      <w:r>
        <w:rPr>
          <w:rFonts w:eastAsia="Arial" w:cs="Arial" w:ascii="Times New Roman" w:hAnsi="Times New Roman"/>
          <w:b/>
          <w:bCs/>
          <w:i w:val="false"/>
          <w:iCs w:val="false"/>
          <w:caps w:val="false"/>
          <w:smallCaps w:val="false"/>
          <w:color w:val="1A3560"/>
          <w:sz w:val="26"/>
          <w:szCs w:val="26"/>
        </w:rPr>
        <w:t>6. Limitations</w:t>
      </w:r>
    </w:p>
    <w:p>
      <w:pPr>
        <w:pStyle w:val="Heading2"/>
        <w:spacing w:lineRule="auto" w:line="264" w:before="200" w:after="80"/>
        <w:jc w:val="start"/>
        <w:rPr>
          <w:rFonts w:ascii="Times New Roman" w:hAnsi="Times New Roman"/>
        </w:rPr>
      </w:pPr>
      <w:r>
        <w:rPr>
          <w:rFonts w:eastAsia="Arial" w:cs="Arial" w:ascii="Times New Roman" w:hAnsi="Times New Roman"/>
          <w:b/>
          <w:bCs/>
          <w:i w:val="false"/>
          <w:iCs w:val="false"/>
          <w:caps w:val="false"/>
          <w:smallCaps w:val="false"/>
          <w:color w:val="2B5F9E"/>
          <w:sz w:val="23"/>
          <w:szCs w:val="23"/>
        </w:rPr>
        <w:t>6.1 Target Variable Ambiguity</w:t>
      </w:r>
    </w:p>
    <w:p>
      <w:pPr>
        <w:pStyle w:val="Normal"/>
        <w:spacing w:lineRule="auto" w:line="288" w:before="0" w:after="120"/>
        <w:ind w:firstLine="440"/>
        <w:jc w:val="start"/>
        <w:rPr/>
      </w:pPr>
      <w:r>
        <w:rPr>
          <w:rFonts w:eastAsia="Times New Roman" w:cs="Times New Roman"/>
          <w:b w:val="false"/>
          <w:bCs w:val="false"/>
          <w:i w:val="false"/>
          <w:iCs w:val="false"/>
          <w:caps w:val="false"/>
          <w:smallCaps w:val="false"/>
          <w:color w:val="000000"/>
          <w:sz w:val="22"/>
          <w:szCs w:val="22"/>
        </w:rPr>
        <w:t xml:space="preserve">The </w:t>
      </w:r>
      <w:r>
        <w:rPr>
          <w:rStyle w:val="Emphasis"/>
          <w:rFonts w:eastAsia="Times New Roman" w:cs="Times New Roman"/>
          <w:b w:val="false"/>
          <w:bCs w:val="false"/>
          <w:caps w:val="false"/>
          <w:smallCaps w:val="false"/>
          <w:color w:val="000000"/>
          <w:sz w:val="22"/>
          <w:szCs w:val="22"/>
        </w:rPr>
        <w:t>Late_delivery_risk</w:t>
      </w:r>
      <w:r>
        <w:rPr>
          <w:rFonts w:eastAsia="Times New Roman" w:cs="Times New Roman"/>
          <w:b w:val="false"/>
          <w:bCs w:val="false"/>
          <w:i w:val="false"/>
          <w:iCs w:val="false"/>
          <w:caps w:val="false"/>
          <w:smallCaps w:val="false"/>
          <w:color w:val="000000"/>
          <w:sz w:val="22"/>
          <w:szCs w:val="22"/>
        </w:rPr>
        <w:t xml:space="preserve"> label is based on schedule slippage rather than customer-facing SLA breaches. As a result, the model predicts internal schedule adherence, which may not fully reflect customer-impacting delays. A more operationally relevant target would require integrating SLA penalty or commitment data. </w:t>
      </w:r>
    </w:p>
    <w:p>
      <w:pPr>
        <w:pStyle w:val="Heading2"/>
        <w:spacing w:lineRule="auto" w:line="264" w:before="200" w:after="80"/>
        <w:jc w:val="start"/>
        <w:rPr>
          <w:rFonts w:ascii="Times New Roman" w:hAnsi="Times New Roman"/>
        </w:rPr>
      </w:pPr>
      <w:r>
        <w:rPr>
          <w:rFonts w:eastAsia="Arial" w:cs="Arial" w:ascii="Times New Roman" w:hAnsi="Times New Roman"/>
          <w:b/>
          <w:bCs/>
          <w:i w:val="false"/>
          <w:iCs w:val="false"/>
          <w:caps w:val="false"/>
          <w:smallCaps w:val="false"/>
          <w:color w:val="2B5F9E"/>
          <w:sz w:val="23"/>
          <w:szCs w:val="23"/>
        </w:rPr>
        <w:t>6.2 Missing Predictors</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 xml:space="preserve">The feature set, while reasonably engineered, is missing several variables that would plausibly improve prediction: actual route distance between origin and destination, historical carrier-level performance, real-time port or customs congestion data, and weather conditions along transit routes. </w:t>
      </w:r>
      <w:r>
        <w:rPr/>
        <w:t>Further gains in model performance are therefore more likely to come from data enrichment than model complexity.</w:t>
      </w:r>
    </w:p>
    <w:p>
      <w:pPr>
        <w:pStyle w:val="Heading2"/>
        <w:spacing w:lineRule="auto" w:line="264" w:before="200" w:after="80"/>
        <w:jc w:val="start"/>
        <w:rPr>
          <w:rFonts w:ascii="Times New Roman" w:hAnsi="Times New Roman"/>
        </w:rPr>
      </w:pPr>
      <w:r>
        <w:rPr>
          <w:rFonts w:eastAsia="Arial" w:cs="Arial" w:ascii="Times New Roman" w:hAnsi="Times New Roman"/>
          <w:b/>
          <w:bCs/>
          <w:i w:val="false"/>
          <w:iCs w:val="false"/>
          <w:caps w:val="false"/>
          <w:smallCaps w:val="false"/>
          <w:color w:val="2B5F9E"/>
          <w:sz w:val="23"/>
          <w:szCs w:val="23"/>
        </w:rPr>
        <w:t>6.3 Temporal Drift</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 xml:space="preserve">The model is trained on fixed historical data and may degrade as operational conditions evolve (e.g., carrier changes, market shifts). The current system does not include automated retraining or drift monitoring. A production deployment would require periodic retraining and performance tracking on recent data. </w:t>
      </w:r>
    </w:p>
    <w:p>
      <w:pPr>
        <w:pStyle w:val="Heading2"/>
        <w:spacing w:lineRule="auto" w:line="264" w:before="200" w:after="80"/>
        <w:jc w:val="start"/>
        <w:rPr>
          <w:rFonts w:ascii="Times New Roman" w:hAnsi="Times New Roman"/>
        </w:rPr>
      </w:pPr>
      <w:r>
        <w:rPr>
          <w:rFonts w:eastAsia="Arial" w:cs="Arial" w:ascii="Times New Roman" w:hAnsi="Times New Roman"/>
          <w:b/>
          <w:bCs/>
          <w:i w:val="false"/>
          <w:iCs w:val="false"/>
          <w:caps w:val="false"/>
          <w:smallCaps w:val="false"/>
          <w:color w:val="2B5F9E"/>
          <w:sz w:val="23"/>
          <w:szCs w:val="23"/>
        </w:rPr>
        <w:t>6.4 Causal Limitations</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The model captures statistical associations, not causal effects. Operational interventions based on predictions (e.g., changing shipping mode) may alter the underlying features, invalidating the original prediction. The model should therefore be used for prioritization, not causal decision-making.</w:t>
      </w:r>
    </w:p>
    <w:p>
      <w:pPr>
        <w:pStyle w:val="Heading2"/>
        <w:spacing w:lineRule="auto" w:line="264" w:before="200" w:after="80"/>
        <w:jc w:val="start"/>
        <w:rPr>
          <w:rFonts w:ascii="Times New Roman" w:hAnsi="Times New Roman"/>
        </w:rPr>
      </w:pPr>
      <w:r>
        <w:rPr>
          <w:rFonts w:eastAsia="Arial" w:cs="Arial" w:ascii="Times New Roman" w:hAnsi="Times New Roman"/>
          <w:b/>
          <w:bCs/>
          <w:i w:val="false"/>
          <w:iCs w:val="false"/>
          <w:caps w:val="false"/>
          <w:smallCaps w:val="false"/>
          <w:color w:val="2B5F9E"/>
          <w:sz w:val="23"/>
          <w:szCs w:val="23"/>
        </w:rPr>
        <w:t>6.5 Explainability Scope</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SHAP values explain feature contributions to predictions but do not validate whether those relationships are correct. Spurious correlations may produce misleading explanations. Additional validation, such as segment-level performance and calibration analysis, is required to ensure reliability.</w:t>
      </w:r>
    </w:p>
    <w:p>
      <w:pPr>
        <w:pStyle w:val="Heading1"/>
        <w:pBdr>
          <w:bottom w:val="single" w:sz="6" w:space="4" w:color="3A7FC1"/>
        </w:pBdr>
        <w:spacing w:lineRule="auto" w:line="264" w:before="320" w:after="120"/>
        <w:jc w:val="start"/>
        <w:rPr>
          <w:rFonts w:ascii="Times New Roman" w:hAnsi="Times New Roman"/>
        </w:rPr>
      </w:pPr>
      <w:r>
        <w:rPr>
          <w:rFonts w:eastAsia="Arial" w:cs="Arial" w:ascii="Times New Roman" w:hAnsi="Times New Roman"/>
          <w:b/>
          <w:bCs/>
          <w:i w:val="false"/>
          <w:iCs w:val="false"/>
          <w:caps w:val="false"/>
          <w:smallCaps w:val="false"/>
          <w:color w:val="1A3560"/>
          <w:sz w:val="26"/>
          <w:szCs w:val="26"/>
        </w:rPr>
        <w:t>7. Conclusion</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 xml:space="preserve">This paper described a machine learning pipeline to predict late-delivery risk before shipment using 180,519 historical records from APL Logistics. The system applies leakage-safe transformations, temporal validation via TimeSeriesSplit, and imbalance handling within an ImbPipeline to generate probability-based risk scores for operational prioritization. </w:t>
      </w:r>
    </w:p>
    <w:p>
      <w:pPr>
        <w:pStyle w:val="Normal"/>
        <w:spacing w:lineRule="auto" w:line="288" w:before="0" w:after="120"/>
        <w:ind w:firstLine="440"/>
        <w:jc w:val="start"/>
        <w:rPr/>
      </w:pPr>
      <w:r>
        <w:rPr>
          <w:rFonts w:eastAsia="Times New Roman" w:cs="Times New Roman"/>
          <w:b w:val="false"/>
          <w:bCs w:val="false"/>
          <w:i w:val="false"/>
          <w:iCs w:val="false"/>
          <w:caps w:val="false"/>
          <w:smallCaps w:val="false"/>
          <w:color w:val="000000"/>
          <w:sz w:val="22"/>
          <w:szCs w:val="22"/>
        </w:rPr>
        <w:t xml:space="preserve">Among the evaluated models, </w:t>
      </w:r>
      <w:r>
        <w:rPr>
          <w:rStyle w:val="Strong"/>
          <w:rFonts w:eastAsia="Times New Roman" w:cs="Times New Roman"/>
          <w:b w:val="false"/>
          <w:bCs w:val="false"/>
          <w:i w:val="false"/>
          <w:iCs w:val="false"/>
          <w:caps w:val="false"/>
          <w:smallCaps w:val="false"/>
          <w:color w:val="000000"/>
          <w:sz w:val="22"/>
          <w:szCs w:val="22"/>
        </w:rPr>
        <w:t>Random Forest achieved the best performance</w:t>
      </w:r>
      <w:r>
        <w:rPr>
          <w:rFonts w:eastAsia="Times New Roman" w:cs="Times New Roman"/>
          <w:b w:val="false"/>
          <w:bCs w:val="false"/>
          <w:i w:val="false"/>
          <w:iCs w:val="false"/>
          <w:caps w:val="false"/>
          <w:smallCaps w:val="false"/>
          <w:color w:val="000000"/>
          <w:sz w:val="22"/>
          <w:szCs w:val="22"/>
        </w:rPr>
        <w:t xml:space="preserve"> on the chronological hold-out test, with a </w:t>
      </w:r>
      <w:r>
        <w:rPr>
          <w:rStyle w:val="Strong"/>
          <w:rFonts w:eastAsia="Times New Roman" w:cs="Times New Roman"/>
          <w:b w:val="false"/>
          <w:bCs w:val="false"/>
          <w:i w:val="false"/>
          <w:iCs w:val="false"/>
          <w:caps w:val="false"/>
          <w:smallCaps w:val="false"/>
          <w:color w:val="000000"/>
          <w:sz w:val="22"/>
          <w:szCs w:val="22"/>
        </w:rPr>
        <w:t>ROC-AUC of 0.7435</w:t>
      </w:r>
      <w:r>
        <w:rPr>
          <w:rFonts w:eastAsia="Times New Roman" w:cs="Times New Roman"/>
          <w:b w:val="false"/>
          <w:bCs w:val="false"/>
          <w:i w:val="false"/>
          <w:iCs w:val="false"/>
          <w:caps w:val="false"/>
          <w:smallCaps w:val="false"/>
          <w:color w:val="000000"/>
          <w:sz w:val="22"/>
          <w:szCs w:val="22"/>
        </w:rPr>
        <w:t xml:space="preserve">. At the selected threshold of 0.35, the model delivers a </w:t>
      </w:r>
      <w:r>
        <w:rPr>
          <w:rStyle w:val="Strong"/>
          <w:rFonts w:eastAsia="Times New Roman" w:cs="Times New Roman"/>
          <w:b w:val="false"/>
          <w:bCs w:val="false"/>
          <w:i w:val="false"/>
          <w:iCs w:val="false"/>
          <w:caps w:val="false"/>
          <w:smallCaps w:val="false"/>
          <w:color w:val="000000"/>
          <w:sz w:val="22"/>
          <w:szCs w:val="22"/>
        </w:rPr>
        <w:t>Recall of 0.816</w:t>
      </w:r>
      <w:r>
        <w:rPr>
          <w:rFonts w:eastAsia="Times New Roman" w:cs="Times New Roman"/>
          <w:b w:val="false"/>
          <w:bCs w:val="false"/>
          <w:i w:val="false"/>
          <w:iCs w:val="false"/>
          <w:caps w:val="false"/>
          <w:smallCaps w:val="false"/>
          <w:color w:val="000000"/>
          <w:sz w:val="22"/>
          <w:szCs w:val="22"/>
        </w:rPr>
        <w:t xml:space="preserve">, </w:t>
      </w:r>
      <w:r>
        <w:rPr>
          <w:rStyle w:val="Strong"/>
          <w:rFonts w:eastAsia="Times New Roman" w:cs="Times New Roman"/>
          <w:b w:val="false"/>
          <w:bCs w:val="false"/>
          <w:i w:val="false"/>
          <w:iCs w:val="false"/>
          <w:caps w:val="false"/>
          <w:smallCaps w:val="false"/>
          <w:color w:val="000000"/>
          <w:sz w:val="22"/>
          <w:szCs w:val="22"/>
        </w:rPr>
        <w:t>Precision of 0.627</w:t>
      </w:r>
      <w:r>
        <w:rPr>
          <w:rFonts w:eastAsia="Times New Roman" w:cs="Times New Roman"/>
          <w:b w:val="false"/>
          <w:bCs w:val="false"/>
          <w:i w:val="false"/>
          <w:iCs w:val="false"/>
          <w:caps w:val="false"/>
          <w:smallCaps w:val="false"/>
          <w:color w:val="000000"/>
          <w:sz w:val="22"/>
          <w:szCs w:val="22"/>
        </w:rPr>
        <w:t xml:space="preserve">, and </w:t>
      </w:r>
      <w:r>
        <w:rPr>
          <w:rStyle w:val="Strong"/>
          <w:rFonts w:eastAsia="Times New Roman" w:cs="Times New Roman"/>
          <w:b w:val="false"/>
          <w:bCs w:val="false"/>
          <w:i w:val="false"/>
          <w:iCs w:val="false"/>
          <w:caps w:val="false"/>
          <w:smallCaps w:val="false"/>
          <w:color w:val="000000"/>
          <w:sz w:val="22"/>
          <w:szCs w:val="22"/>
        </w:rPr>
        <w:t>F1 score of 0.709</w:t>
      </w:r>
      <w:r>
        <w:rPr>
          <w:rFonts w:eastAsia="Times New Roman" w:cs="Times New Roman"/>
          <w:b w:val="false"/>
          <w:bCs w:val="false"/>
          <w:i w:val="false"/>
          <w:iCs w:val="false"/>
          <w:caps w:val="false"/>
          <w:smallCaps w:val="false"/>
          <w:color w:val="000000"/>
          <w:sz w:val="22"/>
          <w:szCs w:val="22"/>
        </w:rPr>
        <w:t xml:space="preserve">, while flagging </w:t>
      </w:r>
      <w:r>
        <w:rPr>
          <w:rStyle w:val="Strong"/>
          <w:rFonts w:eastAsia="Times New Roman" w:cs="Times New Roman"/>
          <w:b w:val="false"/>
          <w:bCs w:val="false"/>
          <w:i w:val="false"/>
          <w:iCs w:val="false"/>
          <w:caps w:val="false"/>
          <w:smallCaps w:val="false"/>
          <w:color w:val="000000"/>
          <w:sz w:val="22"/>
          <w:szCs w:val="22"/>
        </w:rPr>
        <w:t>71.8% of orders</w:t>
      </w:r>
      <w:r>
        <w:rPr>
          <w:rFonts w:eastAsia="Times New Roman" w:cs="Times New Roman"/>
          <w:b w:val="false"/>
          <w:bCs w:val="false"/>
          <w:i w:val="false"/>
          <w:iCs w:val="false"/>
          <w:caps w:val="false"/>
          <w:smallCaps w:val="false"/>
          <w:color w:val="000000"/>
          <w:sz w:val="22"/>
          <w:szCs w:val="22"/>
        </w:rPr>
        <w:t xml:space="preserve"> for review. This reflects a deliberate trade-off prioritizing recall to ensure most potential delays are captured. </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 xml:space="preserve">The model’s key drivers: scheduled shipping duration, shipping pressure, regional risk encoding, shipping mode, and order value tier align with controllable operational levers, enabling targeted interventions such as schedule adjustments, mode upgrades, and region-specific prioritization. </w:t>
      </w:r>
    </w:p>
    <w:p>
      <w:pPr>
        <w:pStyle w:val="Normal"/>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The system is operationalized through a Streamlit dashboard that provides KPI monitoring, order-level risk scoring, and a prioritized action queue across all 180,519 orders. The inclusion of the full dataset ensures both operational usability and auditability.</w:t>
      </w:r>
    </w:p>
    <w:p>
      <w:pPr>
        <w:pStyle w:val="BodyText"/>
        <w:spacing w:lineRule="auto" w:line="288" w:before="0" w:after="120"/>
        <w:ind w:firstLine="440"/>
        <w:jc w:val="start"/>
        <w:rPr>
          <w:rFonts w:ascii="Times New Roman" w:hAnsi="Times New Roman"/>
        </w:rPr>
      </w:pPr>
      <w:r>
        <w:rPr>
          <w:rFonts w:eastAsia="Times New Roman" w:cs="Times New Roman"/>
          <w:b w:val="false"/>
          <w:bCs w:val="false"/>
          <w:i w:val="false"/>
          <w:iCs w:val="false"/>
          <w:caps w:val="false"/>
          <w:smallCaps w:val="false"/>
          <w:color w:val="000000"/>
          <w:sz w:val="22"/>
          <w:szCs w:val="22"/>
        </w:rPr>
        <w:t xml:space="preserve">Several limitations remain. The target variable reflects schedule adherence rather than customer-facing SLA breaches. The feature set excludes route-level, carrier-level, and external disruption data. Model retraining is not automated, and predictions remain correlational rather than causal. </w:t>
      </w:r>
      <w:r>
        <w:rPr>
          <w:color w:val="000000"/>
        </w:rPr>
        <w:t>Despite these constraints, the system provides a practical shift from reactive to proactive delay management. By identifying high-risk orders before dispatch, it enables earlier intervention, improving operational efficiency and customer outcomes.</w:t>
      </w:r>
    </w:p>
    <w:p>
      <w:pPr>
        <w:pStyle w:val="Normal"/>
        <w:spacing w:lineRule="auto" w:line="288" w:before="0" w:after="120"/>
        <w:ind w:firstLine="440"/>
        <w:jc w:val="start"/>
        <w:rPr>
          <w:rFonts w:ascii="Times New Roman" w:hAnsi="Times New Roman" w:eastAsia="Times New Roman" w:cs="Times New Roman"/>
          <w:b w:val="false"/>
          <w:bCs w:val="false"/>
          <w:i w:val="false"/>
          <w:iCs w:val="false"/>
          <w:caps w:val="false"/>
          <w:smallCaps w:val="false"/>
          <w:color w:val="000000"/>
          <w:sz w:val="22"/>
          <w:szCs w:val="22"/>
        </w:rPr>
      </w:pPr>
      <w:r>
        <w:rPr>
          <w:rFonts w:eastAsia="Times New Roman" w:cs="Times New Roman"/>
          <w:b w:val="false"/>
          <w:bCs w:val="false"/>
          <w:i w:val="false"/>
          <w:iCs w:val="false"/>
          <w:caps w:val="false"/>
          <w:smallCaps w:val="false"/>
          <w:color w:val="000000"/>
          <w:sz w:val="22"/>
          <w:szCs w:val="22"/>
        </w:rPr>
      </w:r>
    </w:p>
    <w:p>
      <w:pPr>
        <w:pStyle w:val="Heading1"/>
        <w:pBdr>
          <w:bottom w:val="single" w:sz="6" w:space="4" w:color="3A7FC1"/>
        </w:pBdr>
        <w:spacing w:lineRule="auto" w:line="264" w:before="320" w:after="120"/>
        <w:jc w:val="start"/>
        <w:rPr>
          <w:rFonts w:ascii="Times New Roman" w:hAnsi="Times New Roman"/>
        </w:rPr>
      </w:pPr>
      <w:r>
        <w:rPr>
          <w:rFonts w:eastAsia="Arial" w:cs="Arial" w:ascii="Times New Roman" w:hAnsi="Times New Roman"/>
          <w:b/>
          <w:bCs/>
          <w:i w:val="false"/>
          <w:iCs w:val="false"/>
          <w:caps w:val="false"/>
          <w:smallCaps w:val="false"/>
          <w:color w:val="1A3560"/>
          <w:sz w:val="26"/>
          <w:szCs w:val="26"/>
        </w:rPr>
        <w:t>References</w:t>
      </w:r>
    </w:p>
    <w:p>
      <w:pPr>
        <w:pStyle w:val="Normal"/>
        <w:spacing w:lineRule="auto" w:line="264" w:before="0" w:after="100"/>
        <w:ind w:hanging="440" w:start="440"/>
        <w:jc w:val="start"/>
        <w:rPr>
          <w:rFonts w:ascii="Times New Roman" w:hAnsi="Times New Roman"/>
        </w:rPr>
      </w:pPr>
      <w:r>
        <w:rPr>
          <w:rFonts w:eastAsia="Times New Roman" w:cs="Times New Roman"/>
          <w:b w:val="false"/>
          <w:bCs w:val="false"/>
          <w:i w:val="false"/>
          <w:iCs w:val="false"/>
          <w:caps w:val="false"/>
          <w:smallCaps w:val="false"/>
          <w:color w:val="000000"/>
          <w:sz w:val="20"/>
          <w:szCs w:val="20"/>
        </w:rPr>
        <w:t>Blagus, R., &amp; Lusa, L. (2015). SMOTE for high-dimensional class-imbalanced data. BMC Bioinformatics, 16(1), 1–16. https://doi.org/10.1186/s12859-015-0494-0</w:t>
      </w:r>
    </w:p>
    <w:p>
      <w:pPr>
        <w:pStyle w:val="Normal"/>
        <w:spacing w:lineRule="auto" w:line="264" w:before="0" w:after="100"/>
        <w:ind w:hanging="440" w:start="440"/>
        <w:jc w:val="start"/>
        <w:rPr>
          <w:rFonts w:ascii="Times New Roman" w:hAnsi="Times New Roman"/>
        </w:rPr>
      </w:pPr>
      <w:r>
        <w:rPr>
          <w:rFonts w:eastAsia="Times New Roman" w:cs="Times New Roman"/>
          <w:b w:val="false"/>
          <w:bCs w:val="false"/>
          <w:i w:val="false"/>
          <w:iCs w:val="false"/>
          <w:caps w:val="false"/>
          <w:smallCaps w:val="false"/>
          <w:color w:val="000000"/>
          <w:sz w:val="20"/>
          <w:szCs w:val="20"/>
        </w:rPr>
        <w:t>Chawla, N. V., Bowyer, K. W., Hall, L. O., &amp; Kegelmeyer, W. P. (2002). SMOTE: Synthetic minority over-sampling technique. Journal of Artificial Intelligence Research, 16, 321–357.</w:t>
      </w:r>
    </w:p>
    <w:p>
      <w:pPr>
        <w:pStyle w:val="Normal"/>
        <w:spacing w:lineRule="auto" w:line="264" w:before="0" w:after="100"/>
        <w:ind w:hanging="440" w:start="440"/>
        <w:jc w:val="start"/>
        <w:rPr>
          <w:rFonts w:ascii="Times New Roman" w:hAnsi="Times New Roman"/>
        </w:rPr>
      </w:pPr>
      <w:r>
        <w:rPr>
          <w:rFonts w:eastAsia="Times New Roman" w:cs="Times New Roman"/>
          <w:b w:val="false"/>
          <w:bCs w:val="false"/>
          <w:i w:val="false"/>
          <w:iCs w:val="false"/>
          <w:caps w:val="false"/>
          <w:smallCaps w:val="false"/>
          <w:color w:val="000000"/>
          <w:sz w:val="20"/>
          <w:szCs w:val="20"/>
        </w:rPr>
        <w:t>Chen, Y., Zhang, D., &amp; Hu, X. (2021). Temporal leakage in supply chain predictive models: Evidence from e-commerce logistics. International Journal of Production Economics, 238, 108–121.</w:t>
      </w:r>
    </w:p>
    <w:p>
      <w:pPr>
        <w:pStyle w:val="Normal"/>
        <w:spacing w:lineRule="auto" w:line="264" w:before="0" w:after="100"/>
        <w:ind w:hanging="440" w:start="440"/>
        <w:jc w:val="start"/>
        <w:rPr>
          <w:rFonts w:ascii="Times New Roman" w:hAnsi="Times New Roman"/>
        </w:rPr>
      </w:pPr>
      <w:r>
        <w:rPr>
          <w:rFonts w:eastAsia="Times New Roman" w:cs="Times New Roman"/>
          <w:b w:val="false"/>
          <w:bCs w:val="false"/>
          <w:i w:val="false"/>
          <w:iCs w:val="false"/>
          <w:caps w:val="false"/>
          <w:smallCaps w:val="false"/>
          <w:color w:val="000000"/>
          <w:sz w:val="20"/>
          <w:szCs w:val="20"/>
        </w:rPr>
        <w:t>Joshi, A., Mehta, R., &amp; Singh, P. (2022). Benchmarking gradient boosting methods for logistics delay classification. Computers &amp; Industrial Engineering, 164, 107891.</w:t>
      </w:r>
    </w:p>
    <w:p>
      <w:pPr>
        <w:pStyle w:val="Normal"/>
        <w:spacing w:lineRule="auto" w:line="264" w:before="0" w:after="100"/>
        <w:ind w:hanging="440" w:start="440"/>
        <w:jc w:val="start"/>
        <w:rPr>
          <w:rFonts w:ascii="Times New Roman" w:hAnsi="Times New Roman"/>
        </w:rPr>
      </w:pPr>
      <w:r>
        <w:rPr>
          <w:rFonts w:eastAsia="Times New Roman" w:cs="Times New Roman"/>
          <w:b w:val="false"/>
          <w:bCs w:val="false"/>
          <w:i w:val="false"/>
          <w:iCs w:val="false"/>
          <w:caps w:val="false"/>
          <w:smallCaps w:val="false"/>
          <w:color w:val="000000"/>
          <w:sz w:val="20"/>
          <w:szCs w:val="20"/>
        </w:rPr>
        <w:t>Lemaître, G., Nogueira, F., &amp; Aridas, C. K. (2017). Imbalanced-learn: A Python toolbox to tackle the curse of imbalanced datasets in machine learning. Journal of Machine Learning Research, 18(17), 1–5.</w:t>
      </w:r>
    </w:p>
    <w:p>
      <w:pPr>
        <w:pStyle w:val="Normal"/>
        <w:spacing w:lineRule="auto" w:line="264" w:before="0" w:after="100"/>
        <w:ind w:hanging="440" w:start="440"/>
        <w:jc w:val="start"/>
        <w:rPr>
          <w:rFonts w:ascii="Times New Roman" w:hAnsi="Times New Roman"/>
        </w:rPr>
      </w:pPr>
      <w:r>
        <w:rPr>
          <w:rFonts w:eastAsia="Times New Roman" w:cs="Times New Roman"/>
          <w:b w:val="false"/>
          <w:bCs w:val="false"/>
          <w:i w:val="false"/>
          <w:iCs w:val="false"/>
          <w:caps w:val="false"/>
          <w:smallCaps w:val="false"/>
          <w:color w:val="000000"/>
          <w:sz w:val="20"/>
          <w:szCs w:val="20"/>
        </w:rPr>
        <w:t>Lundberg, S. M., &amp; Lee, S. I. (2017). A unified approach to interpreting model predictions. Advances in Neural Information Processing Systems, 30, 4765–4774.</w:t>
      </w:r>
    </w:p>
    <w:p>
      <w:pPr>
        <w:pStyle w:val="Normal"/>
        <w:spacing w:lineRule="auto" w:line="264" w:before="0" w:after="100"/>
        <w:ind w:hanging="440" w:start="440"/>
        <w:jc w:val="start"/>
        <w:rPr>
          <w:rFonts w:ascii="Times New Roman" w:hAnsi="Times New Roman"/>
        </w:rPr>
      </w:pPr>
      <w:r>
        <w:rPr>
          <w:rFonts w:eastAsia="Times New Roman" w:cs="Times New Roman"/>
          <w:b w:val="false"/>
          <w:bCs w:val="false"/>
          <w:i w:val="false"/>
          <w:iCs w:val="false"/>
          <w:caps w:val="false"/>
          <w:smallCaps w:val="false"/>
          <w:color w:val="000000"/>
          <w:sz w:val="20"/>
          <w:szCs w:val="20"/>
        </w:rPr>
        <w:t>Micci-Barreca, D. (2001). A preprocessing scheme for high-cardinality categorical attributes in classification and prediction problems. SIGKDD Explorations, 3(1), 27–32.</w:t>
      </w:r>
    </w:p>
    <w:p>
      <w:pPr>
        <w:pStyle w:val="Normal"/>
        <w:spacing w:lineRule="auto" w:line="264" w:before="0" w:after="100"/>
        <w:ind w:hanging="440" w:start="440"/>
        <w:jc w:val="start"/>
        <w:rPr>
          <w:rFonts w:ascii="Times New Roman" w:hAnsi="Times New Roman"/>
        </w:rPr>
      </w:pPr>
      <w:r>
        <w:rPr>
          <w:rFonts w:eastAsia="Times New Roman" w:cs="Times New Roman"/>
          <w:b w:val="false"/>
          <w:bCs w:val="false"/>
          <w:i w:val="false"/>
          <w:iCs w:val="false"/>
          <w:caps w:val="false"/>
          <w:smallCaps w:val="false"/>
          <w:color w:val="000000"/>
          <w:sz w:val="20"/>
          <w:szCs w:val="20"/>
        </w:rPr>
        <w:t>Sharma, V., &amp; Gupta, S. (2020). Feature importance in multi-modal logistics delay prediction: A random forest analysis. Transportation Research Part E: Logistics and Transportation Review, 142, 102068.</w:t>
      </w:r>
    </w:p>
    <w:sectPr>
      <w:type w:val="continuous"/>
      <w:pgSz w:w="12240" w:h="15840"/>
      <w:pgMar w:left="1440" w:right="1440" w:gutter="0" w:header="0" w:top="1440" w:footer="708" w:bottom="1440"/>
      <w:cols w:num="2" w:space="720" w:equalWidth="true" w:sep="fals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Liberation Mono">
    <w:altName w:val="Courier New"/>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026" w:leader="none"/>
      </w:tabs>
      <w:spacing w:lineRule="auto" w:line="264" w:before="0" w:after="0"/>
      <w:rPr/>
    </w:pPr>
    <w:r>
      <w:rPr>
        <w:rFonts w:eastAsia="Times New Roman" w:cs="Times New Roman"/>
        <w:b w:val="false"/>
        <w:bCs w:val="false"/>
        <w:i/>
        <w:iCs/>
        <w:caps w:val="false"/>
        <w:smallCaps w:val="false"/>
        <w:color w:val="888888"/>
        <w:sz w:val="18"/>
        <w:szCs w:val="18"/>
      </w:rPr>
      <w:t xml:space="preserve">APL Logistics — Late Delivery Risk Prediction  |  </w:t>
    </w:r>
    <w:r>
      <w:rPr>
        <w:rFonts w:eastAsia="Times New Roman" w:cs="Times New Roman"/>
        <w:b w:val="false"/>
        <w:bCs w:val="false"/>
        <w:i w:val="false"/>
        <w:iCs w:val="false"/>
        <w:caps w:val="false"/>
        <w:smallCaps w:val="false"/>
        <w:color w:val="888888"/>
        <w:sz w:val="18"/>
        <w:szCs w:val="18"/>
      </w:rPr>
      <w:t xml:space="preserve">Page </w:t>
    </w:r>
    <w:r>
      <w:rPr/>
      <w:fldChar w:fldCharType="begin"/>
    </w:r>
    <w:r>
      <w:rPr/>
      <w:instrText xml:space="preserve"> PAGE </w:instrText>
    </w:r>
    <w:r>
      <w:rPr/>
      <w:fldChar w:fldCharType="separate"/>
    </w:r>
    <w:r>
      <w:rPr/>
      <w:t>12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026" w:leader="none"/>
      </w:tabs>
      <w:spacing w:lineRule="auto" w:line="264" w:before="0" w:after="0"/>
      <w:rPr/>
    </w:pPr>
    <w:r>
      <w:rPr>
        <w:rFonts w:eastAsia="Times New Roman" w:cs="Times New Roman"/>
        <w:b w:val="false"/>
        <w:bCs w:val="false"/>
        <w:i/>
        <w:iCs/>
        <w:caps w:val="false"/>
        <w:smallCaps w:val="false"/>
        <w:color w:val="888888"/>
        <w:sz w:val="18"/>
        <w:szCs w:val="18"/>
      </w:rPr>
      <w:t xml:space="preserve">APL Logistics — Late Delivery Risk Prediction  |  </w:t>
    </w:r>
    <w:r>
      <w:rPr>
        <w:rFonts w:eastAsia="Times New Roman" w:cs="Times New Roman"/>
        <w:b w:val="false"/>
        <w:bCs w:val="false"/>
        <w:i w:val="false"/>
        <w:iCs w:val="false"/>
        <w:caps w:val="false"/>
        <w:smallCaps w:val="false"/>
        <w:color w:val="888888"/>
        <w:sz w:val="18"/>
        <w:szCs w:val="18"/>
      </w:rPr>
      <w:t xml:space="preserve">Page </w:t>
    </w:r>
    <w:r>
      <w:rPr/>
      <w:fldChar w:fldCharType="begin"/>
    </w:r>
    <w:r>
      <w:rPr/>
      <w:instrText xml:space="preserve"> PAGE </w:instrText>
    </w:r>
    <w:r>
      <w:rPr/>
      <w:fldChar w:fldCharType="separate"/>
    </w:r>
    <w:r>
      <w:rPr/>
      <w:t>12</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2"/>
        <w:szCs w:val="22"/>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Times New Roman" w:cs="Times New Roman"/>
      <w:color w:val="auto"/>
      <w:kern w:val="0"/>
      <w:sz w:val="22"/>
      <w:szCs w:val="22"/>
      <w:lang w:val="en-IN" w:eastAsia="zh-CN" w:bidi="hi-IN"/>
    </w:rPr>
  </w:style>
  <w:style w:type="paragraph" w:styleId="Heading1">
    <w:name w:val="heading 1"/>
    <w:basedOn w:val="Heading"/>
    <w:qFormat/>
    <w:pPr>
      <w:spacing w:before="320" w:after="120"/>
      <w:outlineLvl w:val="0"/>
    </w:pPr>
    <w:rPr>
      <w:rFonts w:ascii="Arial" w:hAnsi="Arial" w:eastAsia="Arial" w:cs="Arial"/>
      <w:b/>
      <w:bCs/>
      <w:color w:val="1A3560"/>
      <w:sz w:val="26"/>
      <w:szCs w:val="26"/>
    </w:rPr>
  </w:style>
  <w:style w:type="paragraph" w:styleId="Heading2">
    <w:name w:val="heading 2"/>
    <w:basedOn w:val="Heading"/>
    <w:qFormat/>
    <w:pPr>
      <w:spacing w:before="200" w:after="80"/>
      <w:outlineLvl w:val="1"/>
    </w:pPr>
    <w:rPr>
      <w:rFonts w:ascii="Arial" w:hAnsi="Arial" w:eastAsia="Arial" w:cs="Arial"/>
      <w:b/>
      <w:bCs/>
      <w:color w:val="2B5F9E"/>
      <w:sz w:val="23"/>
      <w:szCs w:val="23"/>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Times New Roman" w:hAnsi="Times New Roman" w:eastAsia="Times New Roman" w:cs="Times New Roman"/>
      <w:b/>
      <w:bCs/>
      <w:color w:val="auto"/>
      <w:kern w:val="0"/>
      <w:sz w:val="22"/>
      <w:szCs w:val="22"/>
      <w:lang w:val="en-IN"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Times New Roman" w:cs="Times New Roman"/>
      <w:color w:val="auto"/>
      <w:kern w:val="0"/>
      <w:sz w:val="22"/>
      <w:szCs w:val="22"/>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Header">
    <w:name w:val="header"/>
    <w:basedOn w:val="HeaderandFooter"/>
    <w:pPr/>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paragraph" w:styleId="TableContents">
    <w:name w:val="Table Contents"/>
    <w:basedOn w:val="Normal"/>
    <w:qFormat/>
    <w:pPr>
      <w:widowControl w:val="false"/>
      <w:suppressLineNumbers/>
    </w:pPr>
    <w:rPr/>
  </w:style>
  <w:style w:type="paragraph" w:styleId="FrameContentsuser">
    <w:name w:val="Frame Contents (user)"/>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529</TotalTime>
  <Application>LibreOffice/26.2.2.2$Windows_X86_64 LibreOffice_project/1f77d10d6938fd34972958f64b2bcfa54f8b1ba5</Application>
  <AppVersion>15.0000</AppVersion>
  <Pages>12</Pages>
  <Words>3978</Words>
  <Characters>24363</Characters>
  <CharactersWithSpaces>28127</CharactersWithSpaces>
  <Paragraphs>254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2026-04-01T19:08:32Z</dcterms:created>
  <dc:creator>Un-named</dc:creator>
  <dc:description/>
  <dc:language>en-IN</dc:language>
  <cp:lastModifiedBy/>
  <dcterms:modified xsi:type="dcterms:W3CDTF">2026-04-11T13:38:37Z</dcterms:modified>
  <cp:revision>44</cp:revision>
  <dc:subject/>
  <dc:title/>
</cp:coreProperties>
</file>

<file path=docProps/custom.xml><?xml version="1.0" encoding="utf-8"?>
<Properties xmlns="http://schemas.openxmlformats.org/officeDocument/2006/custom-properties" xmlns:vt="http://schemas.openxmlformats.org/officeDocument/2006/docPropsVTypes"/>
</file>