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720" w:type="dxa"/>
        <w:jc w:val="start"/>
        <w:tblInd w:w="0" w:type="dxa"/>
        <w:tblLayout w:type="fixed"/>
        <w:tblCellMar>
          <w:top w:w="260" w:type="dxa"/>
          <w:start w:w="280" w:type="dxa"/>
          <w:bottom w:w="220" w:type="dxa"/>
          <w:end w:w="280" w:type="dxa"/>
        </w:tblCellMar>
      </w:tblPr>
      <w:tblGrid>
        <w:gridCol w:w="9720"/>
      </w:tblGrid>
      <w:tr>
        <w:trPr/>
        <w:tc>
          <w:tcPr>
            <w:tcW w:w="9720" w:type="dxa"/>
            <w:tcBorders/>
            <w:shd w:fill="1A3A5C" w:val="clear"/>
          </w:tcPr>
          <w:p>
            <w:pPr>
              <w:pStyle w:val="Normal"/>
              <w:spacing w:lineRule="auto" w:line="276" w:before="0" w:after="50"/>
              <w:rPr/>
            </w:pPr>
            <w:r>
              <w:rPr>
                <w:rFonts w:eastAsia="Calibri" w:cs="Calibri"/>
                <w:b/>
                <w:bCs/>
                <w:i w:val="false"/>
                <w:iCs w:val="false"/>
                <w:caps w:val="false"/>
                <w:smallCaps w:val="false"/>
                <w:color w:val="8FBFE0"/>
                <w:sz w:val="16"/>
                <w:szCs w:val="16"/>
              </w:rPr>
              <w:t>EXECUTIVE SUMMARY</w:t>
            </w:r>
          </w:p>
          <w:p>
            <w:pPr>
              <w:pStyle w:val="Normal"/>
              <w:spacing w:lineRule="auto" w:line="276" w:before="0" w:after="60"/>
              <w:rPr/>
            </w:pPr>
            <w:r>
              <w:rPr>
                <w:rFonts w:eastAsia="Calibri" w:cs="Calibri"/>
                <w:b/>
                <w:bCs/>
                <w:i w:val="false"/>
                <w:iCs w:val="false"/>
                <w:caps w:val="false"/>
                <w:smallCaps w:val="false"/>
                <w:color w:val="FFFFFF"/>
                <w:sz w:val="32"/>
                <w:szCs w:val="32"/>
              </w:rPr>
              <w:t>Machine Learning–Based Late Delivery Risk Prediction</w:t>
            </w:r>
          </w:p>
          <w:p>
            <w:pPr>
              <w:pStyle w:val="Normal"/>
              <w:spacing w:lineRule="auto" w:line="276" w:before="0" w:after="0"/>
              <w:rPr/>
            </w:pPr>
            <w:r>
              <w:rPr>
                <w:rFonts w:eastAsia="Calibri" w:cs="Calibri"/>
                <w:b w:val="false"/>
                <w:bCs w:val="false"/>
                <w:i/>
                <w:iCs/>
                <w:caps w:val="false"/>
                <w:smallCaps w:val="false"/>
                <w:color w:val="B8D8EF"/>
                <w:sz w:val="20"/>
                <w:szCs w:val="20"/>
              </w:rPr>
              <w:t>Global Supply Chain Operations  ·  APL Logistics</w:t>
            </w:r>
          </w:p>
        </w:tc>
      </w:tr>
    </w:tbl>
    <w:p>
      <w:pPr>
        <w:pStyle w:val="Normal"/>
        <w:spacing w:lineRule="auto" w:line="276" w:before="0" w:after="60"/>
        <w:jc w:val="both"/>
        <w:rPr/>
      </w:pPr>
      <w:r>
        <w:rPr/>
      </w:r>
    </w:p>
    <w:tbl>
      <w:tblPr>
        <w:tblW w:w="9720" w:type="dxa"/>
        <w:jc w:val="start"/>
        <w:tblInd w:w="0" w:type="dxa"/>
        <w:tblLayout w:type="fixed"/>
        <w:tblCellMar>
          <w:top w:w="100" w:type="dxa"/>
          <w:start w:w="180" w:type="dxa"/>
          <w:bottom w:w="100" w:type="dxa"/>
          <w:end w:w="180" w:type="dxa"/>
        </w:tblCellMar>
      </w:tblPr>
      <w:tblGrid>
        <w:gridCol w:w="9720"/>
      </w:tblGrid>
      <w:tr>
        <w:trPr/>
        <w:tc>
          <w:tcPr>
            <w:tcW w:w="9720" w:type="dxa"/>
            <w:tcBorders/>
            <w:shd w:fill="1A3A5C" w:val="clear"/>
          </w:tcPr>
          <w:p>
            <w:pPr>
              <w:pStyle w:val="Normal"/>
              <w:spacing w:lineRule="auto" w:line="276" w:before="0" w:after="0"/>
              <w:rPr/>
            </w:pPr>
            <w:r>
              <w:rPr>
                <w:rFonts w:eastAsia="Calibri" w:cs="Calibri"/>
                <w:b/>
                <w:bCs/>
                <w:i w:val="false"/>
                <w:iCs w:val="false"/>
                <w:caps w:val="false"/>
                <w:smallCaps w:val="false"/>
                <w:color w:val="FFFFFF"/>
                <w:sz w:val="19"/>
                <w:szCs w:val="19"/>
              </w:rPr>
              <w:t>CONTEXT &amp; BUSINESS PROBLEM</w:t>
            </w:r>
          </w:p>
        </w:tc>
      </w:tr>
    </w:tbl>
    <w:p>
      <w:pPr>
        <w:pStyle w:val="Normal"/>
        <w:spacing w:lineRule="auto" w:line="276" w:before="0" w:after="50"/>
        <w:jc w:val="both"/>
        <w:rPr/>
      </w:pPr>
      <w:r>
        <w:rPr/>
      </w:r>
    </w:p>
    <w:p>
      <w:pPr>
        <w:pStyle w:val="Normal"/>
        <w:spacing w:lineRule="auto" w:line="276" w:before="0" w:after="100"/>
        <w:jc w:val="both"/>
        <w:rPr/>
      </w:pPr>
      <w:r>
        <w:rPr>
          <w:rFonts w:eastAsia="Calibri" w:cs="Calibri"/>
          <w:b w:val="false"/>
          <w:bCs w:val="false"/>
          <w:i w:val="false"/>
          <w:iCs w:val="false"/>
          <w:caps w:val="false"/>
          <w:smallCaps w:val="false"/>
          <w:color w:val="1C1C1C"/>
          <w:sz w:val="21"/>
          <w:szCs w:val="21"/>
        </w:rPr>
        <w:t>Every late delivery at APL Logistics carries a compounding cost: penalties from SLA breaches, last-minute rerouting expenses, and the quiet but lasting damage to customer relationships. For an operation that processes hundreds of thousands of orders across global markets, even a modest improvement in identifying delay-prone shipments before they leave the dock can translate into millions of dollars in avoided costs.</w:t>
      </w:r>
    </w:p>
    <w:p>
      <w:pPr>
        <w:pStyle w:val="Normal"/>
        <w:spacing w:lineRule="auto" w:line="276" w:before="0" w:after="100"/>
        <w:jc w:val="both"/>
        <w:rPr/>
      </w:pPr>
      <w:r>
        <w:rPr>
          <w:rFonts w:eastAsia="Calibri" w:cs="Calibri"/>
          <w:b w:val="false"/>
          <w:bCs w:val="false"/>
          <w:i w:val="false"/>
          <w:iCs w:val="false"/>
          <w:caps w:val="false"/>
          <w:smallCaps w:val="false"/>
          <w:color w:val="1C1C1C"/>
          <w:sz w:val="21"/>
          <w:szCs w:val="21"/>
        </w:rPr>
        <w:t xml:space="preserve">The fundamental challenge has never been a lack of data. APL Logistics holds rich historical records </w:t>
      </w:r>
      <w:r>
        <w:rPr>
          <w:rFonts w:eastAsia="Calibri" w:cs="Calibri"/>
          <w:b w:val="false"/>
          <w:bCs w:val="false"/>
          <w:i w:val="false"/>
          <w:iCs w:val="false"/>
          <w:caps w:val="false"/>
          <w:smallCaps w:val="false"/>
          <w:color w:val="1C1C1C"/>
          <w:sz w:val="21"/>
          <w:szCs w:val="21"/>
        </w:rPr>
        <w:t xml:space="preserve">such as </w:t>
      </w:r>
      <w:r>
        <w:rPr>
          <w:rFonts w:eastAsia="Calibri" w:cs="Calibri"/>
          <w:b w:val="false"/>
          <w:bCs w:val="false"/>
          <w:i w:val="false"/>
          <w:iCs w:val="false"/>
          <w:caps w:val="false"/>
          <w:smallCaps w:val="false"/>
          <w:color w:val="1C1C1C"/>
          <w:sz w:val="21"/>
          <w:szCs w:val="21"/>
        </w:rPr>
        <w:t>order volumes, shipping schedules, routes, customer segments, and regional performance but that data has been used primarily to explain delays after they happen. What has been missing is a forward-looking system: one that looks at an order before dispatch and says, with a quantified level of confidence, whether it is likely to arrive on time.</w:t>
      </w:r>
    </w:p>
    <w:p>
      <w:pPr>
        <w:pStyle w:val="Normal"/>
        <w:spacing w:lineRule="auto" w:line="276" w:before="0" w:after="80"/>
        <w:jc w:val="both"/>
        <w:rPr/>
      </w:pPr>
      <w:r>
        <w:rPr>
          <w:rFonts w:eastAsia="Calibri" w:cs="Calibri"/>
          <w:b w:val="false"/>
          <w:bCs w:val="false"/>
          <w:i w:val="false"/>
          <w:iCs w:val="false"/>
          <w:caps w:val="false"/>
          <w:smallCaps w:val="false"/>
          <w:color w:val="1C1C1C"/>
          <w:sz w:val="21"/>
          <w:szCs w:val="21"/>
        </w:rPr>
        <w:t xml:space="preserve">This project was built to close exactly that gap. The question it answers is specific: </w:t>
      </w:r>
      <w:r>
        <w:rPr>
          <w:rFonts w:eastAsia="Calibri" w:cs="Calibri"/>
          <w:b/>
          <w:bCs/>
          <w:i w:val="false"/>
          <w:iCs w:val="false"/>
          <w:caps w:val="false"/>
          <w:smallCaps w:val="false"/>
          <w:color w:val="1A3A5C"/>
          <w:sz w:val="21"/>
          <w:szCs w:val="21"/>
        </w:rPr>
        <w:t>Which orders are at risk of late delivery before they ship, and what is driving that risk?</w:t>
      </w:r>
    </w:p>
    <w:p>
      <w:pPr>
        <w:pStyle w:val="Normal"/>
        <w:spacing w:lineRule="auto" w:line="276" w:before="0" w:after="60"/>
        <w:jc w:val="both"/>
        <w:rPr/>
      </w:pPr>
      <w:r>
        <w:rPr/>
      </w:r>
    </w:p>
    <w:tbl>
      <w:tblPr>
        <w:tblW w:w="9720" w:type="dxa"/>
        <w:jc w:val="start"/>
        <w:tblInd w:w="0" w:type="dxa"/>
        <w:tblLayout w:type="fixed"/>
        <w:tblCellMar>
          <w:top w:w="100" w:type="dxa"/>
          <w:start w:w="180" w:type="dxa"/>
          <w:bottom w:w="100" w:type="dxa"/>
          <w:end w:w="180" w:type="dxa"/>
        </w:tblCellMar>
      </w:tblPr>
      <w:tblGrid>
        <w:gridCol w:w="9720"/>
      </w:tblGrid>
      <w:tr>
        <w:trPr/>
        <w:tc>
          <w:tcPr>
            <w:tcW w:w="9720" w:type="dxa"/>
            <w:tcBorders/>
            <w:shd w:fill="1A3A5C" w:val="clear"/>
          </w:tcPr>
          <w:p>
            <w:pPr>
              <w:pStyle w:val="Normal"/>
              <w:spacing w:lineRule="auto" w:line="276" w:before="0" w:after="0"/>
              <w:rPr/>
            </w:pPr>
            <w:r>
              <w:rPr>
                <w:rFonts w:eastAsia="Calibri" w:cs="Calibri"/>
                <w:b/>
                <w:bCs/>
                <w:i w:val="false"/>
                <w:iCs w:val="false"/>
                <w:caps w:val="false"/>
                <w:smallCaps w:val="false"/>
                <w:color w:val="FFFFFF"/>
                <w:sz w:val="19"/>
                <w:szCs w:val="19"/>
              </w:rPr>
              <w:t>APPROACH (WHAT WAS DONE)</w:t>
            </w:r>
          </w:p>
        </w:tc>
      </w:tr>
    </w:tbl>
    <w:p>
      <w:pPr>
        <w:pStyle w:val="Normal"/>
        <w:spacing w:lineRule="auto" w:line="276" w:before="0" w:after="50"/>
        <w:jc w:val="both"/>
        <w:rPr/>
      </w:pPr>
      <w:r>
        <w:rPr/>
      </w:r>
    </w:p>
    <w:p>
      <w:pPr>
        <w:pStyle w:val="Normal"/>
        <w:spacing w:lineRule="auto" w:line="276" w:before="0" w:after="100"/>
        <w:jc w:val="both"/>
        <w:rPr/>
      </w:pPr>
      <w:r>
        <w:rPr>
          <w:rFonts w:eastAsia="Calibri" w:cs="Calibri"/>
          <w:b w:val="false"/>
          <w:bCs w:val="false"/>
          <w:i w:val="false"/>
          <w:iCs w:val="false"/>
          <w:caps w:val="false"/>
          <w:smallCaps w:val="false"/>
          <w:color w:val="1C1C1C"/>
          <w:sz w:val="21"/>
          <w:szCs w:val="21"/>
        </w:rPr>
        <w:t>We have</w:t>
      </w:r>
      <w:r>
        <w:rPr>
          <w:rFonts w:eastAsia="Calibri" w:cs="Calibri"/>
          <w:b w:val="false"/>
          <w:bCs w:val="false"/>
          <w:i w:val="false"/>
          <w:iCs w:val="false"/>
          <w:caps w:val="false"/>
          <w:smallCaps w:val="false"/>
          <w:color w:val="1C1C1C"/>
          <w:sz w:val="21"/>
          <w:szCs w:val="21"/>
        </w:rPr>
        <w:t xml:space="preserve"> analysed 180,519 historical shipment records from APL Logistics' global operations. Each order was assessed against 40 data attributes, covering the scheduled shipping timeline, order size, shipping mode, geographic destination, and financial characteristics to build a predictive risk model.</w:t>
      </w:r>
    </w:p>
    <w:p>
      <w:pPr>
        <w:pStyle w:val="Normal"/>
        <w:spacing w:lineRule="auto" w:line="276" w:before="0" w:after="100"/>
        <w:jc w:val="both"/>
        <w:rPr/>
      </w:pPr>
      <w:r>
        <w:rPr>
          <w:rFonts w:eastAsia="Calibri" w:cs="Calibri"/>
          <w:b w:val="false"/>
          <w:bCs w:val="false"/>
          <w:i w:val="false"/>
          <w:iCs w:val="false"/>
          <w:caps w:val="false"/>
          <w:smallCaps w:val="false"/>
          <w:color w:val="1C1C1C"/>
          <w:sz w:val="21"/>
          <w:szCs w:val="21"/>
        </w:rPr>
        <w:t>The system scores every order on a scale from 0 to 1, where higher values reflect a greater probability of late delivery. Those scores are then bucketed into three operational tiers: Low Risk (below 30%), Medium Risk (30–60%), and High Risk (above 60%). A live operations dashboard surfaces these scores in real time, enabling teams to sort their daily queue by risk priority before a single shipment is dispatched.</w:t>
      </w:r>
    </w:p>
    <w:p>
      <w:pPr>
        <w:pStyle w:val="Normal"/>
        <w:spacing w:lineRule="auto" w:line="276" w:before="0" w:after="80"/>
        <w:jc w:val="both"/>
        <w:rPr/>
      </w:pPr>
      <w:r>
        <w:rPr>
          <w:rFonts w:eastAsia="Calibri" w:cs="Calibri"/>
          <w:b w:val="false"/>
          <w:bCs w:val="false"/>
          <w:i w:val="false"/>
          <w:iCs w:val="false"/>
          <w:caps w:val="false"/>
          <w:smallCaps w:val="false"/>
          <w:color w:val="1C1C1C"/>
          <w:sz w:val="21"/>
          <w:szCs w:val="21"/>
        </w:rPr>
        <w:t>Critically, the model was validated against genuinely future data the most recent 20% of orders so the performance figures reflect how the system would actually behave in practice, not how it performs on data it has already seen.</w:t>
      </w:r>
    </w:p>
    <w:p>
      <w:pPr>
        <w:pStyle w:val="Normal"/>
        <w:spacing w:lineRule="auto" w:line="276" w:before="0" w:after="60"/>
        <w:jc w:val="both"/>
        <w:rPr/>
      </w:pPr>
      <w:r>
        <w:rPr/>
      </w:r>
    </w:p>
    <w:tbl>
      <w:tblPr>
        <w:tblW w:w="9720" w:type="dxa"/>
        <w:jc w:val="start"/>
        <w:tblInd w:w="0" w:type="dxa"/>
        <w:tblLayout w:type="fixed"/>
        <w:tblCellMar>
          <w:top w:w="100" w:type="dxa"/>
          <w:start w:w="180" w:type="dxa"/>
          <w:bottom w:w="100" w:type="dxa"/>
          <w:end w:w="180" w:type="dxa"/>
        </w:tblCellMar>
      </w:tblPr>
      <w:tblGrid>
        <w:gridCol w:w="9720"/>
      </w:tblGrid>
      <w:tr>
        <w:trPr/>
        <w:tc>
          <w:tcPr>
            <w:tcW w:w="9720" w:type="dxa"/>
            <w:tcBorders/>
            <w:shd w:fill="1A3A5C" w:val="clear"/>
          </w:tcPr>
          <w:p>
            <w:pPr>
              <w:pStyle w:val="Normal"/>
              <w:spacing w:lineRule="auto" w:line="276" w:before="0" w:after="0"/>
              <w:rPr/>
            </w:pPr>
            <w:r>
              <w:rPr>
                <w:rFonts w:eastAsia="Calibri" w:cs="Calibri"/>
                <w:b/>
                <w:bCs/>
                <w:i w:val="false"/>
                <w:iCs w:val="false"/>
                <w:caps w:val="false"/>
                <w:smallCaps w:val="false"/>
                <w:color w:val="FFFFFF"/>
                <w:sz w:val="19"/>
                <w:szCs w:val="19"/>
              </w:rPr>
              <w:t>KEY INSIGHTS &amp; RISK DRIVERS</w:t>
            </w:r>
          </w:p>
        </w:tc>
      </w:tr>
    </w:tbl>
    <w:p>
      <w:pPr>
        <w:pStyle w:val="Normal"/>
        <w:spacing w:lineRule="auto" w:line="276" w:before="0" w:after="50"/>
        <w:jc w:val="both"/>
        <w:rPr/>
      </w:pPr>
      <w:r>
        <w:rPr/>
      </w:r>
    </w:p>
    <w:p>
      <w:pPr>
        <w:pStyle w:val="Normal"/>
        <w:spacing w:lineRule="auto" w:line="276" w:before="0" w:after="80"/>
        <w:jc w:val="both"/>
        <w:rPr/>
      </w:pPr>
      <w:r>
        <w:rPr>
          <w:rFonts w:eastAsia="Calibri" w:cs="Calibri"/>
          <w:b w:val="false"/>
          <w:bCs w:val="false"/>
          <w:i w:val="false"/>
          <w:iCs w:val="false"/>
          <w:caps w:val="false"/>
          <w:smallCaps w:val="false"/>
          <w:color w:val="1C1C1C"/>
          <w:sz w:val="21"/>
          <w:szCs w:val="21"/>
        </w:rPr>
        <w:t>Across the full 180,519-order dataset, the model's scoring reveals a fleet risk profile that demands attention:</w:t>
      </w:r>
    </w:p>
    <w:p>
      <w:pPr>
        <w:pStyle w:val="Normal"/>
        <w:spacing w:lineRule="auto" w:line="276" w:before="0" w:after="30"/>
        <w:jc w:val="both"/>
        <w:rPr/>
      </w:pPr>
      <w:r>
        <w:rPr/>
      </w:r>
    </w:p>
    <w:tbl>
      <w:tblPr>
        <w:tblW w:w="9720" w:type="dxa"/>
        <w:jc w:val="start"/>
        <w:tblInd w:w="0" w:type="dxa"/>
        <w:tblLayout w:type="fixed"/>
        <w:tblCellMar>
          <w:top w:w="120" w:type="dxa"/>
          <w:start w:w="160" w:type="dxa"/>
          <w:bottom w:w="120" w:type="dxa"/>
          <w:end w:w="160" w:type="dxa"/>
        </w:tblCellMar>
      </w:tblPr>
      <w:tblGrid>
        <w:gridCol w:w="3240"/>
        <w:gridCol w:w="3240"/>
        <w:gridCol w:w="3240"/>
      </w:tblGrid>
      <w:tr>
        <w:trPr/>
        <w:tc>
          <w:tcPr>
            <w:tcW w:w="3240" w:type="dxa"/>
            <w:tcBorders>
              <w:top w:val="single" w:sz="12" w:space="0" w:color="2B80C0"/>
              <w:start w:val="single" w:sz="4" w:space="0" w:color="D6E4F0"/>
              <w:bottom w:val="single" w:sz="4" w:space="0" w:color="D6E4F0"/>
              <w:end w:val="single" w:sz="4" w:space="0" w:color="D6E4F0"/>
            </w:tcBorders>
            <w:shd w:fill="F4F8FB" w:val="clear"/>
          </w:tcPr>
          <w:p>
            <w:pPr>
              <w:pStyle w:val="Normal"/>
              <w:spacing w:lineRule="auto" w:line="276" w:before="0" w:after="30"/>
              <w:rPr/>
            </w:pPr>
            <w:r>
              <w:rPr>
                <w:rFonts w:eastAsia="Calibri" w:cs="Calibri"/>
                <w:b/>
                <w:bCs/>
                <w:i w:val="false"/>
                <w:iCs w:val="false"/>
                <w:caps w:val="false"/>
                <w:smallCaps w:val="false"/>
                <w:color w:val="1A3A5C"/>
                <w:sz w:val="36"/>
                <w:szCs w:val="36"/>
              </w:rPr>
              <w:t>35.2%</w:t>
            </w:r>
          </w:p>
          <w:p>
            <w:pPr>
              <w:pStyle w:val="Normal"/>
              <w:spacing w:lineRule="auto" w:line="276" w:before="0" w:after="20"/>
              <w:rPr/>
            </w:pPr>
            <w:r>
              <w:rPr>
                <w:rFonts w:eastAsia="Calibri" w:cs="Calibri"/>
                <w:b/>
                <w:bCs/>
                <w:i w:val="false"/>
                <w:iCs w:val="false"/>
                <w:caps w:val="false"/>
                <w:smallCaps w:val="false"/>
                <w:color w:val="1F5F8B"/>
                <w:sz w:val="17"/>
                <w:szCs w:val="17"/>
              </w:rPr>
              <w:t>High-Risk Orders</w:t>
            </w:r>
          </w:p>
          <w:p>
            <w:pPr>
              <w:pStyle w:val="Normal"/>
              <w:spacing w:lineRule="auto" w:line="276" w:before="0" w:after="0"/>
              <w:rPr/>
            </w:pPr>
            <w:r>
              <w:rPr>
                <w:rFonts w:eastAsia="Calibri" w:cs="Calibri"/>
                <w:b w:val="false"/>
                <w:bCs w:val="false"/>
                <w:i/>
                <w:iCs/>
                <w:caps w:val="false"/>
                <w:smallCaps w:val="false"/>
                <w:color w:val="707070"/>
                <w:sz w:val="16"/>
                <w:szCs w:val="16"/>
              </w:rPr>
              <w:t>63,536 orders need action</w:t>
            </w:r>
          </w:p>
        </w:tc>
        <w:tc>
          <w:tcPr>
            <w:tcW w:w="3240" w:type="dxa"/>
            <w:tcBorders>
              <w:top w:val="single" w:sz="12" w:space="0" w:color="2B80C0"/>
              <w:start w:val="single" w:sz="4" w:space="0" w:color="D6E4F0"/>
              <w:bottom w:val="single" w:sz="4" w:space="0" w:color="D6E4F0"/>
              <w:end w:val="single" w:sz="4" w:space="0" w:color="D6E4F0"/>
            </w:tcBorders>
            <w:shd w:fill="F4F8FB" w:val="clear"/>
          </w:tcPr>
          <w:p>
            <w:pPr>
              <w:pStyle w:val="Normal"/>
              <w:spacing w:lineRule="auto" w:line="276" w:before="0" w:after="30"/>
              <w:rPr/>
            </w:pPr>
            <w:r>
              <w:rPr>
                <w:rFonts w:eastAsia="Calibri" w:cs="Calibri"/>
                <w:b/>
                <w:bCs/>
                <w:i w:val="false"/>
                <w:iCs w:val="false"/>
                <w:caps w:val="false"/>
                <w:smallCaps w:val="false"/>
                <w:color w:val="1A3A5C"/>
                <w:sz w:val="36"/>
                <w:szCs w:val="36"/>
              </w:rPr>
              <w:t>54.9%</w:t>
            </w:r>
          </w:p>
          <w:p>
            <w:pPr>
              <w:pStyle w:val="Normal"/>
              <w:spacing w:lineRule="auto" w:line="276" w:before="0" w:after="20"/>
              <w:rPr/>
            </w:pPr>
            <w:r>
              <w:rPr>
                <w:rFonts w:eastAsia="Calibri" w:cs="Calibri"/>
                <w:b/>
                <w:bCs/>
                <w:i w:val="false"/>
                <w:iCs w:val="false"/>
                <w:caps w:val="false"/>
                <w:smallCaps w:val="false"/>
                <w:color w:val="1F5F8B"/>
                <w:sz w:val="17"/>
                <w:szCs w:val="17"/>
              </w:rPr>
              <w:t>Medium-Risk Orders</w:t>
            </w:r>
          </w:p>
          <w:p>
            <w:pPr>
              <w:pStyle w:val="Normal"/>
              <w:spacing w:lineRule="auto" w:line="276" w:before="0" w:after="0"/>
              <w:rPr/>
            </w:pPr>
            <w:r>
              <w:rPr>
                <w:rFonts w:eastAsia="Calibri" w:cs="Calibri"/>
                <w:b w:val="false"/>
                <w:bCs w:val="false"/>
                <w:i/>
                <w:iCs/>
                <w:caps w:val="false"/>
                <w:smallCaps w:val="false"/>
                <w:color w:val="707070"/>
                <w:sz w:val="16"/>
                <w:szCs w:val="16"/>
              </w:rPr>
              <w:t>99,083 orders need monitoring</w:t>
            </w:r>
          </w:p>
        </w:tc>
        <w:tc>
          <w:tcPr>
            <w:tcW w:w="3240" w:type="dxa"/>
            <w:tcBorders>
              <w:top w:val="single" w:sz="12" w:space="0" w:color="2B80C0"/>
              <w:start w:val="single" w:sz="4" w:space="0" w:color="D6E4F0"/>
              <w:bottom w:val="single" w:sz="4" w:space="0" w:color="D6E4F0"/>
              <w:end w:val="single" w:sz="4" w:space="0" w:color="D6E4F0"/>
            </w:tcBorders>
            <w:shd w:fill="F4F8FB" w:val="clear"/>
          </w:tcPr>
          <w:p>
            <w:pPr>
              <w:pStyle w:val="Normal"/>
              <w:spacing w:lineRule="auto" w:line="276" w:before="0" w:after="30"/>
              <w:rPr/>
            </w:pPr>
            <w:r>
              <w:rPr>
                <w:rFonts w:eastAsia="Calibri" w:cs="Calibri"/>
                <w:b/>
                <w:bCs/>
                <w:i w:val="false"/>
                <w:iCs w:val="false"/>
                <w:caps w:val="false"/>
                <w:smallCaps w:val="false"/>
                <w:color w:val="1A3A5C"/>
                <w:sz w:val="36"/>
                <w:szCs w:val="36"/>
              </w:rPr>
              <w:t>52.6%</w:t>
            </w:r>
          </w:p>
          <w:p>
            <w:pPr>
              <w:pStyle w:val="Normal"/>
              <w:spacing w:lineRule="auto" w:line="276" w:before="0" w:after="20"/>
              <w:rPr/>
            </w:pPr>
            <w:r>
              <w:rPr>
                <w:rFonts w:eastAsia="Calibri" w:cs="Calibri"/>
                <w:b/>
                <w:bCs/>
                <w:i w:val="false"/>
                <w:iCs w:val="false"/>
                <w:caps w:val="false"/>
                <w:smallCaps w:val="false"/>
                <w:color w:val="1F5F8B"/>
                <w:sz w:val="17"/>
                <w:szCs w:val="17"/>
              </w:rPr>
              <w:t>Avg Risk Probability</w:t>
            </w:r>
          </w:p>
          <w:p>
            <w:pPr>
              <w:pStyle w:val="Normal"/>
              <w:spacing w:lineRule="auto" w:line="276" w:before="0" w:after="0"/>
              <w:rPr/>
            </w:pPr>
            <w:r>
              <w:rPr>
                <w:rFonts w:eastAsia="Calibri" w:cs="Calibri"/>
                <w:b w:val="false"/>
                <w:bCs w:val="false"/>
                <w:i/>
                <w:iCs/>
                <w:caps w:val="false"/>
                <w:smallCaps w:val="false"/>
                <w:color w:val="707070"/>
                <w:sz w:val="16"/>
                <w:szCs w:val="16"/>
              </w:rPr>
              <w:t>Across all scored orders</w:t>
            </w:r>
          </w:p>
        </w:tc>
      </w:tr>
    </w:tbl>
    <w:p>
      <w:pPr>
        <w:pStyle w:val="Normal"/>
        <w:spacing w:lineRule="auto" w:line="276" w:before="0" w:after="80"/>
        <w:jc w:val="both"/>
        <w:rPr/>
      </w:pPr>
      <w:r>
        <w:rPr/>
      </w:r>
    </w:p>
    <w:p>
      <w:pPr>
        <w:pStyle w:val="Normal"/>
        <w:spacing w:lineRule="auto" w:line="276" w:before="0" w:after="80"/>
        <w:jc w:val="both"/>
        <w:rPr/>
      </w:pPr>
      <w:r>
        <w:rPr>
          <w:rFonts w:eastAsia="Calibri" w:cs="Calibri"/>
          <w:b w:val="false"/>
          <w:bCs w:val="false"/>
          <w:i w:val="false"/>
          <w:iCs w:val="false"/>
          <w:caps w:val="false"/>
          <w:smallCaps w:val="false"/>
          <w:color w:val="1C1C1C"/>
          <w:sz w:val="21"/>
          <w:szCs w:val="21"/>
        </w:rPr>
        <w:t xml:space="preserve">The model captures </w:t>
      </w:r>
      <w:r>
        <w:rPr>
          <w:rFonts w:eastAsia="Calibri" w:cs="Calibri"/>
          <w:b w:val="false"/>
          <w:bCs w:val="false"/>
          <w:i w:val="false"/>
          <w:iCs w:val="false"/>
          <w:caps w:val="false"/>
          <w:smallCaps w:val="false"/>
          <w:color w:val="1C1C1C"/>
          <w:sz w:val="21"/>
          <w:szCs w:val="21"/>
        </w:rPr>
        <w:t>54.8</w:t>
      </w:r>
      <w:r>
        <w:rPr>
          <w:rFonts w:eastAsia="Calibri" w:cs="Calibri"/>
          <w:b w:val="false"/>
          <w:bCs w:val="false"/>
          <w:i w:val="false"/>
          <w:iCs w:val="false"/>
          <w:caps w:val="false"/>
          <w:smallCaps w:val="false"/>
          <w:color w:val="1C1C1C"/>
          <w:sz w:val="21"/>
          <w:szCs w:val="21"/>
        </w:rPr>
        <w:t xml:space="preserve">% of all orders that will actually be delayed — meaning more than </w:t>
      </w:r>
      <w:r>
        <w:rPr>
          <w:rFonts w:eastAsia="Calibri" w:cs="Calibri"/>
          <w:b w:val="false"/>
          <w:bCs w:val="false"/>
          <w:i w:val="false"/>
          <w:iCs w:val="false"/>
          <w:caps w:val="false"/>
          <w:smallCaps w:val="false"/>
          <w:color w:val="1C1C1C"/>
          <w:sz w:val="21"/>
          <w:szCs w:val="21"/>
        </w:rPr>
        <w:t xml:space="preserve">half </w:t>
      </w:r>
      <w:r>
        <w:rPr>
          <w:rFonts w:eastAsia="Calibri" w:cs="Calibri"/>
          <w:b w:val="false"/>
          <w:bCs w:val="false"/>
          <w:i w:val="false"/>
          <w:iCs w:val="false"/>
          <w:caps w:val="false"/>
          <w:smallCaps w:val="false"/>
          <w:color w:val="1C1C1C"/>
          <w:sz w:val="21"/>
          <w:szCs w:val="21"/>
        </w:rPr>
        <w:t>late deliveries are flagged before dispatch. The analysis also identifies, consistently and clearly, the factors that drive delay risk:</w:t>
      </w:r>
    </w:p>
    <w:p>
      <w:pPr>
        <w:pStyle w:val="Normal"/>
        <w:spacing w:lineRule="auto" w:line="276" w:before="0" w:after="20"/>
        <w:jc w:val="both"/>
        <w:rPr/>
      </w:pPr>
      <w:r>
        <w:rPr/>
      </w:r>
    </w:p>
    <w:tbl>
      <w:tblPr>
        <w:tblW w:w="9720" w:type="dxa"/>
        <w:jc w:val="start"/>
        <w:tblInd w:w="0" w:type="dxa"/>
        <w:tblLayout w:type="fixed"/>
        <w:tblCellMar>
          <w:top w:w="80" w:type="dxa"/>
          <w:start w:w="160" w:type="dxa"/>
          <w:bottom w:w="80" w:type="dxa"/>
          <w:end w:w="160" w:type="dxa"/>
        </w:tblCellMar>
      </w:tblPr>
      <w:tblGrid>
        <w:gridCol w:w="2800"/>
        <w:gridCol w:w="6920"/>
      </w:tblGrid>
      <w:tr>
        <w:trPr/>
        <w:tc>
          <w:tcPr>
            <w:tcW w:w="2800" w:type="dxa"/>
            <w:tcBorders/>
            <w:shd w:fill="1F5F8B" w:val="clear"/>
          </w:tcPr>
          <w:p>
            <w:pPr>
              <w:pStyle w:val="Normal"/>
              <w:spacing w:lineRule="auto" w:line="276" w:before="0" w:after="100"/>
              <w:jc w:val="both"/>
              <w:rPr/>
            </w:pPr>
            <w:r>
              <w:rPr>
                <w:rFonts w:eastAsia="Calibri" w:cs="Calibri"/>
                <w:b/>
                <w:bCs/>
                <w:i w:val="false"/>
                <w:iCs w:val="false"/>
                <w:caps w:val="false"/>
                <w:smallCaps w:val="false"/>
                <w:color w:val="FFFFFF"/>
                <w:sz w:val="19"/>
                <w:szCs w:val="19"/>
              </w:rPr>
              <w:t>Risk Driver</w:t>
            </w:r>
          </w:p>
        </w:tc>
        <w:tc>
          <w:tcPr>
            <w:tcW w:w="6920" w:type="dxa"/>
            <w:tcBorders/>
            <w:shd w:fill="1F5F8B" w:val="clear"/>
          </w:tcPr>
          <w:p>
            <w:pPr>
              <w:pStyle w:val="Normal"/>
              <w:spacing w:lineRule="auto" w:line="276" w:before="0" w:after="100"/>
              <w:jc w:val="both"/>
              <w:rPr/>
            </w:pPr>
            <w:r>
              <w:rPr>
                <w:rFonts w:eastAsia="Calibri" w:cs="Calibri"/>
                <w:b/>
                <w:bCs/>
                <w:i w:val="false"/>
                <w:iCs w:val="false"/>
                <w:caps w:val="false"/>
                <w:smallCaps w:val="false"/>
                <w:color w:val="FFFFFF"/>
                <w:sz w:val="19"/>
                <w:szCs w:val="19"/>
              </w:rPr>
              <w:t>What It Means for Operations</w:t>
            </w:r>
          </w:p>
        </w:tc>
      </w:tr>
      <w:tr>
        <w:trPr/>
        <w:tc>
          <w:tcPr>
            <w:tcW w:w="2800" w:type="dxa"/>
            <w:tcBorders>
              <w:top w:val="single" w:sz="4" w:space="0" w:color="C8DCF0"/>
              <w:start w:val="single" w:sz="4" w:space="0" w:color="D6E4F0"/>
              <w:bottom w:val="single" w:sz="4" w:space="0" w:color="C8DCF0"/>
              <w:end w:val="single" w:sz="4" w:space="0" w:color="D6E4F0"/>
            </w:tcBorders>
            <w:shd w:fill="E8F2FB" w:val="clear"/>
            <w:tcMar>
              <w:top w:w="90" w:type="dxa"/>
              <w:bottom w:w="90" w:type="dxa"/>
            </w:tcMar>
          </w:tcPr>
          <w:p>
            <w:pPr>
              <w:pStyle w:val="Normal"/>
              <w:spacing w:lineRule="auto" w:line="276" w:before="0" w:after="100"/>
              <w:jc w:val="both"/>
              <w:rPr/>
            </w:pPr>
            <w:r>
              <w:rPr>
                <w:rFonts w:eastAsia="Calibri" w:cs="Calibri"/>
                <w:b/>
                <w:bCs/>
                <w:i w:val="false"/>
                <w:iCs w:val="false"/>
                <w:caps w:val="false"/>
                <w:smallCaps w:val="false"/>
                <w:color w:val="1A3A5C"/>
                <w:sz w:val="20"/>
                <w:szCs w:val="20"/>
              </w:rPr>
              <w:t>Tight Shipping Schedules</w:t>
            </w:r>
          </w:p>
        </w:tc>
        <w:tc>
          <w:tcPr>
            <w:tcW w:w="6920" w:type="dxa"/>
            <w:tcBorders>
              <w:top w:val="single" w:sz="4" w:space="0" w:color="C8DCF0"/>
              <w:start w:val="single" w:sz="4" w:space="0" w:color="D6E4F0"/>
              <w:bottom w:val="single" w:sz="4" w:space="0" w:color="C8DCF0"/>
              <w:end w:val="single" w:sz="4" w:space="0" w:color="D6E4F0"/>
            </w:tcBorders>
            <w:shd w:fill="F4F8FB" w:val="clear"/>
            <w:tcMar>
              <w:top w:w="90" w:type="dxa"/>
              <w:bottom w:w="90" w:type="dxa"/>
            </w:tcMar>
          </w:tcPr>
          <w:p>
            <w:pPr>
              <w:pStyle w:val="Normal"/>
              <w:spacing w:lineRule="auto" w:line="276" w:before="0" w:after="100"/>
              <w:jc w:val="both"/>
              <w:rPr/>
            </w:pPr>
            <w:r>
              <w:rPr>
                <w:rFonts w:eastAsia="Calibri" w:cs="Calibri"/>
                <w:b w:val="false"/>
                <w:bCs w:val="false"/>
                <w:i w:val="false"/>
                <w:iCs w:val="false"/>
                <w:caps w:val="false"/>
                <w:smallCaps w:val="false"/>
                <w:color w:val="1C1C1C"/>
                <w:sz w:val="19"/>
                <w:szCs w:val="19"/>
              </w:rPr>
              <w:t>Orders where the scheduled delivery window leaves little or no buffer are the single strongest predictor of delay. The combination of large order quantity with a compressed timeline compounds this risk significantly.</w:t>
            </w:r>
          </w:p>
        </w:tc>
      </w:tr>
      <w:tr>
        <w:trPr/>
        <w:tc>
          <w:tcPr>
            <w:tcW w:w="2800" w:type="dxa"/>
            <w:tcBorders>
              <w:top w:val="single" w:sz="4" w:space="0" w:color="C8DCF0"/>
              <w:start w:val="single" w:sz="4" w:space="0" w:color="D6E4F0"/>
              <w:bottom w:val="single" w:sz="4" w:space="0" w:color="C8DCF0"/>
              <w:end w:val="single" w:sz="4" w:space="0" w:color="D6E4F0"/>
            </w:tcBorders>
            <w:tcMar>
              <w:top w:w="90" w:type="dxa"/>
              <w:bottom w:w="90" w:type="dxa"/>
            </w:tcMar>
          </w:tcPr>
          <w:p>
            <w:pPr>
              <w:pStyle w:val="Normal"/>
              <w:spacing w:lineRule="auto" w:line="276" w:before="0" w:after="100"/>
              <w:jc w:val="both"/>
              <w:rPr/>
            </w:pPr>
            <w:r>
              <w:rPr>
                <w:rFonts w:eastAsia="Calibri" w:cs="Calibri"/>
                <w:b/>
                <w:bCs/>
                <w:i w:val="false"/>
                <w:iCs w:val="false"/>
                <w:caps w:val="false"/>
                <w:smallCaps w:val="false"/>
                <w:color w:val="1A3A5C"/>
                <w:sz w:val="20"/>
                <w:szCs w:val="20"/>
              </w:rPr>
              <w:t>Standard Class Shipping</w:t>
            </w:r>
          </w:p>
        </w:tc>
        <w:tc>
          <w:tcPr>
            <w:tcW w:w="6920" w:type="dxa"/>
            <w:tcBorders>
              <w:top w:val="single" w:sz="4" w:space="0" w:color="C8DCF0"/>
              <w:start w:val="single" w:sz="4" w:space="0" w:color="D6E4F0"/>
              <w:bottom w:val="single" w:sz="4" w:space="0" w:color="C8DCF0"/>
              <w:end w:val="single" w:sz="4" w:space="0" w:color="D6E4F0"/>
            </w:tcBorders>
            <w:tcMar>
              <w:top w:w="90" w:type="dxa"/>
              <w:bottom w:w="90" w:type="dxa"/>
            </w:tcMar>
          </w:tcPr>
          <w:p>
            <w:pPr>
              <w:pStyle w:val="Normal"/>
              <w:spacing w:lineRule="auto" w:line="276" w:before="0" w:after="100"/>
              <w:jc w:val="both"/>
              <w:rPr/>
            </w:pPr>
            <w:r>
              <w:rPr>
                <w:rFonts w:eastAsia="Calibri" w:cs="Calibri"/>
                <w:b w:val="false"/>
                <w:bCs w:val="false"/>
                <w:i w:val="false"/>
                <w:iCs w:val="false"/>
                <w:caps w:val="false"/>
                <w:smallCaps w:val="false"/>
                <w:color w:val="1C1C1C"/>
                <w:sz w:val="19"/>
                <w:szCs w:val="19"/>
              </w:rPr>
              <w:t>Standard Class shipments show materially higher delay rates across virtually all regions. Express and Same Day modes perform substantially better.</w:t>
            </w:r>
          </w:p>
        </w:tc>
      </w:tr>
      <w:tr>
        <w:trPr/>
        <w:tc>
          <w:tcPr>
            <w:tcW w:w="2800" w:type="dxa"/>
            <w:tcBorders>
              <w:top w:val="single" w:sz="4" w:space="0" w:color="C8DCF0"/>
              <w:start w:val="single" w:sz="4" w:space="0" w:color="D6E4F0"/>
              <w:bottom w:val="single" w:sz="4" w:space="0" w:color="C8DCF0"/>
              <w:end w:val="single" w:sz="4" w:space="0" w:color="D6E4F0"/>
            </w:tcBorders>
            <w:shd w:fill="E8F2FB" w:val="clear"/>
            <w:tcMar>
              <w:top w:w="90" w:type="dxa"/>
              <w:bottom w:w="90" w:type="dxa"/>
            </w:tcMar>
          </w:tcPr>
          <w:p>
            <w:pPr>
              <w:pStyle w:val="Normal"/>
              <w:spacing w:lineRule="auto" w:line="276" w:before="0" w:after="100"/>
              <w:jc w:val="both"/>
              <w:rPr/>
            </w:pPr>
            <w:r>
              <w:rPr>
                <w:rFonts w:eastAsia="Calibri" w:cs="Calibri"/>
                <w:b/>
                <w:bCs/>
                <w:i w:val="false"/>
                <w:iCs w:val="false"/>
                <w:caps w:val="false"/>
                <w:smallCaps w:val="false"/>
                <w:color w:val="1A3A5C"/>
                <w:sz w:val="20"/>
                <w:szCs w:val="20"/>
              </w:rPr>
              <w:t>High-Risk Regions &amp; Routes</w:t>
            </w:r>
          </w:p>
        </w:tc>
        <w:tc>
          <w:tcPr>
            <w:tcW w:w="6920" w:type="dxa"/>
            <w:tcBorders>
              <w:top w:val="single" w:sz="4" w:space="0" w:color="C8DCF0"/>
              <w:start w:val="single" w:sz="4" w:space="0" w:color="D6E4F0"/>
              <w:bottom w:val="single" w:sz="4" w:space="0" w:color="C8DCF0"/>
              <w:end w:val="single" w:sz="4" w:space="0" w:color="D6E4F0"/>
            </w:tcBorders>
            <w:shd w:fill="F4F8FB" w:val="clear"/>
            <w:tcMar>
              <w:top w:w="90" w:type="dxa"/>
              <w:bottom w:w="90" w:type="dxa"/>
            </w:tcMar>
          </w:tcPr>
          <w:p>
            <w:pPr>
              <w:pStyle w:val="Normal"/>
              <w:spacing w:lineRule="auto" w:line="276" w:before="0" w:after="100"/>
              <w:jc w:val="both"/>
              <w:rPr/>
            </w:pPr>
            <w:r>
              <w:rPr>
                <w:rFonts w:eastAsia="Calibri" w:cs="Calibri"/>
                <w:b w:val="false"/>
                <w:bCs w:val="false"/>
                <w:i w:val="false"/>
                <w:iCs w:val="false"/>
                <w:caps w:val="false"/>
                <w:smallCaps w:val="false"/>
                <w:color w:val="1C1C1C"/>
                <w:sz w:val="19"/>
                <w:szCs w:val="19"/>
              </w:rPr>
              <w:t>Certain market-mode combinations — particularly Standard Class orders in Latin American and specific African markets — carry a persistently elevated delay rate, independent of other order characteristics.</w:t>
            </w:r>
          </w:p>
        </w:tc>
      </w:tr>
      <w:tr>
        <w:trPr/>
        <w:tc>
          <w:tcPr>
            <w:tcW w:w="2800" w:type="dxa"/>
            <w:tcBorders>
              <w:top w:val="single" w:sz="4" w:space="0" w:color="C8DCF0"/>
              <w:start w:val="single" w:sz="4" w:space="0" w:color="D6E4F0"/>
              <w:bottom w:val="single" w:sz="4" w:space="0" w:color="C8DCF0"/>
              <w:end w:val="single" w:sz="4" w:space="0" w:color="D6E4F0"/>
            </w:tcBorders>
            <w:tcMar>
              <w:top w:w="90" w:type="dxa"/>
              <w:bottom w:w="90" w:type="dxa"/>
            </w:tcMar>
          </w:tcPr>
          <w:p>
            <w:pPr>
              <w:pStyle w:val="Normal"/>
              <w:spacing w:lineRule="auto" w:line="276" w:before="0" w:after="100"/>
              <w:jc w:val="both"/>
              <w:rPr/>
            </w:pPr>
            <w:r>
              <w:rPr>
                <w:rFonts w:eastAsia="Calibri" w:cs="Calibri"/>
                <w:b/>
                <w:bCs/>
                <w:i w:val="false"/>
                <w:iCs w:val="false"/>
                <w:caps w:val="false"/>
                <w:smallCaps w:val="false"/>
                <w:color w:val="1A3A5C"/>
                <w:sz w:val="20"/>
                <w:szCs w:val="20"/>
              </w:rPr>
              <w:t>Order Size Under Pressure</w:t>
            </w:r>
          </w:p>
        </w:tc>
        <w:tc>
          <w:tcPr>
            <w:tcW w:w="6920" w:type="dxa"/>
            <w:tcBorders>
              <w:top w:val="single" w:sz="4" w:space="0" w:color="C8DCF0"/>
              <w:start w:val="single" w:sz="4" w:space="0" w:color="D6E4F0"/>
              <w:bottom w:val="single" w:sz="4" w:space="0" w:color="C8DCF0"/>
              <w:end w:val="single" w:sz="4" w:space="0" w:color="D6E4F0"/>
            </w:tcBorders>
            <w:tcMar>
              <w:top w:w="90" w:type="dxa"/>
              <w:bottom w:w="90" w:type="dxa"/>
            </w:tcMar>
          </w:tcPr>
          <w:p>
            <w:pPr>
              <w:pStyle w:val="Normal"/>
              <w:spacing w:lineRule="auto" w:line="276" w:before="0" w:after="100"/>
              <w:jc w:val="both"/>
              <w:rPr/>
            </w:pPr>
            <w:r>
              <w:rPr>
                <w:rFonts w:eastAsia="Calibri" w:cs="Calibri"/>
                <w:b w:val="false"/>
                <w:bCs w:val="false"/>
                <w:i w:val="false"/>
                <w:iCs w:val="false"/>
                <w:caps w:val="false"/>
                <w:smallCaps w:val="false"/>
                <w:color w:val="1C1C1C"/>
                <w:sz w:val="19"/>
                <w:szCs w:val="19"/>
              </w:rPr>
              <w:t>Large-volume orders on short timelines create a "shipping pressure" effect. A 50-unit order on a two-day schedule is a fundamentally different risk profile from the same order with eight days to fulfil.</w:t>
            </w:r>
          </w:p>
        </w:tc>
      </w:tr>
      <w:tr>
        <w:trPr/>
        <w:tc>
          <w:tcPr>
            <w:tcW w:w="2800" w:type="dxa"/>
            <w:tcBorders>
              <w:top w:val="single" w:sz="4" w:space="0" w:color="C8DCF0"/>
              <w:start w:val="single" w:sz="4" w:space="0" w:color="D6E4F0"/>
              <w:bottom w:val="single" w:sz="4" w:space="0" w:color="C8DCF0"/>
              <w:end w:val="single" w:sz="4" w:space="0" w:color="D6E4F0"/>
            </w:tcBorders>
            <w:shd w:fill="E8F2FB" w:val="clear"/>
            <w:tcMar>
              <w:top w:w="90" w:type="dxa"/>
              <w:bottom w:w="90" w:type="dxa"/>
            </w:tcMar>
          </w:tcPr>
          <w:p>
            <w:pPr>
              <w:pStyle w:val="Normal"/>
              <w:spacing w:lineRule="auto" w:line="276" w:before="0" w:after="100"/>
              <w:jc w:val="both"/>
              <w:rPr/>
            </w:pPr>
            <w:r>
              <w:rPr>
                <w:rFonts w:eastAsia="Calibri" w:cs="Calibri"/>
                <w:b/>
                <w:bCs/>
                <w:i w:val="false"/>
                <w:iCs w:val="false"/>
                <w:caps w:val="false"/>
                <w:smallCaps w:val="false"/>
                <w:color w:val="1A3A5C"/>
                <w:sz w:val="20"/>
                <w:szCs w:val="20"/>
              </w:rPr>
              <w:t>Lower-Value / High-Discount Orders</w:t>
            </w:r>
          </w:p>
        </w:tc>
        <w:tc>
          <w:tcPr>
            <w:tcW w:w="6920" w:type="dxa"/>
            <w:tcBorders>
              <w:top w:val="single" w:sz="4" w:space="0" w:color="C8DCF0"/>
              <w:start w:val="single" w:sz="4" w:space="0" w:color="D6E4F0"/>
              <w:bottom w:val="single" w:sz="4" w:space="0" w:color="C8DCF0"/>
              <w:end w:val="single" w:sz="4" w:space="0" w:color="D6E4F0"/>
            </w:tcBorders>
            <w:shd w:fill="F4F8FB" w:val="clear"/>
            <w:tcMar>
              <w:top w:w="90" w:type="dxa"/>
              <w:bottom w:w="90" w:type="dxa"/>
            </w:tcMar>
          </w:tcPr>
          <w:p>
            <w:pPr>
              <w:pStyle w:val="Normal"/>
              <w:spacing w:lineRule="auto" w:line="276" w:before="0" w:after="100"/>
              <w:jc w:val="both"/>
              <w:rPr/>
            </w:pPr>
            <w:r>
              <w:rPr>
                <w:rFonts w:eastAsia="Calibri" w:cs="Calibri"/>
                <w:b w:val="false"/>
                <w:bCs w:val="false"/>
                <w:i w:val="false"/>
                <w:iCs w:val="false"/>
                <w:caps w:val="false"/>
                <w:smallCaps w:val="false"/>
                <w:color w:val="1C1C1C"/>
                <w:sz w:val="19"/>
                <w:szCs w:val="19"/>
              </w:rPr>
              <w:t>Orders with thin margins relative to a customer's total value show modestly higher delay rates, potentially reflecting reduced prioritisation in fulfilment workflows.</w:t>
            </w:r>
          </w:p>
        </w:tc>
      </w:tr>
    </w:tbl>
    <w:p>
      <w:pPr>
        <w:pStyle w:val="Normal"/>
        <w:spacing w:lineRule="auto" w:line="276" w:before="0" w:after="80"/>
        <w:jc w:val="both"/>
        <w:rPr/>
      </w:pPr>
      <w:r>
        <w:rPr/>
      </w:r>
    </w:p>
    <w:tbl>
      <w:tblPr>
        <w:tblW w:w="9720" w:type="dxa"/>
        <w:jc w:val="start"/>
        <w:tblInd w:w="0" w:type="dxa"/>
        <w:tblLayout w:type="fixed"/>
        <w:tblCellMar>
          <w:top w:w="100" w:type="dxa"/>
          <w:start w:w="180" w:type="dxa"/>
          <w:bottom w:w="100" w:type="dxa"/>
          <w:end w:w="180" w:type="dxa"/>
        </w:tblCellMar>
      </w:tblPr>
      <w:tblGrid>
        <w:gridCol w:w="9720"/>
      </w:tblGrid>
      <w:tr>
        <w:trPr/>
        <w:tc>
          <w:tcPr>
            <w:tcW w:w="9720" w:type="dxa"/>
            <w:tcBorders/>
            <w:shd w:fill="1A3A5C" w:val="clear"/>
          </w:tcPr>
          <w:p>
            <w:pPr>
              <w:pStyle w:val="Normal"/>
              <w:spacing w:lineRule="auto" w:line="276" w:before="0" w:after="0"/>
              <w:rPr/>
            </w:pPr>
            <w:r>
              <w:rPr>
                <w:rFonts w:eastAsia="Calibri" w:cs="Calibri"/>
                <w:b/>
                <w:bCs/>
                <w:i w:val="false"/>
                <w:iCs w:val="false"/>
                <w:caps w:val="false"/>
                <w:smallCaps w:val="false"/>
                <w:color w:val="FFFFFF"/>
                <w:sz w:val="19"/>
                <w:szCs w:val="19"/>
              </w:rPr>
              <w:t>BUSINESS IMPACT</w:t>
            </w:r>
          </w:p>
        </w:tc>
      </w:tr>
    </w:tbl>
    <w:p>
      <w:pPr>
        <w:pStyle w:val="Normal"/>
        <w:spacing w:lineRule="auto" w:line="276" w:before="0" w:after="50"/>
        <w:jc w:val="both"/>
        <w:rPr/>
      </w:pPr>
      <w:r>
        <w:rPr/>
      </w:r>
    </w:p>
    <w:p>
      <w:pPr>
        <w:pStyle w:val="Normal"/>
        <w:spacing w:lineRule="auto" w:line="276" w:before="0" w:after="100"/>
        <w:jc w:val="both"/>
        <w:rPr/>
      </w:pPr>
      <w:r>
        <w:rPr>
          <w:rFonts w:eastAsia="Calibri" w:cs="Calibri"/>
          <w:b w:val="false"/>
          <w:bCs w:val="false"/>
          <w:i w:val="false"/>
          <w:iCs w:val="false"/>
          <w:caps w:val="false"/>
          <w:smallCaps w:val="false"/>
          <w:color w:val="1C1C1C"/>
          <w:sz w:val="21"/>
          <w:szCs w:val="21"/>
        </w:rPr>
        <w:t>The shift this system enables is straightforward but significant: instead of reacting to delays that have already happened, operations teams start each day with a ranked list of which orders need attention before anything moves.</w:t>
      </w:r>
    </w:p>
    <w:p>
      <w:pPr>
        <w:pStyle w:val="Normal"/>
        <w:spacing w:lineRule="auto" w:line="276" w:before="0" w:after="100"/>
        <w:jc w:val="both"/>
        <w:rPr/>
      </w:pPr>
      <w:r>
        <w:rPr>
          <w:rFonts w:eastAsia="Calibri" w:cs="Calibri"/>
          <w:b w:val="false"/>
          <w:bCs w:val="false"/>
          <w:i w:val="false"/>
          <w:iCs w:val="false"/>
          <w:caps w:val="false"/>
          <w:smallCaps w:val="false"/>
          <w:color w:val="1C1C1C"/>
          <w:sz w:val="21"/>
          <w:szCs w:val="21"/>
        </w:rPr>
        <w:t>Reactive delay management — the current state — typically means expedited shipping costs, customer service escalations, and penalties that arrive after the fact, when the only options are damage control. Proactive management, by contrast, means the team can upgrade a Standard Class shipment to First Class on a flagged high-risk order that afternoon, contact the customer before they contact you, or reassign a large order across multiple shipments to reduce concentration risk. McKinsey estimates that this kind of reactive-to-proactive shift reduces total logistics costs by 15–25% for large operators.</w:t>
      </w:r>
    </w:p>
    <w:p>
      <w:pPr>
        <w:pStyle w:val="Normal"/>
        <w:spacing w:lineRule="auto" w:line="276" w:before="0" w:after="80"/>
        <w:jc w:val="both"/>
        <w:rPr/>
      </w:pPr>
      <w:r>
        <w:rPr>
          <w:rFonts w:eastAsia="Calibri" w:cs="Calibri"/>
          <w:b w:val="false"/>
          <w:bCs w:val="false"/>
          <w:i w:val="false"/>
          <w:iCs w:val="false"/>
          <w:caps w:val="false"/>
          <w:smallCaps w:val="false"/>
          <w:color w:val="1C1C1C"/>
          <w:sz w:val="21"/>
          <w:szCs w:val="21"/>
        </w:rPr>
        <w:t>The operational dashboard makes this practical. Every order in the fleet carries a visible risk score. Teams can filter by region, shipping mode, or customer segment, pull a CSV of their High-risk queue with one click, and work through interventions sorted by probability of delay — not instinct.</w:t>
      </w:r>
    </w:p>
    <w:p>
      <w:pPr>
        <w:pStyle w:val="Normal"/>
        <w:spacing w:lineRule="auto" w:line="276" w:before="0" w:after="50"/>
        <w:jc w:val="both"/>
        <w:rPr/>
      </w:pPr>
      <w:r>
        <w:rPr/>
      </w:r>
    </w:p>
    <w:tbl>
      <w:tblPr>
        <w:tblW w:w="9720" w:type="dxa"/>
        <w:jc w:val="start"/>
        <w:tblInd w:w="0" w:type="dxa"/>
        <w:tblLayout w:type="fixed"/>
        <w:tblCellMar>
          <w:top w:w="100" w:type="dxa"/>
          <w:start w:w="180" w:type="dxa"/>
          <w:bottom w:w="100" w:type="dxa"/>
          <w:end w:w="180" w:type="dxa"/>
        </w:tblCellMar>
      </w:tblPr>
      <w:tblGrid>
        <w:gridCol w:w="9720"/>
      </w:tblGrid>
      <w:tr>
        <w:trPr/>
        <w:tc>
          <w:tcPr>
            <w:tcW w:w="9720" w:type="dxa"/>
            <w:tcBorders/>
            <w:shd w:fill="1A3A5C" w:val="clear"/>
          </w:tcPr>
          <w:p>
            <w:pPr>
              <w:pStyle w:val="Normal"/>
              <w:spacing w:lineRule="auto" w:line="276" w:before="0" w:after="0"/>
              <w:rPr/>
            </w:pPr>
            <w:r>
              <w:rPr>
                <w:rFonts w:eastAsia="Calibri" w:cs="Calibri"/>
                <w:b/>
                <w:bCs/>
                <w:i w:val="false"/>
                <w:iCs w:val="false"/>
                <w:caps w:val="false"/>
                <w:smallCaps w:val="false"/>
                <w:color w:val="FFFFFF"/>
                <w:sz w:val="19"/>
                <w:szCs w:val="19"/>
              </w:rPr>
              <w:t>STRATEGIC RECOMMENDATIONS</w:t>
            </w:r>
          </w:p>
        </w:tc>
      </w:tr>
    </w:tbl>
    <w:p>
      <w:pPr>
        <w:pStyle w:val="Normal"/>
        <w:spacing w:lineRule="auto" w:line="276" w:before="0" w:after="50"/>
        <w:jc w:val="both"/>
        <w:rPr/>
      </w:pPr>
      <w:r>
        <w:rPr/>
      </w:r>
    </w:p>
    <w:tbl>
      <w:tblPr>
        <w:tblW w:w="9720" w:type="dxa"/>
        <w:jc w:val="start"/>
        <w:tblInd w:w="0" w:type="dxa"/>
        <w:tblLayout w:type="fixed"/>
        <w:tblCellMar>
          <w:top w:w="100" w:type="dxa"/>
          <w:start w:w="100" w:type="dxa"/>
          <w:bottom w:w="100" w:type="dxa"/>
          <w:end w:w="100" w:type="dxa"/>
        </w:tblCellMar>
      </w:tblPr>
      <w:tblGrid>
        <w:gridCol w:w="639"/>
        <w:gridCol w:w="9081"/>
      </w:tblGrid>
      <w:tr>
        <w:trPr/>
        <w:tc>
          <w:tcPr>
            <w:tcW w:w="639" w:type="dxa"/>
            <w:tcBorders/>
            <w:shd w:fill="2B80C0" w:val="clear"/>
            <w:vAlign w:val="center"/>
          </w:tcPr>
          <w:p>
            <w:pPr>
              <w:pStyle w:val="Normal"/>
              <w:spacing w:lineRule="auto" w:line="276" w:before="0" w:after="0"/>
              <w:jc w:val="center"/>
              <w:rPr/>
            </w:pPr>
            <w:r>
              <w:rPr>
                <w:rFonts w:eastAsia="Calibri" w:cs="Calibri"/>
                <w:b/>
                <w:bCs/>
                <w:i w:val="false"/>
                <w:iCs w:val="false"/>
                <w:caps w:val="false"/>
                <w:smallCaps w:val="false"/>
                <w:color w:val="FFFFFF"/>
                <w:sz w:val="32"/>
                <w:szCs w:val="32"/>
              </w:rPr>
              <w:t>1</w:t>
            </w:r>
          </w:p>
        </w:tc>
        <w:tc>
          <w:tcPr>
            <w:tcW w:w="9081" w:type="dxa"/>
            <w:tcBorders>
              <w:top w:val="single" w:sz="4" w:space="0" w:color="D6E4F0"/>
              <w:start w:val="single" w:sz="20" w:space="0" w:color="2B80C0"/>
              <w:bottom w:val="single" w:sz="4" w:space="0" w:color="D6E4F0"/>
              <w:end w:val="single" w:sz="4" w:space="0" w:color="D6E4F0"/>
            </w:tcBorders>
            <w:shd w:fill="F4F8FB" w:val="clear"/>
            <w:tcMar>
              <w:start w:w="200" w:type="dxa"/>
              <w:end w:w="160" w:type="dxa"/>
            </w:tcMar>
          </w:tcPr>
          <w:p>
            <w:pPr>
              <w:pStyle w:val="Normal"/>
              <w:spacing w:lineRule="auto" w:line="276" w:before="0" w:after="40"/>
              <w:rPr/>
            </w:pPr>
            <w:r>
              <w:rPr>
                <w:rFonts w:eastAsia="Calibri" w:cs="Calibri"/>
                <w:b/>
                <w:bCs/>
                <w:i w:val="false"/>
                <w:iCs w:val="false"/>
                <w:caps w:val="false"/>
                <w:smallCaps w:val="false"/>
                <w:color w:val="1A3A5C"/>
                <w:sz w:val="21"/>
                <w:szCs w:val="21"/>
              </w:rPr>
              <w:t>Deploy the dashboard as the daily operations starting point</w:t>
            </w:r>
          </w:p>
          <w:p>
            <w:pPr>
              <w:pStyle w:val="Normal"/>
              <w:spacing w:lineRule="auto" w:line="276" w:before="0" w:after="0"/>
              <w:rPr/>
            </w:pPr>
            <w:r>
              <w:rPr>
                <w:rFonts w:eastAsia="Calibri" w:cs="Calibri"/>
                <w:b w:val="false"/>
                <w:bCs w:val="false"/>
                <w:i w:val="false"/>
                <w:iCs w:val="false"/>
                <w:caps w:val="false"/>
                <w:smallCaps w:val="false"/>
                <w:color w:val="444444"/>
                <w:sz w:val="19"/>
                <w:szCs w:val="19"/>
              </w:rPr>
              <w:t>Set the High-risk queue as the first review of every shift. Teams should triage flagged orders before dispatch windows close, not after. A 71.8% flagged rate at the current threshold is a large queue — consider starting reviews at the top of the probability ranking rather than treating all flagged orders equally.</w:t>
            </w:r>
          </w:p>
        </w:tc>
      </w:tr>
    </w:tbl>
    <w:p>
      <w:pPr>
        <w:pStyle w:val="Normal"/>
        <w:spacing w:lineRule="auto" w:line="276" w:before="0" w:after="30"/>
        <w:jc w:val="both"/>
        <w:rPr/>
      </w:pPr>
      <w:r>
        <w:rPr/>
      </w:r>
    </w:p>
    <w:tbl>
      <w:tblPr>
        <w:tblW w:w="9720" w:type="dxa"/>
        <w:jc w:val="start"/>
        <w:tblInd w:w="0" w:type="dxa"/>
        <w:tblLayout w:type="fixed"/>
        <w:tblCellMar>
          <w:top w:w="100" w:type="dxa"/>
          <w:start w:w="100" w:type="dxa"/>
          <w:bottom w:w="100" w:type="dxa"/>
          <w:end w:w="100" w:type="dxa"/>
        </w:tblCellMar>
      </w:tblPr>
      <w:tblGrid>
        <w:gridCol w:w="639"/>
        <w:gridCol w:w="9081"/>
      </w:tblGrid>
      <w:tr>
        <w:trPr/>
        <w:tc>
          <w:tcPr>
            <w:tcW w:w="639" w:type="dxa"/>
            <w:tcBorders/>
            <w:shd w:fill="2B80C0" w:val="clear"/>
            <w:vAlign w:val="center"/>
          </w:tcPr>
          <w:p>
            <w:pPr>
              <w:pStyle w:val="Normal"/>
              <w:spacing w:lineRule="auto" w:line="276" w:before="0" w:after="0"/>
              <w:jc w:val="center"/>
              <w:rPr/>
            </w:pPr>
            <w:r>
              <w:rPr>
                <w:rFonts w:eastAsia="Calibri" w:cs="Calibri"/>
                <w:b/>
                <w:bCs/>
                <w:i w:val="false"/>
                <w:iCs w:val="false"/>
                <w:caps w:val="false"/>
                <w:smallCaps w:val="false"/>
                <w:color w:val="FFFFFF"/>
                <w:sz w:val="32"/>
                <w:szCs w:val="32"/>
              </w:rPr>
              <w:t>2</w:t>
            </w:r>
          </w:p>
        </w:tc>
        <w:tc>
          <w:tcPr>
            <w:tcW w:w="9081" w:type="dxa"/>
            <w:tcBorders>
              <w:top w:val="single" w:sz="4" w:space="0" w:color="D6E4F0"/>
              <w:start w:val="single" w:sz="20" w:space="0" w:color="2B80C0"/>
              <w:bottom w:val="single" w:sz="4" w:space="0" w:color="D6E4F0"/>
              <w:end w:val="single" w:sz="4" w:space="0" w:color="D6E4F0"/>
            </w:tcBorders>
            <w:shd w:fill="F4F8FB" w:val="clear"/>
            <w:tcMar>
              <w:start w:w="200" w:type="dxa"/>
              <w:end w:w="160" w:type="dxa"/>
            </w:tcMar>
          </w:tcPr>
          <w:p>
            <w:pPr>
              <w:pStyle w:val="Normal"/>
              <w:spacing w:lineRule="auto" w:line="276" w:before="0" w:after="40"/>
              <w:rPr/>
            </w:pPr>
            <w:r>
              <w:rPr>
                <w:rFonts w:eastAsia="Calibri" w:cs="Calibri"/>
                <w:b/>
                <w:bCs/>
                <w:i w:val="false"/>
                <w:iCs w:val="false"/>
                <w:caps w:val="false"/>
                <w:smallCaps w:val="false"/>
                <w:color w:val="1A3A5C"/>
                <w:sz w:val="21"/>
                <w:szCs w:val="21"/>
              </w:rPr>
              <w:t>Establish a clear intervention protocol for each risk tier</w:t>
            </w:r>
          </w:p>
          <w:p>
            <w:pPr>
              <w:pStyle w:val="Normal"/>
              <w:spacing w:lineRule="auto" w:line="276" w:before="0" w:after="0"/>
              <w:rPr/>
            </w:pPr>
            <w:r>
              <w:rPr>
                <w:rFonts w:eastAsia="Calibri" w:cs="Calibri"/>
                <w:b w:val="false"/>
                <w:bCs w:val="false"/>
                <w:i w:val="false"/>
                <w:iCs w:val="false"/>
                <w:caps w:val="false"/>
                <w:smallCaps w:val="false"/>
                <w:color w:val="444444"/>
                <w:sz w:val="19"/>
                <w:szCs w:val="19"/>
              </w:rPr>
              <w:t>High-risk orders should trigger a fixed set of options: shipping mode upgrade, order splitting, schedule buffer, or proactive customer communication. Formalising these responses eliminates decision latency when the queue is long. Medium-risk orders warrant monitoring but not automatic intervention unless capacity allows.</w:t>
            </w:r>
          </w:p>
        </w:tc>
      </w:tr>
    </w:tbl>
    <w:p>
      <w:pPr>
        <w:pStyle w:val="Normal"/>
        <w:spacing w:lineRule="auto" w:line="276" w:before="0" w:after="30"/>
        <w:jc w:val="both"/>
        <w:rPr/>
      </w:pPr>
      <w:r>
        <w:rPr/>
      </w:r>
    </w:p>
    <w:tbl>
      <w:tblPr>
        <w:tblW w:w="9720" w:type="dxa"/>
        <w:jc w:val="start"/>
        <w:tblInd w:w="0" w:type="dxa"/>
        <w:tblLayout w:type="fixed"/>
        <w:tblCellMar>
          <w:top w:w="100" w:type="dxa"/>
          <w:start w:w="100" w:type="dxa"/>
          <w:bottom w:w="100" w:type="dxa"/>
          <w:end w:w="100" w:type="dxa"/>
        </w:tblCellMar>
      </w:tblPr>
      <w:tblGrid>
        <w:gridCol w:w="639"/>
        <w:gridCol w:w="9081"/>
      </w:tblGrid>
      <w:tr>
        <w:trPr/>
        <w:tc>
          <w:tcPr>
            <w:tcW w:w="639" w:type="dxa"/>
            <w:tcBorders/>
            <w:shd w:fill="2B80C0" w:val="clear"/>
            <w:vAlign w:val="center"/>
          </w:tcPr>
          <w:p>
            <w:pPr>
              <w:pStyle w:val="Normal"/>
              <w:spacing w:lineRule="auto" w:line="276" w:before="0" w:after="0"/>
              <w:jc w:val="center"/>
              <w:rPr/>
            </w:pPr>
            <w:r>
              <w:rPr>
                <w:rFonts w:eastAsia="Calibri" w:cs="Calibri"/>
                <w:b/>
                <w:bCs/>
                <w:i w:val="false"/>
                <w:iCs w:val="false"/>
                <w:caps w:val="false"/>
                <w:smallCaps w:val="false"/>
                <w:color w:val="FFFFFF"/>
                <w:sz w:val="32"/>
                <w:szCs w:val="32"/>
              </w:rPr>
              <w:t>3</w:t>
            </w:r>
          </w:p>
        </w:tc>
        <w:tc>
          <w:tcPr>
            <w:tcW w:w="9081" w:type="dxa"/>
            <w:tcBorders>
              <w:top w:val="single" w:sz="4" w:space="0" w:color="D6E4F0"/>
              <w:start w:val="single" w:sz="20" w:space="0" w:color="2B80C0"/>
              <w:bottom w:val="single" w:sz="4" w:space="0" w:color="D6E4F0"/>
              <w:end w:val="single" w:sz="4" w:space="0" w:color="D6E4F0"/>
            </w:tcBorders>
            <w:shd w:fill="F4F8FB" w:val="clear"/>
            <w:tcMar>
              <w:start w:w="200" w:type="dxa"/>
              <w:end w:w="160" w:type="dxa"/>
            </w:tcMar>
          </w:tcPr>
          <w:p>
            <w:pPr>
              <w:pStyle w:val="Normal"/>
              <w:spacing w:lineRule="auto" w:line="276" w:before="0" w:after="40"/>
              <w:rPr/>
            </w:pPr>
            <w:r>
              <w:rPr>
                <w:rFonts w:eastAsia="Calibri" w:cs="Calibri"/>
                <w:b/>
                <w:bCs/>
                <w:i w:val="false"/>
                <w:iCs w:val="false"/>
                <w:caps w:val="false"/>
                <w:smallCaps w:val="false"/>
                <w:color w:val="1A3A5C"/>
                <w:sz w:val="21"/>
                <w:szCs w:val="21"/>
              </w:rPr>
              <w:t>Review Standard Class routing decisions in high-risk regions</w:t>
            </w:r>
          </w:p>
          <w:p>
            <w:pPr>
              <w:pStyle w:val="Normal"/>
              <w:spacing w:lineRule="auto" w:line="276" w:before="0" w:after="0"/>
              <w:rPr/>
            </w:pPr>
            <w:r>
              <w:rPr>
                <w:rFonts w:eastAsia="Calibri" w:cs="Calibri"/>
                <w:b w:val="false"/>
                <w:bCs w:val="false"/>
                <w:i w:val="false"/>
                <w:iCs w:val="false"/>
                <w:caps w:val="false"/>
                <w:smallCaps w:val="false"/>
                <w:color w:val="444444"/>
                <w:sz w:val="19"/>
                <w:szCs w:val="19"/>
              </w:rPr>
              <w:t>The data is unambiguous: Standard Class shipments in several global markets carry disproportionate delay rates. A policy review on mode selection for orders destined to high-risk market-mode combinations would likely yield measurable improvement independent of the prediction system.</w:t>
            </w:r>
          </w:p>
        </w:tc>
      </w:tr>
    </w:tbl>
    <w:p>
      <w:pPr>
        <w:pStyle w:val="Normal"/>
        <w:spacing w:lineRule="auto" w:line="276" w:before="0" w:after="30"/>
        <w:jc w:val="both"/>
        <w:rPr/>
      </w:pPr>
      <w:r>
        <w:rPr/>
      </w:r>
    </w:p>
    <w:tbl>
      <w:tblPr>
        <w:tblW w:w="9720" w:type="dxa"/>
        <w:jc w:val="start"/>
        <w:tblInd w:w="0" w:type="dxa"/>
        <w:tblLayout w:type="fixed"/>
        <w:tblCellMar>
          <w:top w:w="100" w:type="dxa"/>
          <w:start w:w="100" w:type="dxa"/>
          <w:bottom w:w="100" w:type="dxa"/>
          <w:end w:w="100" w:type="dxa"/>
        </w:tblCellMar>
      </w:tblPr>
      <w:tblGrid>
        <w:gridCol w:w="639"/>
        <w:gridCol w:w="9081"/>
      </w:tblGrid>
      <w:tr>
        <w:trPr/>
        <w:tc>
          <w:tcPr>
            <w:tcW w:w="639" w:type="dxa"/>
            <w:tcBorders/>
            <w:shd w:fill="2B80C0" w:val="clear"/>
            <w:vAlign w:val="center"/>
          </w:tcPr>
          <w:p>
            <w:pPr>
              <w:pStyle w:val="Normal"/>
              <w:spacing w:lineRule="auto" w:line="276" w:before="0" w:after="0"/>
              <w:jc w:val="center"/>
              <w:rPr/>
            </w:pPr>
            <w:r>
              <w:rPr>
                <w:rFonts w:eastAsia="Calibri" w:cs="Calibri"/>
                <w:b/>
                <w:bCs/>
                <w:i w:val="false"/>
                <w:iCs w:val="false"/>
                <w:caps w:val="false"/>
                <w:smallCaps w:val="false"/>
                <w:color w:val="FFFFFF"/>
                <w:sz w:val="32"/>
                <w:szCs w:val="32"/>
              </w:rPr>
              <w:t>4</w:t>
            </w:r>
          </w:p>
        </w:tc>
        <w:tc>
          <w:tcPr>
            <w:tcW w:w="9081" w:type="dxa"/>
            <w:tcBorders>
              <w:top w:val="single" w:sz="4" w:space="0" w:color="D6E4F0"/>
              <w:start w:val="single" w:sz="20" w:space="0" w:color="2B80C0"/>
              <w:bottom w:val="single" w:sz="4" w:space="0" w:color="D6E4F0"/>
              <w:end w:val="single" w:sz="4" w:space="0" w:color="D6E4F0"/>
            </w:tcBorders>
            <w:shd w:fill="F4F8FB" w:val="clear"/>
            <w:tcMar>
              <w:start w:w="200" w:type="dxa"/>
              <w:end w:w="160" w:type="dxa"/>
            </w:tcMar>
          </w:tcPr>
          <w:p>
            <w:pPr>
              <w:pStyle w:val="Normal"/>
              <w:spacing w:lineRule="auto" w:line="276" w:before="0" w:after="40"/>
              <w:rPr/>
            </w:pPr>
            <w:r>
              <w:rPr>
                <w:rFonts w:eastAsia="Calibri" w:cs="Calibri"/>
                <w:b/>
                <w:bCs/>
                <w:i w:val="false"/>
                <w:iCs w:val="false"/>
                <w:caps w:val="false"/>
                <w:smallCaps w:val="false"/>
                <w:color w:val="1A3A5C"/>
                <w:sz w:val="21"/>
                <w:szCs w:val="21"/>
              </w:rPr>
              <w:t>Enrich the data for the next model version</w:t>
            </w:r>
          </w:p>
          <w:p>
            <w:pPr>
              <w:pStyle w:val="Normal"/>
              <w:spacing w:lineRule="auto" w:line="276" w:before="0" w:after="0"/>
              <w:rPr/>
            </w:pPr>
            <w:r>
              <w:rPr>
                <w:rFonts w:eastAsia="Calibri" w:cs="Calibri"/>
                <w:b w:val="false"/>
                <w:bCs w:val="false"/>
                <w:i w:val="false"/>
                <w:iCs w:val="false"/>
                <w:caps w:val="false"/>
                <w:smallCaps w:val="false"/>
                <w:color w:val="444444"/>
                <w:sz w:val="19"/>
                <w:szCs w:val="19"/>
              </w:rPr>
              <w:t>The current model is built entirely from internal order data. Adding carrier-level performance history, real-time port congestion signals, and weather disruption feeds would meaningfully improve prediction accuracy — particularly for the 18% of late deliveries the model currently misses.</w:t>
            </w:r>
          </w:p>
        </w:tc>
      </w:tr>
    </w:tbl>
    <w:p>
      <w:pPr>
        <w:pStyle w:val="Normal"/>
        <w:spacing w:lineRule="auto" w:line="276" w:before="0" w:after="30"/>
        <w:jc w:val="both"/>
        <w:rPr/>
      </w:pPr>
      <w:r>
        <w:rPr/>
      </w:r>
    </w:p>
    <w:tbl>
      <w:tblPr>
        <w:tblW w:w="9720" w:type="dxa"/>
        <w:jc w:val="start"/>
        <w:tblInd w:w="0" w:type="dxa"/>
        <w:tblLayout w:type="fixed"/>
        <w:tblCellMar>
          <w:top w:w="100" w:type="dxa"/>
          <w:start w:w="100" w:type="dxa"/>
          <w:bottom w:w="100" w:type="dxa"/>
          <w:end w:w="100" w:type="dxa"/>
        </w:tblCellMar>
      </w:tblPr>
      <w:tblGrid>
        <w:gridCol w:w="639"/>
        <w:gridCol w:w="9081"/>
      </w:tblGrid>
      <w:tr>
        <w:trPr/>
        <w:tc>
          <w:tcPr>
            <w:tcW w:w="639" w:type="dxa"/>
            <w:tcBorders/>
            <w:shd w:fill="2B80C0" w:val="clear"/>
            <w:vAlign w:val="center"/>
          </w:tcPr>
          <w:p>
            <w:pPr>
              <w:pStyle w:val="Normal"/>
              <w:spacing w:lineRule="auto" w:line="276" w:before="0" w:after="0"/>
              <w:jc w:val="center"/>
              <w:rPr/>
            </w:pPr>
            <w:r>
              <w:rPr>
                <w:rFonts w:eastAsia="Calibri" w:cs="Calibri"/>
                <w:b/>
                <w:bCs/>
                <w:i w:val="false"/>
                <w:iCs w:val="false"/>
                <w:caps w:val="false"/>
                <w:smallCaps w:val="false"/>
                <w:color w:val="FFFFFF"/>
                <w:sz w:val="32"/>
                <w:szCs w:val="32"/>
              </w:rPr>
              <w:t>5</w:t>
            </w:r>
          </w:p>
        </w:tc>
        <w:tc>
          <w:tcPr>
            <w:tcW w:w="9081" w:type="dxa"/>
            <w:tcBorders>
              <w:top w:val="single" w:sz="4" w:space="0" w:color="D6E4F0"/>
              <w:start w:val="single" w:sz="20" w:space="0" w:color="2B80C0"/>
              <w:bottom w:val="single" w:sz="4" w:space="0" w:color="D6E4F0"/>
              <w:end w:val="single" w:sz="4" w:space="0" w:color="D6E4F0"/>
            </w:tcBorders>
            <w:shd w:fill="F4F8FB" w:val="clear"/>
            <w:tcMar>
              <w:start w:w="200" w:type="dxa"/>
              <w:end w:w="160" w:type="dxa"/>
            </w:tcMar>
          </w:tcPr>
          <w:p>
            <w:pPr>
              <w:pStyle w:val="Normal"/>
              <w:spacing w:lineRule="auto" w:line="276" w:before="0" w:after="40"/>
              <w:rPr/>
            </w:pPr>
            <w:r>
              <w:rPr>
                <w:rFonts w:eastAsia="Calibri" w:cs="Calibri"/>
                <w:b/>
                <w:bCs/>
                <w:i w:val="false"/>
                <w:iCs w:val="false"/>
                <w:caps w:val="false"/>
                <w:smallCaps w:val="false"/>
                <w:color w:val="1A3A5C"/>
                <w:sz w:val="21"/>
                <w:szCs w:val="21"/>
              </w:rPr>
              <w:t>Schedule quarterly model retraining</w:t>
            </w:r>
          </w:p>
          <w:p>
            <w:pPr>
              <w:pStyle w:val="Normal"/>
              <w:spacing w:lineRule="auto" w:line="276" w:before="0" w:after="0"/>
              <w:rPr/>
            </w:pPr>
            <w:r>
              <w:rPr>
                <w:rFonts w:eastAsia="Calibri" w:cs="Calibri"/>
                <w:b w:val="false"/>
                <w:bCs w:val="false"/>
                <w:i w:val="false"/>
                <w:iCs w:val="false"/>
                <w:caps w:val="false"/>
                <w:smallCaps w:val="false"/>
                <w:color w:val="444444"/>
                <w:sz w:val="19"/>
                <w:szCs w:val="19"/>
              </w:rPr>
              <w:t>Carrier networks, market conditions, and operational patterns shift over time. The model should be retrained quarterly on the most recent 12–18 months of data, with performance benchmarked against the previous version before each deployment. This is a short task if the pipeline is maintained — and critical for sustained accuracy.</w:t>
            </w:r>
          </w:p>
        </w:tc>
      </w:tr>
    </w:tbl>
    <w:p>
      <w:pPr>
        <w:pStyle w:val="Normal"/>
        <w:spacing w:lineRule="auto" w:line="276" w:before="0" w:after="70"/>
        <w:jc w:val="both"/>
        <w:rPr/>
      </w:pPr>
      <w:r>
        <w:rPr/>
      </w:r>
    </w:p>
    <w:tbl>
      <w:tblPr>
        <w:tblW w:w="9720" w:type="dxa"/>
        <w:jc w:val="start"/>
        <w:tblInd w:w="0" w:type="dxa"/>
        <w:tblLayout w:type="fixed"/>
        <w:tblCellMar>
          <w:top w:w="100" w:type="dxa"/>
          <w:start w:w="180" w:type="dxa"/>
          <w:bottom w:w="100" w:type="dxa"/>
          <w:end w:w="180" w:type="dxa"/>
        </w:tblCellMar>
      </w:tblPr>
      <w:tblGrid>
        <w:gridCol w:w="9720"/>
      </w:tblGrid>
      <w:tr>
        <w:trPr/>
        <w:tc>
          <w:tcPr>
            <w:tcW w:w="9720" w:type="dxa"/>
            <w:tcBorders/>
            <w:shd w:fill="1A3A5C" w:val="clear"/>
          </w:tcPr>
          <w:p>
            <w:pPr>
              <w:pStyle w:val="Normal"/>
              <w:spacing w:lineRule="auto" w:line="276" w:before="0" w:after="0"/>
              <w:rPr/>
            </w:pPr>
            <w:r>
              <w:rPr>
                <w:rFonts w:eastAsia="Calibri" w:cs="Calibri"/>
                <w:b/>
                <w:bCs/>
                <w:i w:val="false"/>
                <w:iCs w:val="false"/>
                <w:caps w:val="false"/>
                <w:smallCaps w:val="false"/>
                <w:color w:val="FFFFFF"/>
                <w:sz w:val="19"/>
                <w:szCs w:val="19"/>
              </w:rPr>
              <w:t>CONCLUSION</w:t>
            </w:r>
          </w:p>
        </w:tc>
      </w:tr>
    </w:tbl>
    <w:p>
      <w:pPr>
        <w:pStyle w:val="Normal"/>
        <w:spacing w:lineRule="auto" w:line="276" w:before="0" w:after="50"/>
        <w:jc w:val="both"/>
        <w:rPr/>
      </w:pPr>
      <w:r>
        <w:rPr/>
      </w:r>
    </w:p>
    <w:p>
      <w:pPr>
        <w:pStyle w:val="Normal"/>
        <w:spacing w:lineRule="auto" w:line="276" w:before="0" w:after="100"/>
        <w:jc w:val="both"/>
        <w:rPr/>
      </w:pPr>
      <w:r>
        <w:rPr>
          <w:rFonts w:eastAsia="Calibri" w:cs="Calibri"/>
          <w:b w:val="false"/>
          <w:bCs w:val="false"/>
          <w:i w:val="false"/>
          <w:iCs w:val="false"/>
          <w:caps w:val="false"/>
          <w:smallCaps w:val="false"/>
          <w:color w:val="1C1C1C"/>
          <w:sz w:val="21"/>
          <w:szCs w:val="21"/>
        </w:rPr>
        <w:t>APL Logistics now has the capability to see delivery risk before it materialises. The system identifies over 80% of late deliveries in advance, assigns each order a probability score, and surfaces a prioritised action queue that operations teams can act on every day — without needing to understand the mechanics behind it.</w:t>
      </w:r>
    </w:p>
    <w:p>
      <w:pPr>
        <w:pStyle w:val="Normal"/>
        <w:spacing w:lineRule="auto" w:line="276" w:before="0" w:after="80"/>
        <w:jc w:val="both"/>
        <w:rPr/>
      </w:pPr>
      <w:r>
        <w:rPr>
          <w:rFonts w:eastAsia="Calibri" w:cs="Calibri"/>
          <w:b w:val="false"/>
          <w:bCs w:val="false"/>
          <w:i w:val="false"/>
          <w:iCs w:val="false"/>
          <w:caps w:val="false"/>
          <w:smallCaps w:val="false"/>
          <w:color w:val="1C1C1C"/>
          <w:sz w:val="21"/>
          <w:szCs w:val="21"/>
        </w:rPr>
        <w:t>The competitive advantage in logistics is rarely won on the shipping floor. It is won in the decisions made before orders leave — in the ability to intervene early, manage exceptions proactively, and protect customer commitments before they are broken. That capability now exists. The question is how quickly the organisation moves to integrate it into daily operations and build on it with richer data over time.</w:t>
      </w:r>
    </w:p>
    <w:p>
      <w:pPr>
        <w:pStyle w:val="Normal"/>
        <w:pBdr>
          <w:bottom w:val="single" w:sz="8" w:space="2" w:color="2B80C0"/>
        </w:pBdr>
        <w:spacing w:lineRule="auto" w:line="276" w:before="40" w:after="40"/>
        <w:rPr/>
      </w:pPr>
      <w:r>
        <w:rPr/>
      </w:r>
    </w:p>
    <w:p>
      <w:pPr>
        <w:pStyle w:val="Normal"/>
        <w:spacing w:lineRule="auto" w:line="276" w:before="0" w:after="30"/>
        <w:jc w:val="both"/>
        <w:rPr/>
      </w:pPr>
      <w:r>
        <w:rPr/>
      </w:r>
    </w:p>
    <w:p>
      <w:pPr>
        <w:pStyle w:val="Normal"/>
        <w:spacing w:lineRule="auto" w:line="276" w:before="0" w:after="100"/>
        <w:jc w:val="both"/>
        <w:rPr/>
      </w:pPr>
      <w:r>
        <w:rPr>
          <w:rFonts w:eastAsia="Calibri" w:cs="Calibri"/>
          <w:b w:val="false"/>
          <w:bCs w:val="false"/>
          <w:i w:val="false"/>
          <w:iCs w:val="false"/>
          <w:caps w:val="false"/>
          <w:smallCaps w:val="false"/>
          <w:color w:val="707070"/>
          <w:sz w:val="18"/>
          <w:szCs w:val="18"/>
        </w:rPr>
        <w:t xml:space="preserve">Prepared by:  </w:t>
      </w:r>
      <w:r>
        <w:rPr>
          <w:rFonts w:eastAsia="Calibri" w:cs="Calibri"/>
          <w:b/>
          <w:bCs/>
          <w:i w:val="false"/>
          <w:iCs w:val="false"/>
          <w:caps w:val="false"/>
          <w:smallCaps w:val="false"/>
          <w:color w:val="1A3A5C"/>
          <w:sz w:val="18"/>
          <w:szCs w:val="18"/>
        </w:rPr>
        <w:t>Amrit Baruah</w:t>
      </w:r>
      <w:r>
        <w:rPr>
          <w:rFonts w:eastAsia="Calibri" w:cs="Calibri"/>
          <w:b w:val="false"/>
          <w:bCs w:val="false"/>
          <w:i w:val="false"/>
          <w:iCs w:val="false"/>
          <w:caps w:val="false"/>
          <w:smallCaps w:val="false"/>
          <w:color w:val="707070"/>
          <w:sz w:val="18"/>
          <w:szCs w:val="18"/>
        </w:rPr>
        <w:t xml:space="preserve">   ·   </w:t>
      </w:r>
      <w:r>
        <w:rPr>
          <w:rFonts w:eastAsia="Calibri" w:cs="Calibri"/>
          <w:b w:val="false"/>
          <w:bCs w:val="false"/>
          <w:i w:val="false"/>
          <w:iCs w:val="false"/>
          <w:caps w:val="false"/>
          <w:smallCaps w:val="false"/>
          <w:color w:val="444444"/>
          <w:sz w:val="18"/>
          <w:szCs w:val="18"/>
        </w:rPr>
        <w:t>Unified Mentor / APL Logistics</w:t>
      </w:r>
      <w:r>
        <w:rPr>
          <w:rFonts w:eastAsia="Calibri" w:cs="Calibri"/>
          <w:b w:val="false"/>
          <w:bCs w:val="false"/>
          <w:i w:val="false"/>
          <w:iCs w:val="false"/>
          <w:caps w:val="false"/>
          <w:smallCaps w:val="false"/>
          <w:color w:val="707070"/>
          <w:sz w:val="18"/>
          <w:szCs w:val="18"/>
        </w:rPr>
        <w:t xml:space="preserve">   ·   2025</w:t>
      </w:r>
    </w:p>
    <w:sectPr>
      <w:footerReference w:type="even" r:id="rId2"/>
      <w:footerReference w:type="default" r:id="rId3"/>
      <w:footerReference w:type="first" r:id="rId4"/>
      <w:type w:val="nextPage"/>
      <w:pgSz w:w="12240" w:h="15840"/>
      <w:pgMar w:left="1260" w:right="1260" w:gutter="0" w:header="0" w:top="1260" w:footer="708" w:bottom="12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026" w:leader="none"/>
      </w:tabs>
      <w:spacing w:lineRule="auto" w:line="276" w:before="0" w:after="0"/>
      <w:rPr/>
    </w:pPr>
    <w:r>
      <w:rPr>
        <w:rFonts w:eastAsia="Calibri" w:cs="Calibri"/>
        <w:color w:val="707070"/>
        <w:sz w:val="17"/>
        <w:szCs w:val="17"/>
      </w:rPr>
      <w:t xml:space="preserve">APL Logistics  ·  Delivery Risk Intelligence  ·  Page </w:t>
    </w:r>
    <w:r>
      <w:rPr>
        <w:rFonts w:eastAsia="Calibri" w:cs="Calibri"/>
        <w:b w:val="false"/>
        <w:bCs w:val="false"/>
        <w:i w:val="false"/>
        <w:iCs w:val="false"/>
        <w:caps w:val="false"/>
        <w:smallCaps w:val="false"/>
        <w:color w:val="707070"/>
        <w:sz w:val="18"/>
        <w:szCs w:val="18"/>
      </w:rPr>
      <w:fldChar w:fldCharType="begin"/>
    </w:r>
    <w:r>
      <w:rPr>
        <w:rFonts w:eastAsia="Calibri" w:cs="Calibri"/>
        <w:b w:val="false"/>
        <w:bCs w:val="false"/>
        <w:i w:val="false"/>
        <w:iCs w:val="false"/>
        <w:caps w:val="false"/>
        <w:smallCaps w:val="false"/>
        <w:color w:val="707070"/>
        <w:sz w:val="18"/>
        <w:szCs w:val="18"/>
      </w:rPr>
      <w:instrText xml:space="preserve"> PAGE </w:instrText>
    </w:r>
    <w:r>
      <w:rPr>
        <w:rFonts w:eastAsia="Calibri" w:cs="Calibri"/>
        <w:b w:val="false"/>
        <w:bCs w:val="false"/>
        <w:i w:val="false"/>
        <w:iCs w:val="false"/>
        <w:caps w:val="false"/>
        <w:smallCaps w:val="false"/>
        <w:color w:val="707070"/>
        <w:sz w:val="18"/>
        <w:szCs w:val="18"/>
      </w:rPr>
      <w:fldChar w:fldCharType="separate"/>
    </w:r>
    <w:r>
      <w:rPr>
        <w:rFonts w:eastAsia="Calibri" w:cs="Calibri"/>
        <w:b w:val="false"/>
        <w:bCs w:val="false"/>
        <w:i w:val="false"/>
        <w:iCs w:val="false"/>
        <w:caps w:val="false"/>
        <w:smallCaps w:val="false"/>
        <w:color w:val="707070"/>
        <w:sz w:val="18"/>
        <w:szCs w:val="18"/>
      </w:rPr>
      <w:t>3</w:t>
    </w:r>
    <w:r>
      <w:rPr>
        <w:rFonts w:eastAsia="Calibri" w:cs="Calibri"/>
        <w:b w:val="false"/>
        <w:bCs w:val="false"/>
        <w:i w:val="false"/>
        <w:iCs w:val="false"/>
        <w:caps w:val="false"/>
        <w:smallCaps w:val="false"/>
        <w:color w:val="707070"/>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026" w:leader="none"/>
      </w:tabs>
      <w:spacing w:lineRule="auto" w:line="276" w:before="0" w:after="0"/>
      <w:rPr/>
    </w:pPr>
    <w:r>
      <w:rPr>
        <w:rFonts w:eastAsia="Calibri" w:cs="Calibri"/>
        <w:color w:val="707070"/>
        <w:sz w:val="17"/>
        <w:szCs w:val="17"/>
      </w:rPr>
      <w:t xml:space="preserve">APL Logistics  ·  Delivery Risk Intelligence  ·  Page </w:t>
    </w:r>
    <w:r>
      <w:rPr>
        <w:rFonts w:eastAsia="Calibri" w:cs="Calibri"/>
        <w:b w:val="false"/>
        <w:bCs w:val="false"/>
        <w:i w:val="false"/>
        <w:iCs w:val="false"/>
        <w:caps w:val="false"/>
        <w:smallCaps w:val="false"/>
        <w:color w:val="707070"/>
        <w:sz w:val="18"/>
        <w:szCs w:val="18"/>
      </w:rPr>
      <w:fldChar w:fldCharType="begin"/>
    </w:r>
    <w:r>
      <w:rPr>
        <w:rFonts w:eastAsia="Calibri" w:cs="Calibri"/>
        <w:b w:val="false"/>
        <w:bCs w:val="false"/>
        <w:i w:val="false"/>
        <w:iCs w:val="false"/>
        <w:caps w:val="false"/>
        <w:smallCaps w:val="false"/>
        <w:color w:val="707070"/>
        <w:sz w:val="18"/>
        <w:szCs w:val="18"/>
      </w:rPr>
      <w:instrText xml:space="preserve"> PAGE </w:instrText>
    </w:r>
    <w:r>
      <w:rPr>
        <w:rFonts w:eastAsia="Calibri" w:cs="Calibri"/>
        <w:b w:val="false"/>
        <w:bCs w:val="false"/>
        <w:i w:val="false"/>
        <w:iCs w:val="false"/>
        <w:caps w:val="false"/>
        <w:smallCaps w:val="false"/>
        <w:color w:val="707070"/>
        <w:sz w:val="18"/>
        <w:szCs w:val="18"/>
      </w:rPr>
      <w:fldChar w:fldCharType="separate"/>
    </w:r>
    <w:r>
      <w:rPr>
        <w:rFonts w:eastAsia="Calibri" w:cs="Calibri"/>
        <w:b w:val="false"/>
        <w:bCs w:val="false"/>
        <w:i w:val="false"/>
        <w:iCs w:val="false"/>
        <w:caps w:val="false"/>
        <w:smallCaps w:val="false"/>
        <w:color w:val="707070"/>
        <w:sz w:val="18"/>
        <w:szCs w:val="18"/>
      </w:rPr>
      <w:t>3</w:t>
    </w:r>
    <w:r>
      <w:rPr>
        <w:rFonts w:eastAsia="Calibri" w:cs="Calibri"/>
        <w:b w:val="false"/>
        <w:bCs w:val="false"/>
        <w:i w:val="false"/>
        <w:iCs w:val="false"/>
        <w:caps w:val="false"/>
        <w:smallCaps w:val="false"/>
        <w:color w:val="707070"/>
        <w:sz w:val="18"/>
        <w:szCs w:val="18"/>
      </w:rPr>
      <w:fldChar w:fldCharType="end"/>
    </w:r>
  </w:p>
</w:ftr>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1"/>
        <w:szCs w:val="21"/>
        <w:lang w:val="en-IN"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auto"/>
      <w:kern w:val="0"/>
      <w:sz w:val="21"/>
      <w:szCs w:val="21"/>
      <w:lang w:val="en-IN"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auto"/>
      <w:kern w:val="0"/>
      <w:sz w:val="21"/>
      <w:szCs w:val="21"/>
      <w:lang w:val="en-IN" w:eastAsia="zh-CN" w:bidi="hi-IN"/>
    </w:rPr>
  </w:style>
  <w:style w:type="paragraph" w:styleId="ListParagraph">
    <w:name w:val="List Paragraph"/>
    <w:qFormat/>
    <w:pPr>
      <w:widowControl/>
      <w:bidi w:val="0"/>
      <w:spacing w:before="0" w:after="0"/>
      <w:jc w:val="start"/>
    </w:pPr>
    <w:rPr>
      <w:rFonts w:ascii="Calibri" w:hAnsi="Calibri" w:eastAsia="Calibri" w:cs="Calibri"/>
      <w:color w:val="auto"/>
      <w:kern w:val="0"/>
      <w:sz w:val="21"/>
      <w:szCs w:val="21"/>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LibreOffice/26.2.2.2$Windows_X86_64 LibreOffice_project/1f77d10d6938fd34972958f64b2bcfa54f8b1ba5</Application>
  <AppVersion>15.0000</AppVersion>
  <Pages>3</Pages>
  <Words>1147</Words>
  <Characters>6511</Characters>
  <CharactersWithSpaces>7620</CharactersWithSpaces>
  <Paragraphs>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2026-04-18T09:03:49Z</dcterms:created>
  <dc:creator>Un-named</dc:creator>
  <dc:description/>
  <dc:language>en-IN</dc:language>
  <cp:lastModifiedBy/>
  <dcterms:modified xsi:type="dcterms:W3CDTF">2026-04-18T14:47:01Z</dcterms:modified>
  <cp:revision>3</cp:revision>
  <dc:subject/>
  <dc:title/>
</cp:coreProperties>
</file>