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pPr>
      <w:r>
        <w:rPr>
          <w:rFonts w:eastAsia="Calibri" w:cs="Calibri"/>
          <w:b/>
          <w:bCs/>
          <w:color w:val="FFFFFF"/>
          <w:sz w:val="36"/>
          <w:szCs w:val="36"/>
        </w:rPr>
        <w:t>EXECUTIVE SUMMARY</w:t>
      </w:r>
    </w:p>
    <w:tbl>
      <w:tblPr>
        <w:tblW w:w="10080" w:type="dxa"/>
        <w:jc w:val="start"/>
        <w:tblInd w:w="0" w:type="dxa"/>
        <w:tblLayout w:type="fixed"/>
        <w:tblCellMar>
          <w:top w:w="240" w:type="dxa"/>
          <w:start w:w="300" w:type="dxa"/>
          <w:bottom w:w="240" w:type="dxa"/>
          <w:end w:w="300" w:type="dxa"/>
        </w:tblCellMar>
      </w:tblPr>
      <w:tblGrid>
        <w:gridCol w:w="10080"/>
      </w:tblGrid>
      <w:tr>
        <w:trPr/>
        <w:tc>
          <w:tcPr>
            <w:tcW w:w="10080" w:type="dxa"/>
            <w:tcBorders/>
            <w:shd w:fill="1F4E79" w:val="clear"/>
          </w:tcPr>
          <w:p>
            <w:pPr>
              <w:pStyle w:val="Normal"/>
              <w:spacing w:lineRule="auto" w:line="276" w:before="0" w:after="60"/>
              <w:rPr/>
            </w:pPr>
            <w:r>
              <w:rPr>
                <w:rFonts w:eastAsia="Calibri" w:cs="Calibri"/>
                <w:b/>
                <w:bCs/>
                <w:color w:val="CCE4F7"/>
                <w:spacing w:val="120"/>
                <w:sz w:val="18"/>
                <w:szCs w:val="18"/>
              </w:rPr>
              <w:t>EXECUTIVE SUMMARY</w:t>
            </w:r>
          </w:p>
          <w:p>
            <w:pPr>
              <w:pStyle w:val="Normal"/>
              <w:spacing w:lineRule="auto" w:line="276" w:before="0" w:after="80"/>
              <w:rPr/>
            </w:pPr>
            <w:r>
              <w:rPr>
                <w:rFonts w:eastAsia="Calibri" w:cs="Calibri"/>
                <w:b/>
                <w:bCs/>
                <w:color w:val="FFFFFF"/>
                <w:sz w:val="40"/>
                <w:szCs w:val="40"/>
              </w:rPr>
              <w:t>Product Line Profitability &amp; Margin Performance Analysis</w:t>
            </w:r>
          </w:p>
          <w:p>
            <w:pPr>
              <w:pStyle w:val="Normal"/>
              <w:spacing w:lineRule="auto" w:line="276" w:before="0" w:after="60"/>
              <w:rPr/>
            </w:pPr>
            <w:r>
              <w:rPr>
                <w:rFonts w:eastAsia="Calibri" w:cs="Calibri"/>
                <w:i/>
                <w:iCs/>
                <w:color w:val="A8D4F0"/>
                <w:sz w:val="24"/>
                <w:szCs w:val="24"/>
              </w:rPr>
              <w:t>Nassau Candy Distributor</w:t>
            </w:r>
          </w:p>
          <w:p>
            <w:pPr>
              <w:pStyle w:val="Normal"/>
              <w:rPr/>
            </w:pPr>
            <w:r>
              <w:rPr>
                <w:rFonts w:eastAsia="Calibri" w:cs="Calibri"/>
                <w:color w:val="CCE4F7"/>
                <w:sz w:val="18"/>
                <w:szCs w:val="18"/>
              </w:rPr>
              <w:t xml:space="preserve">Prepared by: </w:t>
            </w:r>
            <w:r>
              <w:rPr>
                <w:rFonts w:eastAsia="Calibri" w:cs="Calibri"/>
                <w:b/>
                <w:bCs/>
                <w:color w:val="FFFFFF"/>
                <w:sz w:val="18"/>
                <w:szCs w:val="18"/>
              </w:rPr>
              <w:t>Amrit Baruah</w:t>
            </w:r>
            <w:r>
              <w:rPr>
                <w:rFonts w:eastAsia="Calibri" w:cs="Calibri"/>
                <w:color w:val="CCE4F7"/>
                <w:sz w:val="18"/>
                <w:szCs w:val="18"/>
              </w:rPr>
              <w:t xml:space="preserve">     •     Date: </w:t>
            </w:r>
            <w:r>
              <w:rPr>
                <w:rFonts w:eastAsia="Calibri" w:cs="Calibri"/>
                <w:b/>
                <w:bCs/>
                <w:color w:val="FFFFFF"/>
                <w:sz w:val="18"/>
                <w:szCs w:val="18"/>
              </w:rPr>
              <w:t>202</w:t>
            </w:r>
            <w:r>
              <w:rPr>
                <w:rFonts w:eastAsia="Calibri" w:cs="Calibri"/>
                <w:b/>
                <w:bCs/>
                <w:color w:val="FFFFFF"/>
                <w:sz w:val="18"/>
                <w:szCs w:val="18"/>
              </w:rPr>
              <w:t>6</w:t>
            </w:r>
            <w:r>
              <w:rPr>
                <w:rFonts w:eastAsia="Calibri" w:cs="Calibri"/>
                <w:color w:val="CCE4F7"/>
                <w:sz w:val="18"/>
                <w:szCs w:val="18"/>
              </w:rPr>
              <w:t xml:space="preserve">     •     Unified Mentor Data Analyst Internship</w:t>
            </w:r>
          </w:p>
        </w:tc>
      </w:tr>
    </w:tbl>
    <w:p>
      <w:pPr>
        <w:pStyle w:val="Normal"/>
        <w:spacing w:lineRule="auto" w:line="276" w:before="0" w:after="0"/>
        <w:rPr/>
      </w:pPr>
      <w:r>
        <w:rPr/>
      </w:r>
    </w:p>
    <w:p>
      <w:pPr>
        <w:pStyle w:val="Normal"/>
        <w:spacing w:lineRule="auto" w:line="276" w:before="0" w:after="60"/>
        <w:rPr/>
      </w:pPr>
      <w:r>
        <w:rPr>
          <w:rFonts w:eastAsia="Calibri" w:cs="Calibri"/>
          <w:b/>
          <w:bCs/>
          <w:color w:val="2E74B5"/>
          <w:spacing w:val="100"/>
          <w:sz w:val="16"/>
          <w:szCs w:val="16"/>
        </w:rPr>
        <w:t>AT A GLANCE</w:t>
      </w:r>
    </w:p>
    <w:tbl>
      <w:tblPr>
        <w:tblW w:w="10080" w:type="dxa"/>
        <w:jc w:val="start"/>
        <w:tblInd w:w="0" w:type="dxa"/>
        <w:tblLayout w:type="fixed"/>
        <w:tblCellMar>
          <w:top w:w="160" w:type="dxa"/>
          <w:start w:w="200" w:type="dxa"/>
          <w:bottom w:w="160" w:type="dxa"/>
          <w:end w:w="200" w:type="dxa"/>
        </w:tblCellMar>
      </w:tblPr>
      <w:tblGrid>
        <w:gridCol w:w="3360"/>
        <w:gridCol w:w="3360"/>
        <w:gridCol w:w="3360"/>
      </w:tblGrid>
      <w:tr>
        <w:trPr/>
        <w:tc>
          <w:tcPr>
            <w:tcW w:w="3360" w:type="dxa"/>
            <w:tcBorders/>
            <w:shd w:fill="1F4E79" w:val="clear"/>
            <w:vAlign w:val="center"/>
          </w:tcPr>
          <w:p>
            <w:pPr>
              <w:pStyle w:val="Normal"/>
              <w:spacing w:lineRule="auto" w:line="276" w:before="0" w:after="40"/>
              <w:jc w:val="center"/>
              <w:rPr/>
            </w:pPr>
            <w:r>
              <w:rPr>
                <w:rFonts w:eastAsia="Calibri" w:cs="Calibri"/>
                <w:b/>
                <w:bCs/>
                <w:color w:val="FFFFFF"/>
                <w:sz w:val="52"/>
                <w:szCs w:val="52"/>
              </w:rPr>
              <w:t>~67%</w:t>
            </w:r>
          </w:p>
          <w:p>
            <w:pPr>
              <w:pStyle w:val="Normal"/>
              <w:spacing w:lineRule="auto" w:line="276" w:before="0" w:after="20"/>
              <w:jc w:val="center"/>
              <w:rPr/>
            </w:pPr>
            <w:r>
              <w:rPr>
                <w:rFonts w:eastAsia="Calibri" w:cs="Calibri"/>
                <w:b/>
                <w:bCs/>
                <w:color w:val="FFFFFF"/>
                <w:sz w:val="18"/>
                <w:szCs w:val="18"/>
              </w:rPr>
              <w:t>Portfolio Gross Margin</w:t>
            </w:r>
          </w:p>
          <w:p>
            <w:pPr>
              <w:pStyle w:val="Normal"/>
              <w:spacing w:lineRule="auto" w:line="276" w:before="0" w:after="0"/>
              <w:jc w:val="center"/>
              <w:rPr/>
            </w:pPr>
            <w:r>
              <w:rPr>
                <w:rFonts w:eastAsia="Calibri" w:cs="Calibri"/>
                <w:i/>
                <w:iCs/>
                <w:color w:val="CCE4F7"/>
                <w:sz w:val="16"/>
                <w:szCs w:val="16"/>
              </w:rPr>
              <w:t>Driven by Chocolate division</w:t>
            </w:r>
          </w:p>
        </w:tc>
        <w:tc>
          <w:tcPr>
            <w:tcW w:w="3360" w:type="dxa"/>
            <w:tcBorders/>
            <w:shd w:fill="2E74B5" w:val="clear"/>
            <w:vAlign w:val="center"/>
          </w:tcPr>
          <w:p>
            <w:pPr>
              <w:pStyle w:val="Normal"/>
              <w:spacing w:lineRule="auto" w:line="276" w:before="0" w:after="40"/>
              <w:jc w:val="center"/>
              <w:rPr/>
            </w:pPr>
            <w:r>
              <w:rPr>
                <w:rFonts w:eastAsia="Calibri" w:cs="Calibri"/>
                <w:b/>
                <w:bCs/>
                <w:color w:val="FFFFFF"/>
                <w:sz w:val="52"/>
                <w:szCs w:val="52"/>
              </w:rPr>
              <w:t>92.9%</w:t>
            </w:r>
          </w:p>
          <w:p>
            <w:pPr>
              <w:pStyle w:val="Normal"/>
              <w:spacing w:lineRule="auto" w:line="276" w:before="0" w:after="20"/>
              <w:jc w:val="center"/>
              <w:rPr/>
            </w:pPr>
            <w:r>
              <w:rPr>
                <w:rFonts w:eastAsia="Calibri" w:cs="Calibri"/>
                <w:b/>
                <w:bCs/>
                <w:color w:val="FFFFFF"/>
                <w:sz w:val="18"/>
                <w:szCs w:val="18"/>
              </w:rPr>
              <w:t>Revenue from Chocolate</w:t>
            </w:r>
          </w:p>
          <w:p>
            <w:pPr>
              <w:pStyle w:val="Normal"/>
              <w:spacing w:lineRule="auto" w:line="276" w:before="0" w:after="0"/>
              <w:jc w:val="center"/>
              <w:rPr/>
            </w:pPr>
            <w:r>
              <w:rPr>
                <w:rFonts w:eastAsia="Calibri" w:cs="Calibri"/>
                <w:i/>
                <w:iCs/>
                <w:color w:val="CCE4F7"/>
                <w:sz w:val="16"/>
                <w:szCs w:val="16"/>
              </w:rPr>
              <w:t>Dominant but over-concentrated</w:t>
            </w:r>
          </w:p>
        </w:tc>
        <w:tc>
          <w:tcPr>
            <w:tcW w:w="3360" w:type="dxa"/>
            <w:tcBorders/>
            <w:shd w:fill="2980B9" w:val="clear"/>
            <w:vAlign w:val="center"/>
          </w:tcPr>
          <w:p>
            <w:pPr>
              <w:pStyle w:val="Normal"/>
              <w:spacing w:lineRule="auto" w:line="276" w:before="0" w:after="40"/>
              <w:jc w:val="center"/>
              <w:rPr/>
            </w:pPr>
            <w:r>
              <w:rPr>
                <w:rFonts w:eastAsia="Calibri" w:cs="Calibri"/>
                <w:b/>
                <w:bCs/>
                <w:color w:val="FFFFFF"/>
                <w:sz w:val="52"/>
                <w:szCs w:val="52"/>
              </w:rPr>
              <w:t>1 in 3</w:t>
            </w:r>
          </w:p>
          <w:p>
            <w:pPr>
              <w:pStyle w:val="Normal"/>
              <w:spacing w:lineRule="auto" w:line="276" w:before="0" w:after="20"/>
              <w:jc w:val="center"/>
              <w:rPr/>
            </w:pPr>
            <w:r>
              <w:rPr>
                <w:rFonts w:eastAsia="Calibri" w:cs="Calibri"/>
                <w:b/>
                <w:bCs/>
                <w:color w:val="FFFFFF"/>
                <w:sz w:val="18"/>
                <w:szCs w:val="18"/>
              </w:rPr>
              <w:t>Divisions Underperforming</w:t>
            </w:r>
          </w:p>
          <w:p>
            <w:pPr>
              <w:pStyle w:val="Normal"/>
              <w:spacing w:lineRule="auto" w:line="276" w:before="0" w:after="0"/>
              <w:jc w:val="center"/>
              <w:rPr/>
            </w:pPr>
            <w:r>
              <w:rPr>
                <w:rFonts w:eastAsia="Calibri" w:cs="Calibri"/>
                <w:i/>
                <w:iCs/>
                <w:color w:val="CCE4F7"/>
                <w:sz w:val="16"/>
                <w:szCs w:val="16"/>
              </w:rPr>
              <w:t>'Other' division at 44.8% margin</w:t>
            </w:r>
          </w:p>
        </w:tc>
      </w:tr>
    </w:tbl>
    <w:p>
      <w:pPr>
        <w:pStyle w:val="Normal"/>
        <w:spacing w:lineRule="auto" w:line="276" w:before="0" w:after="0"/>
        <w:rPr/>
      </w:pPr>
      <w:r>
        <w:rPr/>
      </w:r>
    </w:p>
    <w:p>
      <w:pPr>
        <w:pStyle w:val="Normal"/>
        <w:pBdr>
          <w:left w:val="single" w:sz="18" w:space="8" w:color="2E74B5"/>
        </w:pBdr>
        <w:spacing w:lineRule="auto" w:line="276" w:before="160" w:after="60"/>
        <w:ind w:start="160"/>
        <w:rPr/>
      </w:pPr>
      <w:r>
        <w:rPr>
          <w:rFonts w:eastAsia="Calibri" w:cs="Calibri"/>
          <w:b/>
          <w:bCs/>
          <w:color w:val="1F4E79"/>
          <w:sz w:val="22"/>
          <w:szCs w:val="22"/>
        </w:rPr>
        <w:t>BUSINESS CONTEXT &amp; OBJECTIVE</w:t>
      </w:r>
    </w:p>
    <w:p>
      <w:pPr>
        <w:pStyle w:val="Normal"/>
        <w:spacing w:lineRule="auto" w:line="276" w:before="0" w:after="0"/>
        <w:rPr/>
      </w:pPr>
      <w:r>
        <w:rPr/>
      </w:r>
    </w:p>
    <w:p>
      <w:pPr>
        <w:pStyle w:val="Normal"/>
        <w:spacing w:lineRule="auto" w:line="281" w:before="60" w:after="60"/>
        <w:jc w:val="both"/>
        <w:rPr/>
      </w:pPr>
      <w:r>
        <w:rPr>
          <w:rFonts w:eastAsia="Calibri" w:cs="Calibri"/>
          <w:color w:val="222222"/>
          <w:sz w:val="20"/>
          <w:szCs w:val="20"/>
        </w:rPr>
        <w:t>Nassau Candy is one of the largest specialty confectionery distributors in the United States, managing a portfolio spanning thousands of SKUs across multiple product divisions. At that scale, the instinct to chase top-line revenue is understandable — but it can be dangerously misleading. A product that moves high volume may still be quietly draining profitability if its costs are high, its margins are thin, or its pricing hasn't kept pace with input costs.</w:t>
      </w:r>
    </w:p>
    <w:p>
      <w:pPr>
        <w:pStyle w:val="Normal"/>
        <w:spacing w:lineRule="auto" w:line="276" w:before="0" w:after="0"/>
        <w:rPr/>
      </w:pPr>
      <w:r>
        <w:rPr/>
      </w:r>
    </w:p>
    <w:p>
      <w:pPr>
        <w:pStyle w:val="Normal"/>
        <w:spacing w:lineRule="auto" w:line="281" w:before="60" w:after="60"/>
        <w:jc w:val="both"/>
        <w:rPr/>
      </w:pPr>
      <w:r>
        <w:rPr>
          <w:rFonts w:eastAsia="Calibri" w:cs="Calibri"/>
          <w:color w:val="222222"/>
          <w:sz w:val="20"/>
          <w:szCs w:val="20"/>
        </w:rPr>
        <w:t>The business lacked a clear, consolidated view of where profit was actually coming from. Without that visibility, decisions on pricing, product investment, and promotional strategy were being made on instinct rather than evidence. This analysis was commissioned to close that gap — to cut through the revenue noise and surface a clear picture of which products and divisions are genuinely driving financial value, and which ones are not.</w:t>
      </w:r>
    </w:p>
    <w:p>
      <w:pPr>
        <w:pStyle w:val="Normal"/>
        <w:spacing w:lineRule="auto" w:line="276" w:before="0" w:after="0"/>
        <w:rPr/>
      </w:pPr>
      <w:r>
        <w:rPr/>
      </w:r>
    </w:p>
    <w:p>
      <w:pPr>
        <w:pStyle w:val="Normal"/>
        <w:pBdr>
          <w:left w:val="single" w:sz="18" w:space="8" w:color="2E74B5"/>
        </w:pBdr>
        <w:spacing w:lineRule="auto" w:line="276" w:before="160" w:after="60"/>
        <w:ind w:start="160"/>
        <w:rPr/>
      </w:pPr>
      <w:r>
        <w:rPr>
          <w:rFonts w:eastAsia="Calibri" w:cs="Calibri"/>
          <w:b/>
          <w:bCs/>
          <w:color w:val="1F4E79"/>
          <w:sz w:val="22"/>
          <w:szCs w:val="22"/>
        </w:rPr>
        <w:t>HOW WE APPROACHED IT</w:t>
      </w:r>
    </w:p>
    <w:p>
      <w:pPr>
        <w:pStyle w:val="Normal"/>
        <w:spacing w:lineRule="auto" w:line="276" w:before="0" w:after="0"/>
        <w:rPr/>
      </w:pPr>
      <w:r>
        <w:rPr/>
      </w:r>
    </w:p>
    <w:p>
      <w:pPr>
        <w:pStyle w:val="Normal"/>
        <w:spacing w:lineRule="auto" w:line="281" w:before="60" w:after="60"/>
        <w:jc w:val="both"/>
        <w:rPr/>
      </w:pPr>
      <w:r>
        <w:rPr>
          <w:rFonts w:eastAsia="Calibri" w:cs="Calibri"/>
          <w:color w:val="222222"/>
          <w:sz w:val="20"/>
          <w:szCs w:val="20"/>
        </w:rPr>
        <w:t>The analysis was built on a comprehensive review of Nassau Candy's transactional sales records, covering over 10,000 individual orders across all product divisions. Rather than looking at revenue in isolation, we examined every order through a profitability lens — calculating the true margin each product generates after accounting for its manufacturing cost.</w:t>
      </w:r>
    </w:p>
    <w:p>
      <w:pPr>
        <w:pStyle w:val="Normal"/>
        <w:spacing w:lineRule="auto" w:line="276" w:before="0" w:after="0"/>
        <w:rPr/>
      </w:pPr>
      <w:r>
        <w:rPr/>
      </w:r>
    </w:p>
    <w:p>
      <w:pPr>
        <w:pStyle w:val="Normal"/>
        <w:spacing w:lineRule="auto" w:line="281" w:before="60" w:after="60"/>
        <w:jc w:val="both"/>
        <w:rPr/>
      </w:pPr>
      <w:r>
        <w:rPr>
          <w:rFonts w:eastAsia="Calibri" w:cs="Calibri"/>
          <w:color w:val="222222"/>
          <w:sz w:val="20"/>
          <w:szCs w:val="20"/>
        </w:rPr>
        <w:t>From there, we looked at the data through four distinct lenses: product-level performance (which items are most and least profitable), division-level efficiency (which categories punch above or below their weight), profit concentration (how dependent the business is on a small number of products), and cost structure (where high input costs are actively suppressing margins). The findings were then validated against patterns in the data before being translated into the recommendations that follow.</w:t>
      </w:r>
    </w:p>
    <w:p>
      <w:pPr>
        <w:pStyle w:val="Normal"/>
        <w:spacing w:lineRule="auto" w:line="276" w:before="0" w:after="0"/>
        <w:rPr/>
      </w:pPr>
      <w:r>
        <w:rPr/>
      </w:r>
    </w:p>
    <w:p>
      <w:pPr>
        <w:pStyle w:val="Normal"/>
        <w:pBdr>
          <w:left w:val="single" w:sz="18" w:space="8" w:color="2E74B5"/>
        </w:pBdr>
        <w:spacing w:lineRule="auto" w:line="276" w:before="160" w:after="60"/>
        <w:ind w:start="160"/>
        <w:rPr/>
      </w:pPr>
      <w:r>
        <w:rPr>
          <w:rFonts w:eastAsia="Calibri" w:cs="Calibri"/>
          <w:b/>
          <w:bCs/>
          <w:color w:val="1F4E79"/>
          <w:sz w:val="22"/>
          <w:szCs w:val="22"/>
        </w:rPr>
        <w:t>KEY FINDINGS</w:t>
      </w:r>
    </w:p>
    <w:p>
      <w:pPr>
        <w:pStyle w:val="Normal"/>
        <w:spacing w:lineRule="auto" w:line="276" w:before="0" w:after="0"/>
        <w:rPr/>
      </w:pPr>
      <w:r>
        <w:rPr/>
      </w:r>
    </w:p>
    <w:p>
      <w:pPr>
        <w:pStyle w:val="Normal"/>
        <w:spacing w:lineRule="auto" w:line="281" w:before="60" w:after="60"/>
        <w:jc w:val="both"/>
        <w:rPr/>
      </w:pPr>
      <w:r>
        <w:rPr>
          <w:rFonts w:eastAsia="Calibri" w:cs="Calibri"/>
          <w:b/>
          <w:bCs/>
          <w:color w:val="1F4E79"/>
          <w:sz w:val="20"/>
          <w:szCs w:val="20"/>
        </w:rPr>
        <w:t xml:space="preserve">The Chocolate division carries the business. </w:t>
      </w:r>
      <w:r>
        <w:rPr>
          <w:rFonts w:eastAsia="Calibri" w:cs="Calibri"/>
          <w:color w:val="222222"/>
          <w:sz w:val="20"/>
          <w:szCs w:val="20"/>
        </w:rPr>
        <w:t>It accounts for roughly 93% of total revenue and 95% of gross profit, with a gross margin of approximately 67%. Its profit contribution actually exceeds its revenue share — a strong signal that this division is not just big, it is genuinely efficient. The business runs on Chocolate, and that is worth both celebrating and protecting.</w:t>
      </w:r>
    </w:p>
    <w:p>
      <w:pPr>
        <w:pStyle w:val="Normal"/>
        <w:spacing w:lineRule="auto" w:line="276" w:before="0" w:after="0"/>
        <w:rPr/>
      </w:pPr>
      <w:r>
        <w:rPr/>
      </w:r>
    </w:p>
    <w:p>
      <w:pPr>
        <w:pStyle w:val="Normal"/>
        <w:spacing w:lineRule="auto" w:line="281" w:before="60" w:after="60"/>
        <w:jc w:val="both"/>
        <w:rPr/>
      </w:pPr>
      <w:r>
        <w:rPr>
          <w:rFonts w:eastAsia="Calibri" w:cs="Calibri"/>
          <w:b/>
          <w:bCs/>
          <w:color w:val="1F4E79"/>
          <w:sz w:val="20"/>
          <w:szCs w:val="20"/>
        </w:rPr>
        <w:t xml:space="preserve">High revenue does not mean high profit. </w:t>
      </w:r>
      <w:r>
        <w:rPr>
          <w:rFonts w:eastAsia="Calibri" w:cs="Calibri"/>
          <w:color w:val="222222"/>
          <w:sz w:val="20"/>
          <w:szCs w:val="20"/>
        </w:rPr>
        <w:t>Several products in the portfolio generate significant sales volume but deliver comparatively little margin. These are what analysts call volume traps — they look healthy on a revenue dashboard but quietly dilute overall profitability. Left unaddressed, they consume resources, warehouse space, and promotional budget without an equivalent return.</w:t>
      </w:r>
    </w:p>
    <w:p>
      <w:pPr>
        <w:pStyle w:val="Normal"/>
        <w:spacing w:lineRule="auto" w:line="276" w:before="0" w:after="0"/>
        <w:rPr/>
      </w:pPr>
      <w:r>
        <w:rPr/>
      </w:r>
    </w:p>
    <w:p>
      <w:pPr>
        <w:pStyle w:val="Normal"/>
        <w:spacing w:lineRule="auto" w:line="281" w:before="60" w:after="60"/>
        <w:jc w:val="both"/>
        <w:rPr/>
      </w:pPr>
      <w:r>
        <w:rPr>
          <w:rFonts w:eastAsia="Calibri" w:cs="Calibri"/>
          <w:b/>
          <w:bCs/>
          <w:color w:val="1F4E79"/>
          <w:sz w:val="20"/>
          <w:szCs w:val="20"/>
        </w:rPr>
        <w:t xml:space="preserve">The ‘Other’ division has a structural margin problem. </w:t>
      </w:r>
      <w:r>
        <w:rPr>
          <w:rFonts w:eastAsia="Calibri" w:cs="Calibri"/>
          <w:color w:val="222222"/>
          <w:sz w:val="20"/>
          <w:szCs w:val="20"/>
        </w:rPr>
        <w:t>With a gross margin of approximately 45% — more than 20 percentage points below Chocolate — the Other division generates about 6.8% of revenue but only 4.6% of profit. Its profit-to-revenue gap is negative, meaning it consistently underdelivers relative to the resources it consumes. This is not a temporary dip; it reflects a structural issue in either pricing, product mix, or cost management.</w:t>
      </w:r>
    </w:p>
    <w:p>
      <w:pPr>
        <w:pStyle w:val="Normal"/>
        <w:spacing w:lineRule="auto" w:line="276" w:before="0" w:after="0"/>
        <w:rPr/>
      </w:pPr>
      <w:r>
        <w:rPr/>
      </w:r>
    </w:p>
    <w:p>
      <w:pPr>
        <w:pStyle w:val="Normal"/>
        <w:spacing w:lineRule="auto" w:line="281" w:before="60" w:after="60"/>
        <w:jc w:val="both"/>
        <w:rPr/>
      </w:pPr>
      <w:r>
        <w:rPr>
          <w:rFonts w:eastAsia="Calibri" w:cs="Calibri"/>
          <w:b/>
          <w:bCs/>
          <w:color w:val="1F4E79"/>
          <w:sz w:val="20"/>
          <w:szCs w:val="20"/>
        </w:rPr>
        <w:t xml:space="preserve">Profit is dangerously concentrated. </w:t>
      </w:r>
      <w:r>
        <w:rPr>
          <w:rFonts w:eastAsia="Calibri" w:cs="Calibri"/>
          <w:color w:val="222222"/>
          <w:sz w:val="20"/>
          <w:szCs w:val="20"/>
        </w:rPr>
        <w:t>A Pareto analysis of the portfolio confirms that a small subset of products is responsible for the overwhelming majority of revenue and profit. While this makes strategic planning simpler in some respects, it creates real fragility: any disruption to a top-performing product — a supply issue, a pricing change, a competitor move — would have an outsized impact on the business.</w:t>
      </w:r>
    </w:p>
    <w:p>
      <w:pPr>
        <w:pStyle w:val="Normal"/>
        <w:spacing w:lineRule="auto" w:line="276" w:before="0" w:after="0"/>
        <w:rPr/>
      </w:pPr>
      <w:r>
        <w:rPr/>
      </w:r>
    </w:p>
    <w:p>
      <w:pPr>
        <w:pStyle w:val="Normal"/>
        <w:spacing w:lineRule="auto" w:line="281" w:before="60" w:after="60"/>
        <w:jc w:val="both"/>
        <w:rPr/>
      </w:pPr>
      <w:r>
        <w:rPr>
          <w:rFonts w:eastAsia="Calibri" w:cs="Calibri"/>
          <w:b/>
          <w:bCs/>
          <w:color w:val="1F4E79"/>
          <w:sz w:val="20"/>
          <w:szCs w:val="20"/>
        </w:rPr>
        <w:t xml:space="preserve">At least one product is operating near break-even. </w:t>
      </w:r>
      <w:r>
        <w:rPr>
          <w:rFonts w:eastAsia="Calibri" w:cs="Calibri"/>
          <w:color w:val="222222"/>
          <w:sz w:val="20"/>
          <w:szCs w:val="20"/>
        </w:rPr>
        <w:t>Kazookles, in the Other division, has a cost-to-revenue ratio of 0.92 — meaning 92 cents of every dollar it earns goes straight back out in manufacturing cost, leaving a gross margin of less than 8%. This product is a cost renegotiation or repricing priority.</w:t>
      </w:r>
    </w:p>
    <w:p>
      <w:pPr>
        <w:pStyle w:val="Normal"/>
        <w:spacing w:lineRule="auto" w:line="276" w:before="0" w:after="0"/>
        <w:rPr/>
      </w:pPr>
      <w:r>
        <w:rPr/>
      </w:r>
    </w:p>
    <w:p>
      <w:pPr>
        <w:pStyle w:val="Normal"/>
        <w:pBdr>
          <w:left w:val="single" w:sz="18" w:space="8" w:color="2E74B5"/>
        </w:pBdr>
        <w:spacing w:lineRule="auto" w:line="276" w:before="160" w:after="60"/>
        <w:ind w:start="160"/>
        <w:rPr/>
      </w:pPr>
      <w:r>
        <w:rPr>
          <w:rFonts w:eastAsia="Calibri" w:cs="Calibri"/>
          <w:b/>
          <w:bCs/>
          <w:color w:val="1F4E79"/>
          <w:sz w:val="22"/>
          <w:szCs w:val="22"/>
        </w:rPr>
        <w:t>WHAT THIS MEANS FOR THE BUSINESS</w:t>
      </w:r>
    </w:p>
    <w:p>
      <w:pPr>
        <w:pStyle w:val="Normal"/>
        <w:spacing w:lineRule="auto" w:line="276" w:before="0" w:after="0"/>
        <w:rPr/>
      </w:pPr>
      <w:r>
        <w:rPr/>
      </w:r>
    </w:p>
    <w:p>
      <w:pPr>
        <w:pStyle w:val="Normal"/>
        <w:spacing w:lineRule="auto" w:line="281" w:before="60" w:after="60"/>
        <w:jc w:val="both"/>
        <w:rPr/>
      </w:pPr>
      <w:r>
        <w:rPr>
          <w:rFonts w:eastAsia="Calibri" w:cs="Calibri"/>
          <w:color w:val="222222"/>
          <w:sz w:val="20"/>
          <w:szCs w:val="20"/>
        </w:rPr>
        <w:t>The core message from this analysis is straightforward: Nassau Candy is profitable — but it is carrying more risk than its revenue figures suggest. The business is highly dependent on one division and a handful of products. That is fine as a current reality, but it is a vulnerability if it remains the long-term strategy.</w:t>
      </w:r>
    </w:p>
    <w:p>
      <w:pPr>
        <w:pStyle w:val="Normal"/>
        <w:spacing w:lineRule="auto" w:line="276" w:before="0" w:after="0"/>
        <w:rPr/>
      </w:pPr>
      <w:r>
        <w:rPr/>
      </w:r>
    </w:p>
    <w:p>
      <w:pPr>
        <w:pStyle w:val="Normal"/>
        <w:spacing w:lineRule="auto" w:line="281" w:before="60" w:after="60"/>
        <w:jc w:val="both"/>
        <w:rPr/>
      </w:pPr>
      <w:r>
        <w:rPr>
          <w:rFonts w:eastAsia="Calibri" w:cs="Calibri"/>
          <w:color w:val="222222"/>
          <w:sz w:val="20"/>
          <w:szCs w:val="20"/>
        </w:rPr>
        <w:t>Every percentage point of margin recaptured through better pricing or cost renegotiation flows directly to the bottom line. For a business operating at scale, even modest improvements across a portfolio of underperforming products translate to material profitability gains. Conversely, continuing to invest in high-volume, low-margin products without intervention means those products will keep diluting returns — sometimes invisibly.</w:t>
      </w:r>
    </w:p>
    <w:p>
      <w:pPr>
        <w:pStyle w:val="Normal"/>
        <w:spacing w:lineRule="auto" w:line="276" w:before="0" w:after="0"/>
        <w:rPr/>
      </w:pPr>
      <w:r>
        <w:rPr/>
      </w:r>
    </w:p>
    <w:p>
      <w:pPr>
        <w:pStyle w:val="Normal"/>
        <w:pBdr>
          <w:left w:val="single" w:sz="18" w:space="8" w:color="2E74B5"/>
        </w:pBdr>
        <w:spacing w:lineRule="auto" w:line="276" w:before="160" w:after="60"/>
        <w:ind w:start="160"/>
        <w:rPr/>
      </w:pPr>
      <w:r>
        <w:rPr>
          <w:rFonts w:eastAsia="Calibri" w:cs="Calibri"/>
          <w:b/>
          <w:bCs/>
          <w:color w:val="1F4E79"/>
          <w:sz w:val="22"/>
          <w:szCs w:val="22"/>
        </w:rPr>
        <w:t>STRATEGIC RECOMMENDATIONS</w:t>
      </w:r>
    </w:p>
    <w:p>
      <w:pPr>
        <w:pStyle w:val="Normal"/>
        <w:spacing w:lineRule="auto" w:line="276" w:before="0" w:after="0"/>
        <w:rPr/>
      </w:pPr>
      <w:r>
        <w:rPr/>
      </w:r>
    </w:p>
    <w:tbl>
      <w:tblPr>
        <w:tblW w:w="10080" w:type="dxa"/>
        <w:jc w:val="start"/>
        <w:tblInd w:w="0" w:type="dxa"/>
        <w:tblLayout w:type="fixed"/>
        <w:tblCellMar>
          <w:top w:w="100" w:type="dxa"/>
          <w:start w:w="120" w:type="dxa"/>
          <w:bottom w:w="100" w:type="dxa"/>
          <w:end w:w="60" w:type="dxa"/>
        </w:tblCellMar>
      </w:tblPr>
      <w:tblGrid>
        <w:gridCol w:w="599"/>
        <w:gridCol w:w="1201"/>
        <w:gridCol w:w="8280"/>
      </w:tblGrid>
      <w:tr>
        <w:trPr/>
        <w:tc>
          <w:tcPr>
            <w:tcW w:w="599" w:type="dxa"/>
            <w:tcBorders/>
            <w:shd w:fill="1F4E79" w:val="clear"/>
            <w:vAlign w:val="center"/>
          </w:tcPr>
          <w:p>
            <w:pPr>
              <w:pStyle w:val="Normal"/>
              <w:jc w:val="center"/>
              <w:rPr/>
            </w:pPr>
            <w:r>
              <w:rPr>
                <w:rFonts w:eastAsia="Calibri" w:cs="Calibri"/>
                <w:b/>
                <w:bCs/>
                <w:color w:val="FFFFFF"/>
                <w:sz w:val="32"/>
                <w:szCs w:val="32"/>
              </w:rPr>
              <w:t>01</w:t>
            </w:r>
          </w:p>
        </w:tc>
        <w:tc>
          <w:tcPr>
            <w:tcW w:w="1201" w:type="dxa"/>
            <w:tcBorders/>
            <w:shd w:fill="FFF0F0" w:val="clear"/>
            <w:tcMar>
              <w:end w:w="120" w:type="dxa"/>
            </w:tcMar>
            <w:vAlign w:val="center"/>
          </w:tcPr>
          <w:p>
            <w:pPr>
              <w:pStyle w:val="Normal"/>
              <w:spacing w:lineRule="auto" w:line="276" w:before="0" w:after="30"/>
              <w:jc w:val="center"/>
              <w:rPr/>
            </w:pPr>
            <w:r>
              <w:rPr>
                <w:rFonts w:eastAsia="Calibri" w:cs="Calibri"/>
                <w:b/>
                <w:bCs/>
                <w:color w:val="C00000"/>
                <w:sz w:val="14"/>
                <w:szCs w:val="14"/>
              </w:rPr>
              <w:t>IMMEDIATE</w:t>
            </w:r>
          </w:p>
          <w:p>
            <w:pPr>
              <w:pStyle w:val="Normal"/>
              <w:jc w:val="center"/>
              <w:rPr/>
            </w:pPr>
            <w:r>
              <w:rPr>
                <w:rFonts w:eastAsia="Calibri" w:cs="Calibri"/>
                <w:b/>
                <w:bCs/>
                <w:color w:val="333333"/>
                <w:sz w:val="17"/>
                <w:szCs w:val="17"/>
              </w:rPr>
              <w:t>Protect Top Performers</w:t>
            </w:r>
          </w:p>
        </w:tc>
        <w:tc>
          <w:tcPr>
            <w:tcW w:w="8280" w:type="dxa"/>
            <w:tcBorders/>
            <w:shd w:fill="F2F7FB" w:val="clear"/>
            <w:tcMar>
              <w:start w:w="160" w:type="dxa"/>
              <w:end w:w="120" w:type="dxa"/>
            </w:tcMar>
            <w:vAlign w:val="center"/>
          </w:tcPr>
          <w:p>
            <w:pPr>
              <w:pStyle w:val="Normal"/>
              <w:jc w:val="both"/>
              <w:rPr/>
            </w:pPr>
            <w:r>
              <w:rPr>
                <w:rFonts w:eastAsia="Calibri" w:cs="Calibri"/>
                <w:color w:val="333333"/>
                <w:sz w:val="18"/>
                <w:szCs w:val="18"/>
              </w:rPr>
              <w:t>Prioritize investment, inventory, and promotion for Star products — those with both high revenue and strong margins. These are the financial engine of the portfolio and should not be treated as guaranteed.</w:t>
            </w:r>
          </w:p>
        </w:tc>
      </w:tr>
    </w:tbl>
    <w:p>
      <w:pPr>
        <w:pStyle w:val="Normal"/>
        <w:spacing w:lineRule="auto" w:line="276" w:before="0" w:after="0"/>
        <w:rPr/>
      </w:pPr>
      <w:r>
        <w:rPr/>
      </w:r>
    </w:p>
    <w:tbl>
      <w:tblPr>
        <w:tblW w:w="10080" w:type="dxa"/>
        <w:jc w:val="start"/>
        <w:tblInd w:w="0" w:type="dxa"/>
        <w:tblLayout w:type="fixed"/>
        <w:tblCellMar>
          <w:top w:w="100" w:type="dxa"/>
          <w:start w:w="120" w:type="dxa"/>
          <w:bottom w:w="100" w:type="dxa"/>
          <w:end w:w="60" w:type="dxa"/>
        </w:tblCellMar>
      </w:tblPr>
      <w:tblGrid>
        <w:gridCol w:w="599"/>
        <w:gridCol w:w="1201"/>
        <w:gridCol w:w="8280"/>
      </w:tblGrid>
      <w:tr>
        <w:trPr/>
        <w:tc>
          <w:tcPr>
            <w:tcW w:w="599" w:type="dxa"/>
            <w:tcBorders/>
            <w:shd w:fill="1F4E79" w:val="clear"/>
            <w:vAlign w:val="center"/>
          </w:tcPr>
          <w:p>
            <w:pPr>
              <w:pStyle w:val="Normal"/>
              <w:jc w:val="center"/>
              <w:rPr/>
            </w:pPr>
            <w:r>
              <w:rPr>
                <w:rFonts w:eastAsia="Calibri" w:cs="Calibri"/>
                <w:b/>
                <w:bCs/>
                <w:color w:val="FFFFFF"/>
                <w:sz w:val="32"/>
                <w:szCs w:val="32"/>
              </w:rPr>
              <w:t>02</w:t>
            </w:r>
          </w:p>
        </w:tc>
        <w:tc>
          <w:tcPr>
            <w:tcW w:w="1201" w:type="dxa"/>
            <w:tcBorders/>
            <w:shd w:fill="FFF0F0" w:val="clear"/>
            <w:tcMar>
              <w:end w:w="120" w:type="dxa"/>
            </w:tcMar>
            <w:vAlign w:val="center"/>
          </w:tcPr>
          <w:p>
            <w:pPr>
              <w:pStyle w:val="Normal"/>
              <w:spacing w:lineRule="auto" w:line="276" w:before="0" w:after="30"/>
              <w:jc w:val="center"/>
              <w:rPr/>
            </w:pPr>
            <w:r>
              <w:rPr>
                <w:rFonts w:eastAsia="Calibri" w:cs="Calibri"/>
                <w:b/>
                <w:bCs/>
                <w:color w:val="C00000"/>
                <w:sz w:val="14"/>
                <w:szCs w:val="14"/>
              </w:rPr>
              <w:t>IMMEDIATE</w:t>
            </w:r>
          </w:p>
          <w:p>
            <w:pPr>
              <w:pStyle w:val="Normal"/>
              <w:jc w:val="center"/>
              <w:rPr/>
            </w:pPr>
            <w:r>
              <w:rPr>
                <w:rFonts w:eastAsia="Calibri" w:cs="Calibri"/>
                <w:b/>
                <w:bCs/>
                <w:color w:val="333333"/>
                <w:sz w:val="17"/>
                <w:szCs w:val="17"/>
              </w:rPr>
              <w:t>Address Volume Traps</w:t>
            </w:r>
          </w:p>
        </w:tc>
        <w:tc>
          <w:tcPr>
            <w:tcW w:w="8280" w:type="dxa"/>
            <w:tcBorders/>
            <w:shd w:fill="F2F7FB" w:val="clear"/>
            <w:tcMar>
              <w:start w:w="160" w:type="dxa"/>
              <w:end w:w="120" w:type="dxa"/>
            </w:tcMar>
            <w:vAlign w:val="center"/>
          </w:tcPr>
          <w:p>
            <w:pPr>
              <w:pStyle w:val="Normal"/>
              <w:jc w:val="both"/>
              <w:rPr/>
            </w:pPr>
            <w:r>
              <w:rPr>
                <w:rFonts w:eastAsia="Calibri" w:cs="Calibri"/>
                <w:color w:val="333333"/>
                <w:sz w:val="18"/>
                <w:szCs w:val="18"/>
              </w:rPr>
              <w:t>Identify products with strong sales but weak margins and evaluate each for repricing. If pricing flexibility is limited by market dynamics, consider scaling back volume to stop margin dilution.</w:t>
            </w:r>
          </w:p>
        </w:tc>
      </w:tr>
    </w:tbl>
    <w:p>
      <w:pPr>
        <w:pStyle w:val="Normal"/>
        <w:spacing w:lineRule="auto" w:line="276" w:before="0" w:after="0"/>
        <w:rPr/>
      </w:pPr>
      <w:r>
        <w:rPr/>
      </w:r>
    </w:p>
    <w:tbl>
      <w:tblPr>
        <w:tblW w:w="10080" w:type="dxa"/>
        <w:jc w:val="start"/>
        <w:tblInd w:w="0" w:type="dxa"/>
        <w:tblLayout w:type="fixed"/>
        <w:tblCellMar>
          <w:top w:w="100" w:type="dxa"/>
          <w:start w:w="120" w:type="dxa"/>
          <w:bottom w:w="100" w:type="dxa"/>
          <w:end w:w="60" w:type="dxa"/>
        </w:tblCellMar>
      </w:tblPr>
      <w:tblGrid>
        <w:gridCol w:w="599"/>
        <w:gridCol w:w="1201"/>
        <w:gridCol w:w="8280"/>
      </w:tblGrid>
      <w:tr>
        <w:trPr/>
        <w:tc>
          <w:tcPr>
            <w:tcW w:w="599" w:type="dxa"/>
            <w:tcBorders/>
            <w:shd w:fill="1F4E79" w:val="clear"/>
            <w:vAlign w:val="center"/>
          </w:tcPr>
          <w:p>
            <w:pPr>
              <w:pStyle w:val="Normal"/>
              <w:jc w:val="center"/>
              <w:rPr/>
            </w:pPr>
            <w:r>
              <w:rPr>
                <w:rFonts w:eastAsia="Calibri" w:cs="Calibri"/>
                <w:b/>
                <w:bCs/>
                <w:color w:val="FFFFFF"/>
                <w:sz w:val="32"/>
                <w:szCs w:val="32"/>
              </w:rPr>
              <w:t>03</w:t>
            </w:r>
          </w:p>
        </w:tc>
        <w:tc>
          <w:tcPr>
            <w:tcW w:w="1201" w:type="dxa"/>
            <w:tcBorders/>
            <w:shd w:fill="FFF0F0" w:val="clear"/>
            <w:tcMar>
              <w:end w:w="120" w:type="dxa"/>
            </w:tcMar>
            <w:vAlign w:val="center"/>
          </w:tcPr>
          <w:p>
            <w:pPr>
              <w:pStyle w:val="Normal"/>
              <w:spacing w:lineRule="auto" w:line="276" w:before="0" w:after="30"/>
              <w:jc w:val="center"/>
              <w:rPr/>
            </w:pPr>
            <w:r>
              <w:rPr>
                <w:rFonts w:eastAsia="Calibri" w:cs="Calibri"/>
                <w:b/>
                <w:bCs/>
                <w:color w:val="C00000"/>
                <w:sz w:val="14"/>
                <w:szCs w:val="14"/>
              </w:rPr>
              <w:t>IMMEDIATE</w:t>
            </w:r>
          </w:p>
          <w:p>
            <w:pPr>
              <w:pStyle w:val="Normal"/>
              <w:jc w:val="center"/>
              <w:rPr/>
            </w:pPr>
            <w:r>
              <w:rPr>
                <w:rFonts w:eastAsia="Calibri" w:cs="Calibri"/>
                <w:b/>
                <w:bCs/>
                <w:color w:val="333333"/>
                <w:sz w:val="17"/>
                <w:szCs w:val="17"/>
              </w:rPr>
              <w:t>Fix Kazookles — Fast</w:t>
            </w:r>
          </w:p>
        </w:tc>
        <w:tc>
          <w:tcPr>
            <w:tcW w:w="8280" w:type="dxa"/>
            <w:tcBorders/>
            <w:shd w:fill="F2F7FB" w:val="clear"/>
            <w:tcMar>
              <w:start w:w="160" w:type="dxa"/>
              <w:end w:w="120" w:type="dxa"/>
            </w:tcMar>
            <w:vAlign w:val="center"/>
          </w:tcPr>
          <w:p>
            <w:pPr>
              <w:pStyle w:val="Normal"/>
              <w:jc w:val="both"/>
              <w:rPr/>
            </w:pPr>
            <w:r>
              <w:rPr>
                <w:rFonts w:eastAsia="Calibri" w:cs="Calibri"/>
                <w:color w:val="333333"/>
                <w:sz w:val="18"/>
                <w:szCs w:val="18"/>
              </w:rPr>
              <w:t>With a 92% cost ratio, Kazookles needs immediate attention. Begin supplier cost renegotiation, review pricing, or assess whether the product justifies its place in the portfolio at current economics.</w:t>
            </w:r>
          </w:p>
        </w:tc>
      </w:tr>
    </w:tbl>
    <w:p>
      <w:pPr>
        <w:pStyle w:val="Normal"/>
        <w:spacing w:lineRule="auto" w:line="276" w:before="0" w:after="0"/>
        <w:rPr/>
      </w:pPr>
      <w:r>
        <w:rPr/>
      </w:r>
    </w:p>
    <w:tbl>
      <w:tblPr>
        <w:tblW w:w="10080" w:type="dxa"/>
        <w:jc w:val="start"/>
        <w:tblInd w:w="0" w:type="dxa"/>
        <w:tblLayout w:type="fixed"/>
        <w:tblCellMar>
          <w:top w:w="100" w:type="dxa"/>
          <w:start w:w="120" w:type="dxa"/>
          <w:bottom w:w="100" w:type="dxa"/>
          <w:end w:w="60" w:type="dxa"/>
        </w:tblCellMar>
      </w:tblPr>
      <w:tblGrid>
        <w:gridCol w:w="599"/>
        <w:gridCol w:w="1201"/>
        <w:gridCol w:w="8280"/>
      </w:tblGrid>
      <w:tr>
        <w:trPr/>
        <w:tc>
          <w:tcPr>
            <w:tcW w:w="599" w:type="dxa"/>
            <w:tcBorders/>
            <w:shd w:fill="1F4E79" w:val="clear"/>
            <w:vAlign w:val="center"/>
          </w:tcPr>
          <w:p>
            <w:pPr>
              <w:pStyle w:val="Normal"/>
              <w:jc w:val="center"/>
              <w:rPr/>
            </w:pPr>
            <w:r>
              <w:rPr>
                <w:rFonts w:eastAsia="Calibri" w:cs="Calibri"/>
                <w:b/>
                <w:bCs/>
                <w:color w:val="FFFFFF"/>
                <w:sz w:val="32"/>
                <w:szCs w:val="32"/>
              </w:rPr>
              <w:t>04</w:t>
            </w:r>
          </w:p>
        </w:tc>
        <w:tc>
          <w:tcPr>
            <w:tcW w:w="1201" w:type="dxa"/>
            <w:tcBorders/>
            <w:shd w:fill="FFFBF0" w:val="clear"/>
            <w:tcMar>
              <w:end w:w="120" w:type="dxa"/>
            </w:tcMar>
            <w:vAlign w:val="center"/>
          </w:tcPr>
          <w:p>
            <w:pPr>
              <w:pStyle w:val="Normal"/>
              <w:spacing w:lineRule="auto" w:line="276" w:before="0" w:after="30"/>
              <w:jc w:val="center"/>
              <w:rPr/>
            </w:pPr>
            <w:r>
              <w:rPr>
                <w:rFonts w:eastAsia="Calibri" w:cs="Calibri"/>
                <w:b/>
                <w:bCs/>
                <w:color w:val="C8960C"/>
                <w:sz w:val="14"/>
                <w:szCs w:val="14"/>
              </w:rPr>
              <w:t>NEAR-TERM</w:t>
            </w:r>
          </w:p>
          <w:p>
            <w:pPr>
              <w:pStyle w:val="Normal"/>
              <w:jc w:val="center"/>
              <w:rPr/>
            </w:pPr>
            <w:r>
              <w:rPr>
                <w:rFonts w:eastAsia="Calibri" w:cs="Calibri"/>
                <w:b/>
                <w:bCs/>
                <w:color w:val="333333"/>
                <w:sz w:val="17"/>
                <w:szCs w:val="17"/>
              </w:rPr>
              <w:t>Audit the Other Division</w:t>
            </w:r>
          </w:p>
        </w:tc>
        <w:tc>
          <w:tcPr>
            <w:tcW w:w="8280" w:type="dxa"/>
            <w:tcBorders/>
            <w:shd w:fill="F2F7FB" w:val="clear"/>
            <w:tcMar>
              <w:start w:w="160" w:type="dxa"/>
              <w:end w:w="120" w:type="dxa"/>
            </w:tcMar>
            <w:vAlign w:val="center"/>
          </w:tcPr>
          <w:p>
            <w:pPr>
              <w:pStyle w:val="Normal"/>
              <w:jc w:val="both"/>
              <w:rPr/>
            </w:pPr>
            <w:r>
              <w:rPr>
                <w:rFonts w:eastAsia="Calibri" w:cs="Calibri"/>
                <w:color w:val="333333"/>
                <w:sz w:val="18"/>
                <w:szCs w:val="18"/>
              </w:rPr>
              <w:t>Commission a focused review of the Other division's cost base and pricing structure. The 20+ point margin gap versus Chocolate is too wide to be explained by product mix alone and warrants a proper commercial audit.</w:t>
            </w:r>
          </w:p>
        </w:tc>
      </w:tr>
    </w:tbl>
    <w:p>
      <w:pPr>
        <w:pStyle w:val="Normal"/>
        <w:spacing w:lineRule="auto" w:line="276" w:before="0" w:after="0"/>
        <w:rPr/>
      </w:pPr>
      <w:r>
        <w:rPr/>
      </w:r>
    </w:p>
    <w:tbl>
      <w:tblPr>
        <w:tblW w:w="10080" w:type="dxa"/>
        <w:jc w:val="start"/>
        <w:tblInd w:w="0" w:type="dxa"/>
        <w:tblLayout w:type="fixed"/>
        <w:tblCellMar>
          <w:top w:w="100" w:type="dxa"/>
          <w:start w:w="120" w:type="dxa"/>
          <w:bottom w:w="100" w:type="dxa"/>
          <w:end w:w="60" w:type="dxa"/>
        </w:tblCellMar>
      </w:tblPr>
      <w:tblGrid>
        <w:gridCol w:w="599"/>
        <w:gridCol w:w="1201"/>
        <w:gridCol w:w="8280"/>
      </w:tblGrid>
      <w:tr>
        <w:trPr/>
        <w:tc>
          <w:tcPr>
            <w:tcW w:w="599" w:type="dxa"/>
            <w:tcBorders/>
            <w:shd w:fill="1F4E79" w:val="clear"/>
            <w:vAlign w:val="center"/>
          </w:tcPr>
          <w:p>
            <w:pPr>
              <w:pStyle w:val="Normal"/>
              <w:jc w:val="center"/>
              <w:rPr/>
            </w:pPr>
            <w:r>
              <w:rPr>
                <w:rFonts w:eastAsia="Calibri" w:cs="Calibri"/>
                <w:b/>
                <w:bCs/>
                <w:color w:val="FFFFFF"/>
                <w:sz w:val="32"/>
                <w:szCs w:val="32"/>
              </w:rPr>
              <w:t>05</w:t>
            </w:r>
          </w:p>
        </w:tc>
        <w:tc>
          <w:tcPr>
            <w:tcW w:w="1201" w:type="dxa"/>
            <w:tcBorders/>
            <w:shd w:fill="FFFBF0" w:val="clear"/>
            <w:tcMar>
              <w:end w:w="120" w:type="dxa"/>
            </w:tcMar>
            <w:vAlign w:val="center"/>
          </w:tcPr>
          <w:p>
            <w:pPr>
              <w:pStyle w:val="Normal"/>
              <w:spacing w:lineRule="auto" w:line="276" w:before="0" w:after="30"/>
              <w:jc w:val="center"/>
              <w:rPr/>
            </w:pPr>
            <w:r>
              <w:rPr>
                <w:rFonts w:eastAsia="Calibri" w:cs="Calibri"/>
                <w:b/>
                <w:bCs/>
                <w:color w:val="C8960C"/>
                <w:sz w:val="14"/>
                <w:szCs w:val="14"/>
              </w:rPr>
              <w:t>NEAR-TERM</w:t>
            </w:r>
          </w:p>
          <w:p>
            <w:pPr>
              <w:pStyle w:val="Normal"/>
              <w:jc w:val="center"/>
              <w:rPr/>
            </w:pPr>
            <w:r>
              <w:rPr>
                <w:rFonts w:eastAsia="Calibri" w:cs="Calibri"/>
                <w:b/>
                <w:bCs/>
                <w:color w:val="333333"/>
                <w:sz w:val="17"/>
                <w:szCs w:val="17"/>
              </w:rPr>
              <w:t>Reduce Concentration Risk</w:t>
            </w:r>
          </w:p>
        </w:tc>
        <w:tc>
          <w:tcPr>
            <w:tcW w:w="8280" w:type="dxa"/>
            <w:tcBorders/>
            <w:shd w:fill="F2F7FB" w:val="clear"/>
            <w:tcMar>
              <w:start w:w="160" w:type="dxa"/>
              <w:end w:w="120" w:type="dxa"/>
            </w:tcMar>
            <w:vAlign w:val="center"/>
          </w:tcPr>
          <w:p>
            <w:pPr>
              <w:pStyle w:val="Normal"/>
              <w:jc w:val="both"/>
              <w:rPr/>
            </w:pPr>
            <w:r>
              <w:rPr>
                <w:rFonts w:eastAsia="Calibri" w:cs="Calibri"/>
                <w:color w:val="333333"/>
                <w:sz w:val="18"/>
                <w:szCs w:val="18"/>
              </w:rPr>
              <w:t>Actively develop margin-positive products in the Sugar and Other divisions. The current over-reliance on Chocolate creates portfolio fragility that a more balanced product development strategy can address over time.</w:t>
            </w:r>
          </w:p>
        </w:tc>
      </w:tr>
    </w:tbl>
    <w:p>
      <w:pPr>
        <w:pStyle w:val="Normal"/>
        <w:spacing w:lineRule="auto" w:line="276" w:before="0" w:after="0"/>
        <w:rPr/>
      </w:pPr>
      <w:r>
        <w:rPr/>
      </w:r>
    </w:p>
    <w:tbl>
      <w:tblPr>
        <w:tblW w:w="10080" w:type="dxa"/>
        <w:jc w:val="start"/>
        <w:tblInd w:w="0" w:type="dxa"/>
        <w:tblLayout w:type="fixed"/>
        <w:tblCellMar>
          <w:top w:w="100" w:type="dxa"/>
          <w:start w:w="120" w:type="dxa"/>
          <w:bottom w:w="100" w:type="dxa"/>
          <w:end w:w="60" w:type="dxa"/>
        </w:tblCellMar>
      </w:tblPr>
      <w:tblGrid>
        <w:gridCol w:w="599"/>
        <w:gridCol w:w="1201"/>
        <w:gridCol w:w="8280"/>
      </w:tblGrid>
      <w:tr>
        <w:trPr/>
        <w:tc>
          <w:tcPr>
            <w:tcW w:w="599" w:type="dxa"/>
            <w:tcBorders/>
            <w:shd w:fill="1F4E79" w:val="clear"/>
            <w:vAlign w:val="center"/>
          </w:tcPr>
          <w:p>
            <w:pPr>
              <w:pStyle w:val="Normal"/>
              <w:jc w:val="center"/>
              <w:rPr/>
            </w:pPr>
            <w:r>
              <w:rPr>
                <w:rFonts w:eastAsia="Calibri" w:cs="Calibri"/>
                <w:b/>
                <w:bCs/>
                <w:color w:val="FFFFFF"/>
                <w:sz w:val="32"/>
                <w:szCs w:val="32"/>
              </w:rPr>
              <w:t>06</w:t>
            </w:r>
          </w:p>
        </w:tc>
        <w:tc>
          <w:tcPr>
            <w:tcW w:w="1201" w:type="dxa"/>
            <w:tcBorders/>
            <w:shd w:fill="F0FFF4" w:val="clear"/>
            <w:tcMar>
              <w:end w:w="120" w:type="dxa"/>
            </w:tcMar>
            <w:vAlign w:val="center"/>
          </w:tcPr>
          <w:p>
            <w:pPr>
              <w:pStyle w:val="Normal"/>
              <w:spacing w:lineRule="auto" w:line="276" w:before="0" w:after="30"/>
              <w:jc w:val="center"/>
              <w:rPr/>
            </w:pPr>
            <w:r>
              <w:rPr>
                <w:rFonts w:eastAsia="Calibri" w:cs="Calibri"/>
                <w:b/>
                <w:bCs/>
                <w:color w:val="375623"/>
                <w:sz w:val="14"/>
                <w:szCs w:val="14"/>
              </w:rPr>
              <w:t>ONGOING</w:t>
            </w:r>
          </w:p>
          <w:p>
            <w:pPr>
              <w:pStyle w:val="Normal"/>
              <w:jc w:val="center"/>
              <w:rPr/>
            </w:pPr>
            <w:r>
              <w:rPr>
                <w:rFonts w:eastAsia="Calibri" w:cs="Calibri"/>
                <w:b/>
                <w:bCs/>
                <w:color w:val="333333"/>
                <w:sz w:val="17"/>
                <w:szCs w:val="17"/>
              </w:rPr>
              <w:t>Build a Margin Monitoring Habit</w:t>
            </w:r>
          </w:p>
        </w:tc>
        <w:tc>
          <w:tcPr>
            <w:tcW w:w="8280" w:type="dxa"/>
            <w:tcBorders/>
            <w:shd w:fill="F2F7FB" w:val="clear"/>
            <w:tcMar>
              <w:start w:w="160" w:type="dxa"/>
              <w:end w:w="120" w:type="dxa"/>
            </w:tcMar>
            <w:vAlign w:val="center"/>
          </w:tcPr>
          <w:p>
            <w:pPr>
              <w:pStyle w:val="Normal"/>
              <w:jc w:val="both"/>
              <w:rPr/>
            </w:pPr>
            <w:r>
              <w:rPr>
                <w:rFonts w:eastAsia="Calibri" w:cs="Calibri"/>
                <w:color w:val="333333"/>
                <w:sz w:val="18"/>
                <w:szCs w:val="18"/>
              </w:rPr>
              <w:t>Implement regular margin reporting at the product and division level — ideally monthly. Early visibility into margin erosion allows for timely intervention before problems compound.</w:t>
            </w:r>
          </w:p>
        </w:tc>
      </w:tr>
    </w:tbl>
    <w:p>
      <w:pPr>
        <w:pStyle w:val="Normal"/>
        <w:spacing w:lineRule="auto" w:line="276" w:before="0" w:after="0"/>
        <w:rPr/>
      </w:pPr>
      <w:r>
        <w:rPr/>
      </w:r>
    </w:p>
    <w:tbl>
      <w:tblPr>
        <w:tblW w:w="10080" w:type="dxa"/>
        <w:jc w:val="start"/>
        <w:tblInd w:w="0" w:type="dxa"/>
        <w:tblLayout w:type="fixed"/>
        <w:tblCellMar>
          <w:top w:w="200" w:type="dxa"/>
          <w:start w:w="280" w:type="dxa"/>
          <w:bottom w:w="200" w:type="dxa"/>
          <w:end w:w="280" w:type="dxa"/>
        </w:tblCellMar>
      </w:tblPr>
      <w:tblGrid>
        <w:gridCol w:w="10080"/>
      </w:tblGrid>
      <w:tr>
        <w:trPr/>
        <w:tc>
          <w:tcPr>
            <w:tcW w:w="10080" w:type="dxa"/>
            <w:tcBorders/>
            <w:shd w:fill="F2F7FB" w:val="clear"/>
          </w:tcPr>
          <w:p>
            <w:pPr>
              <w:pStyle w:val="Normal"/>
              <w:spacing w:lineRule="auto" w:line="276" w:before="0" w:after="80"/>
              <w:rPr/>
            </w:pPr>
            <w:r>
              <w:rPr>
                <w:rFonts w:eastAsia="Calibri" w:cs="Calibri"/>
                <w:b/>
                <w:bCs/>
                <w:color w:val="1F4E79"/>
                <w:spacing w:val="100"/>
                <w:sz w:val="18"/>
                <w:szCs w:val="18"/>
              </w:rPr>
              <w:t>CONCLUSION</w:t>
            </w:r>
          </w:p>
          <w:p>
            <w:pPr>
              <w:pStyle w:val="Normal"/>
              <w:spacing w:lineRule="auto" w:line="290" w:before="0" w:after="60"/>
              <w:jc w:val="both"/>
              <w:rPr/>
            </w:pPr>
            <w:r>
              <w:rPr>
                <w:rFonts w:eastAsia="Calibri" w:cs="Calibri"/>
                <w:color w:val="222222"/>
                <w:sz w:val="20"/>
                <w:szCs w:val="20"/>
              </w:rPr>
              <w:t>This analysis gives Nassau Candy Distributor something it previously lacked: a clear, evidence-based picture of where profitability is created, where it is eroded, and what to do about it. The recommendations above are not theoretical — they are grounded in the numbers and prioritized by impact.</w:t>
            </w:r>
          </w:p>
          <w:p>
            <w:pPr>
              <w:pStyle w:val="Normal"/>
              <w:spacing w:lineRule="auto" w:line="290" w:before="0" w:after="0"/>
              <w:jc w:val="both"/>
              <w:rPr/>
            </w:pPr>
            <w:r>
              <w:rPr>
                <w:rFonts w:eastAsia="Calibri" w:cs="Calibri"/>
                <w:color w:val="222222"/>
                <w:sz w:val="20"/>
                <w:szCs w:val="20"/>
              </w:rPr>
              <w:t>The business is in a strong position, but that position is more fragile than the top-line revenue suggests. Acting on these findings — particularly the pricing, cost, and concentration risks — will not only protect current profitability but create a more resilient and scalable business going forward.</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DDDDDD"/>
      </w:pBdr>
      <w:tabs>
        <w:tab w:val="clear" w:pos="720"/>
        <w:tab w:val="right" w:pos="9026" w:leader="none"/>
      </w:tabs>
      <w:spacing w:lineRule="auto" w:line="276" w:before="80" w:after="0"/>
      <w:rPr/>
    </w:pPr>
    <w:r>
      <w:rPr>
        <w:rFonts w:eastAsia="Calibri" w:cs="Calibri"/>
        <w:color w:val="595959"/>
        <w:sz w:val="16"/>
        <w:szCs w:val="16"/>
      </w:rPr>
      <w:tab/>
      <w:t xml:space="preserve">Page </w:t>
    </w:r>
    <w:r>
      <w:rPr/>
      <w:fldChar w:fldCharType="begin"/>
    </w:r>
    <w:r>
      <w:rPr/>
      <w:instrText xml:space="preserve"> PAGE </w:instrText>
    </w:r>
    <w:r>
      <w:rPr/>
      <w:fldChar w:fldCharType="separate"/>
    </w:r>
    <w:r>
      <w:rPr/>
      <w:t>2</w:t>
    </w:r>
    <w:r>
      <w:rPr/>
      <w:fldChar w:fldCharType="end"/>
    </w:r>
    <w:r>
      <w:rPr>
        <w:rFonts w:eastAsia="Calibri" w:cs="Calibri"/>
        <w:color w:val="595959"/>
        <w:sz w:val="16"/>
        <w:szCs w:val="16"/>
      </w:rPr>
      <w:t xml:space="preserve"> of </w:t>
    </w:r>
    <w:r>
      <w:rPr/>
      <w:fldChar w:fldCharType="begin"/>
    </w:r>
    <w:r>
      <w:rPr/>
      <w:instrText xml:space="preserve"> NUMPAGES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DDDDDD"/>
      </w:pBdr>
      <w:tabs>
        <w:tab w:val="clear" w:pos="720"/>
        <w:tab w:val="right" w:pos="9026" w:leader="none"/>
      </w:tabs>
      <w:spacing w:lineRule="auto" w:line="276" w:before="80" w:after="0"/>
      <w:rPr/>
    </w:pPr>
    <w:r>
      <w:rPr>
        <w:rFonts w:eastAsia="Calibri" w:cs="Calibri"/>
        <w:color w:val="595959"/>
        <w:sz w:val="16"/>
        <w:szCs w:val="16"/>
      </w:rPr>
      <w:tab/>
      <w:t xml:space="preserve">Page </w:t>
    </w:r>
    <w:r>
      <w:rPr/>
      <w:fldChar w:fldCharType="begin"/>
    </w:r>
    <w:r>
      <w:rPr/>
      <w:instrText xml:space="preserve"> PAGE </w:instrText>
    </w:r>
    <w:r>
      <w:rPr/>
      <w:fldChar w:fldCharType="separate"/>
    </w:r>
    <w:r>
      <w:rPr/>
      <w:t>2</w:t>
    </w:r>
    <w:r>
      <w:rPr/>
      <w:fldChar w:fldCharType="end"/>
    </w:r>
    <w:r>
      <w:rPr>
        <w:rFonts w:eastAsia="Calibri" w:cs="Calibri"/>
        <w:color w:val="595959"/>
        <w:sz w:val="16"/>
        <w:szCs w:val="16"/>
      </w:rPr>
      <w:t xml:space="preserve"> of </w:t>
    </w:r>
    <w:r>
      <w:rPr/>
      <w:fldChar w:fldCharType="begin"/>
    </w:r>
    <w:r>
      <w:rPr/>
      <w:instrText xml:space="preserve"> NUMPAGES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DDDDDD"/>
      </w:pBdr>
      <w:tabs>
        <w:tab w:val="clear" w:pos="720"/>
        <w:tab w:val="right" w:pos="9026" w:leader="none"/>
      </w:tabs>
      <w:spacing w:lineRule="auto" w:line="276" w:before="0" w:after="80"/>
      <w:rPr/>
    </w:pPr>
    <w:r>
      <w:rPr>
        <w:rFonts w:eastAsia="Calibri" w:cs="Calibri"/>
        <w:i/>
        <w:iCs/>
        <w:color w:val="595959"/>
        <w:sz w:val="16"/>
        <w:szCs w:val="16"/>
      </w:rPr>
      <w:t>Nassau Candy Distributor</w:t>
    </w:r>
    <w:r>
      <w:rPr>
        <w:rFonts w:eastAsia="Calibri" w:cs="Calibri"/>
        <w:color w:val="595959"/>
        <w:sz w:val="16"/>
        <w:szCs w:val="16"/>
      </w:rPr>
      <w:tab/>
      <w:t>Product Line Profitability &amp; Margin Performance Analysis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DDDDDD"/>
      </w:pBdr>
      <w:tabs>
        <w:tab w:val="clear" w:pos="720"/>
        <w:tab w:val="right" w:pos="9026" w:leader="none"/>
      </w:tabs>
      <w:spacing w:lineRule="auto" w:line="276" w:before="0" w:after="80"/>
      <w:rPr/>
    </w:pPr>
    <w:r>
      <w:rPr>
        <w:rFonts w:eastAsia="Calibri" w:cs="Calibri"/>
        <w:i/>
        <w:iCs/>
        <w:color w:val="595959"/>
        <w:sz w:val="16"/>
        <w:szCs w:val="16"/>
      </w:rPr>
      <w:t>Nassau Candy Distributor</w:t>
    </w:r>
    <w:r>
      <w:rPr>
        <w:rFonts w:eastAsia="Calibri" w:cs="Calibri"/>
        <w:color w:val="595959"/>
        <w:sz w:val="16"/>
        <w:szCs w:val="16"/>
      </w:rPr>
      <w:tab/>
      <w:t>Product Line Profitability &amp; Margin Performance Analysis</w:t>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LibreOffice/26.2.2.2$Windows_X86_64 LibreOffice_project/1f77d10d6938fd34972958f64b2bcfa54f8b1ba5</Application>
  <AppVersion>15.0000</AppVersion>
  <Pages>3</Pages>
  <Words>1060</Words>
  <Characters>6042</Characters>
  <CharactersWithSpaces>7077</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2026-04-18T07:55:53Z</dcterms:created>
  <dc:creator>Un-named</dc:creator>
  <dc:description/>
  <dc:language>en-IN</dc:language>
  <cp:lastModifiedBy/>
  <dcterms:modified xsi:type="dcterms:W3CDTF">2026-04-18T13:33:10Z</dcterms:modified>
  <cp:revision>2</cp:revision>
  <dc:subject/>
  <dc:title/>
</cp:coreProperties>
</file>