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00" w:before="0" w:after="360"/>
        <w:ind w:hanging="0" w:start="0" w:end="0"/>
        <w:jc w:val="start"/>
        <w:rPr>
          <w:b/>
          <w:sz w:val="72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-85725</wp:posOffset>
                </wp:positionH>
                <wp:positionV relativeFrom="paragraph">
                  <wp:posOffset>635</wp:posOffset>
                </wp:positionV>
                <wp:extent cx="152400" cy="17653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280" cy="17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-6.75pt;margin-top:0.05pt;width:11.95pt;height:13.85pt;mso-wrap-style:non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-85725</wp:posOffset>
                </wp:positionH>
                <wp:positionV relativeFrom="paragraph">
                  <wp:posOffset>635</wp:posOffset>
                </wp:positionV>
                <wp:extent cx="152400" cy="17653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280" cy="17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-6.75pt;margin-top:0.05pt;width:11.95pt;height:13.85pt;mso-wrap-style:non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-85725</wp:posOffset>
                </wp:positionH>
                <wp:positionV relativeFrom="paragraph">
                  <wp:posOffset>635</wp:posOffset>
                </wp:positionV>
                <wp:extent cx="152400" cy="17653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280" cy="17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-6.75pt;margin-top:0.05pt;width:11.95pt;height:13.85pt;mso-wrap-style:non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8">
                <wp:simplePos x="0" y="0"/>
                <wp:positionH relativeFrom="column">
                  <wp:posOffset>-85725</wp:posOffset>
                </wp:positionH>
                <wp:positionV relativeFrom="paragraph">
                  <wp:posOffset>635</wp:posOffset>
                </wp:positionV>
                <wp:extent cx="152400" cy="176530"/>
                <wp:effectExtent l="0" t="0" r="0" b="0"/>
                <wp:wrapNone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280" cy="17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-6.75pt;margin-top:0.05pt;width:11.95pt;height:13.85pt;mso-wrap-style:non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0">
                <wp:simplePos x="0" y="0"/>
                <wp:positionH relativeFrom="column">
                  <wp:posOffset>-85725</wp:posOffset>
                </wp:positionH>
                <wp:positionV relativeFrom="paragraph">
                  <wp:posOffset>635</wp:posOffset>
                </wp:positionV>
                <wp:extent cx="152400" cy="176530"/>
                <wp:effectExtent l="0" t="0" r="0" b="0"/>
                <wp:wrapNone/>
                <wp:docPr id="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280" cy="17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-6.75pt;margin-top:0.05pt;width:11.95pt;height:13.85pt;mso-wrap-style:non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2">
                <wp:simplePos x="0" y="0"/>
                <wp:positionH relativeFrom="column">
                  <wp:posOffset>-85725</wp:posOffset>
                </wp:positionH>
                <wp:positionV relativeFrom="paragraph">
                  <wp:posOffset>635</wp:posOffset>
                </wp:positionV>
                <wp:extent cx="152400" cy="176530"/>
                <wp:effectExtent l="0" t="0" r="0" b="0"/>
                <wp:wrapNone/>
                <wp:docPr id="6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280" cy="17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-6.75pt;margin-top:0.05pt;width:11.95pt;height:13.85pt;mso-wrap-style:non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4">
                <wp:simplePos x="0" y="0"/>
                <wp:positionH relativeFrom="column">
                  <wp:posOffset>-85725</wp:posOffset>
                </wp:positionH>
                <wp:positionV relativeFrom="paragraph">
                  <wp:posOffset>635</wp:posOffset>
                </wp:positionV>
                <wp:extent cx="152400" cy="176530"/>
                <wp:effectExtent l="0" t="0" r="0" b="0"/>
                <wp:wrapNone/>
                <wp:docPr id="7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280" cy="17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-6.75pt;margin-top:0.05pt;width:11.95pt;height:13.85pt;mso-wrap-style:non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6">
                <wp:simplePos x="0" y="0"/>
                <wp:positionH relativeFrom="column">
                  <wp:posOffset>-85725</wp:posOffset>
                </wp:positionH>
                <wp:positionV relativeFrom="paragraph">
                  <wp:posOffset>635</wp:posOffset>
                </wp:positionV>
                <wp:extent cx="152400" cy="176530"/>
                <wp:effectExtent l="0" t="0" r="0" b="0"/>
                <wp:wrapNone/>
                <wp:docPr id="8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280" cy="17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-6.75pt;margin-top:0.05pt;width:11.95pt;height:13.85pt;mso-wrap-style:non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8">
                <wp:simplePos x="0" y="0"/>
                <wp:positionH relativeFrom="column">
                  <wp:posOffset>-85725</wp:posOffset>
                </wp:positionH>
                <wp:positionV relativeFrom="paragraph">
                  <wp:posOffset>635</wp:posOffset>
                </wp:positionV>
                <wp:extent cx="152400" cy="176530"/>
                <wp:effectExtent l="0" t="0" r="0" b="0"/>
                <wp:wrapNone/>
                <wp:docPr id="9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280" cy="17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-6.75pt;margin-top:0.05pt;width:11.95pt;height:13.85pt;mso-wrap-style:non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0">
                <wp:simplePos x="0" y="0"/>
                <wp:positionH relativeFrom="column">
                  <wp:posOffset>-85725</wp:posOffset>
                </wp:positionH>
                <wp:positionV relativeFrom="paragraph">
                  <wp:posOffset>635</wp:posOffset>
                </wp:positionV>
                <wp:extent cx="152400" cy="176530"/>
                <wp:effectExtent l="0" t="0" r="0" b="0"/>
                <wp:wrapNone/>
                <wp:docPr id="10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280" cy="17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-6.75pt;margin-top:0.05pt;width:11.95pt;height:13.85pt;mso-wrap-style:non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b/>
          <w:sz w:val="72"/>
        </w:rPr>
        <w:t>Product Line Profitability &amp; Margin Performance Analysis for Nassau Candy Distributor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89" w:before="0" w:after="0"/>
        <w:ind w:hanging="0" w:start="0" w:end="0"/>
        <w:jc w:val="start"/>
        <w:rPr>
          <w:sz w:val="27"/>
        </w:rPr>
      </w:pPr>
      <w:r>
        <w:rPr>
          <w:sz w:val="27"/>
        </w:rPr>
        <w:t>Detailed guide and project requirements for the Product Line Profitability &amp; Margin Performance Analysis for Nassau Candy Distributor analysis.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2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19" w:before="0" w:after="300"/>
        <w:ind w:hanging="0" w:start="0" w:end="0"/>
        <w:jc w:val="start"/>
        <w:rPr>
          <w:b/>
          <w:sz w:val="36"/>
          <w:bdr w:val="single" w:sz="2" w:space="1" w:color="000000"/>
        </w:rPr>
      </w:pPr>
      <w:r>
        <w:rPr>
          <w:b/>
          <w:sz w:val="36"/>
          <w:bdr w:val="single" w:sz="2" w:space="1" w:color="000000"/>
        </w:rPr>
        <w:t>Background and Context: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0" w:after="240"/>
        <w:ind w:hanging="0" w:start="0" w:end="0"/>
        <w:jc w:val="start"/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</w:rPr>
        <w:t>For distributors like Nassau Candy, sales volume alone is misleading. Some products:</w:t>
      </w:r>
    </w:p>
    <w:p>
      <w:pPr>
        <w:pStyle w:val="BodyText"/>
        <w:numPr>
          <w:ilvl w:val="0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•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Sell in high volume but generate low profit</w:t>
      </w:r>
    </w:p>
    <w:p>
      <w:pPr>
        <w:pStyle w:val="BodyText"/>
        <w:numPr>
          <w:ilvl w:val="0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•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Consume disproportionate manufacturing or operational cost</w:t>
      </w:r>
    </w:p>
    <w:p>
      <w:pPr>
        <w:pStyle w:val="BodyText"/>
        <w:numPr>
          <w:ilvl w:val="0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•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Appear successful but weaken overall margins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0" w:after="240"/>
        <w:ind w:hanging="0" w:start="0" w:end="0"/>
        <w:jc w:val="start"/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</w:rPr>
        <w:t>To remain competitive, the company must understand:</w:t>
      </w:r>
    </w:p>
    <w:p>
      <w:pPr>
        <w:pStyle w:val="BodyText"/>
        <w:numPr>
          <w:ilvl w:val="0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•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Which products truly drive profit</w:t>
      </w:r>
    </w:p>
    <w:p>
      <w:pPr>
        <w:pStyle w:val="BodyText"/>
        <w:numPr>
          <w:ilvl w:val="0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•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Which divisions underperform financially</w:t>
      </w:r>
    </w:p>
    <w:p>
      <w:pPr>
        <w:pStyle w:val="BodyText"/>
        <w:numPr>
          <w:ilvl w:val="0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•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Where pricing, sourcing, or product rationalization is needed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hyperlink r:id="rId2" w:tgtFrame="_blank">
        <w:r>
          <w:rPr>
            <w:rStyle w:val="Hyperlink"/>
            <w:rFonts w:eastAsia="Poppins;sans-serif" w:cs="Poppins;sans-serif" w:ascii="Poppins;sans-serif" w:hAnsi="Poppins;sans-serif"/>
            <w:b w:val="false"/>
            <w:bCs w:val="false"/>
            <w:i w:val="false"/>
            <w:iCs w:val="false"/>
            <w:caps w:val="false"/>
            <w:smallCaps w:val="false"/>
            <w:color w:val="000000"/>
            <w:spacing w:val="0"/>
            <w:sz w:val="28"/>
            <w:szCs w:val="28"/>
            <w:u w:val="single"/>
            <w:shd w:fill="FFFFFF" w:val="clear"/>
          </w:rPr>
          <w:t>Unified Mentor</w:t>
        </w:r>
      </w:hyperlink>
      <w:hyperlink r:id="rId3" w:tgtFrame="_blank">
        <w:r>
          <w:rPr>
            <w:rStyle w:val="Hyperlink"/>
            <w:rFonts w:eastAsia="Poppins;sans-serif" w:cs="Poppins;sans-serif" w:ascii="Poppins;sans-serif" w:hAnsi="Poppins;sans-serif"/>
            <w:b w:val="false"/>
            <w:bCs w:val="false"/>
            <w:i w:val="false"/>
            <w:iCs w:val="false"/>
            <w:caps w:val="false"/>
            <w:smallCaps w:val="false"/>
            <w:color w:val="000000"/>
            <w:spacing w:val="0"/>
            <w:sz w:val="28"/>
            <w:szCs w:val="28"/>
            <w:u w:val="single"/>
            <w:shd w:fill="FFFFFF" w:val="clear"/>
          </w:rPr>
          <w:t>Nassau Candy Distributor</w:t>
        </w:r>
      </w:hyperlink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2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19" w:before="0" w:after="300"/>
        <w:ind w:hanging="0" w:start="0" w:end="0"/>
        <w:jc w:val="start"/>
        <w:rPr>
          <w:rFonts w:ascii="Poppins;sans-serif" w:hAnsi="Poppins;sans-serif" w:eastAsia="Poppins;sans-serif" w:cs="Poppins;sans-serif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bdr w:val="single" w:sz="2" w:space="1" w:color="000000"/>
        </w:rPr>
      </w:pPr>
      <w:r>
        <w:rPr>
          <w:rFonts w:eastAsia="Poppins;sans-serif" w:cs="Poppins;sans-serif" w:ascii="Poppins;sans-serif" w:hAnsi="Poppins;sans-serif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bdr w:val="single" w:sz="2" w:space="1" w:color="000000"/>
        </w:rPr>
        <w:t>Problem Statement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89" w:before="0" w:after="360"/>
        <w:ind w:hanging="0" w:start="0" w:end="0"/>
        <w:jc w:val="start"/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7"/>
          <w:bdr w:val="single" w:sz="2" w:space="1" w:color="000000"/>
        </w:rPr>
      </w:pP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7"/>
          <w:bdr w:val="single" w:sz="2" w:space="1" w:color="000000"/>
        </w:rPr>
        <w:t>Currently, the organization lacks visibility into:</w:t>
      </w:r>
    </w:p>
    <w:p>
      <w:pPr>
        <w:pStyle w:val="BodyText"/>
        <w:numPr>
          <w:ilvl w:val="0"/>
          <w:numId w:val="3"/>
        </w:numPr>
        <w:pBdr>
          <w:top w:val="single" w:sz="2" w:space="9" w:color="000000"/>
          <w:left w:val="single" w:sz="2" w:space="9" w:color="000000"/>
          <w:bottom w:val="single" w:sz="2" w:space="9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•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Which product lines deliver the highest gross margin</w:t>
      </w:r>
    </w:p>
    <w:p>
      <w:pPr>
        <w:pStyle w:val="BodyText"/>
        <w:numPr>
          <w:ilvl w:val="0"/>
          <w:numId w:val="3"/>
        </w:numPr>
        <w:pBdr>
          <w:top w:val="single" w:sz="2" w:space="9" w:color="000000"/>
          <w:left w:val="single" w:sz="2" w:space="9" w:color="000000"/>
          <w:bottom w:val="single" w:sz="2" w:space="9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•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Whether high-sales products are actually profitable</w:t>
      </w:r>
    </w:p>
    <w:p>
      <w:pPr>
        <w:pStyle w:val="BodyText"/>
        <w:numPr>
          <w:ilvl w:val="0"/>
          <w:numId w:val="3"/>
        </w:numPr>
        <w:pBdr>
          <w:top w:val="single" w:sz="2" w:space="9" w:color="000000"/>
          <w:left w:val="single" w:sz="2" w:space="9" w:color="000000"/>
          <w:bottom w:val="single" w:sz="2" w:space="9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•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How profitability varies across product divisions</w:t>
      </w:r>
    </w:p>
    <w:p>
      <w:pPr>
        <w:pStyle w:val="BodyText"/>
        <w:numPr>
          <w:ilvl w:val="0"/>
          <w:numId w:val="3"/>
        </w:numPr>
        <w:pBdr>
          <w:top w:val="single" w:sz="2" w:space="9" w:color="000000"/>
          <w:left w:val="single" w:sz="2" w:space="9" w:color="000000"/>
          <w:bottom w:val="single" w:sz="2" w:space="9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•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Which products represent margin risk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89" w:before="0" w:after="0"/>
        <w:ind w:hanging="0" w:start="0" w:end="0"/>
        <w:jc w:val="start"/>
        <w:rPr>
          <w:rFonts w:ascii="Poppins;sans-serif" w:hAnsi="Poppins;sans-serif" w:eastAsia="Poppins;sans-serif" w:cs="Poppins;sans-serif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bdr w:val="single" w:sz="2" w:space="1" w:color="000000"/>
        </w:rPr>
      </w:pPr>
      <w:r>
        <w:rPr>
          <w:rFonts w:eastAsia="Poppins;sans-serif" w:cs="Poppins;sans-serif" w:ascii="Poppins;sans-serif" w:hAnsi="Poppins;sans-serif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bdr w:val="single" w:sz="2" w:space="1" w:color="000000"/>
        </w:rPr>
        <w:t>"Without this insight, decisions on pricing, promotions, and product portfolio remain reactive and intuition-based."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2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19" w:before="0" w:after="300"/>
        <w:ind w:hanging="0" w:start="0" w:end="0"/>
        <w:jc w:val="start"/>
        <w:rPr>
          <w:rFonts w:ascii="Poppins;sans-serif" w:hAnsi="Poppins;sans-serif" w:eastAsia="Poppins;sans-serif" w:cs="Poppins;sans-serif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bdr w:val="single" w:sz="2" w:space="1" w:color="000000"/>
        </w:rPr>
      </w:pPr>
      <w:r>
        <w:rPr>
          <w:rFonts w:eastAsia="Poppins;sans-serif" w:cs="Poppins;sans-serif" w:ascii="Poppins;sans-serif" w:hAnsi="Poppins;sans-serif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bdr w:val="single" w:sz="2" w:space="1" w:color="000000"/>
        </w:rPr>
        <w:t>Dataset Fields Description:</w:t>
      </w:r>
    </w:p>
    <w:tbl>
      <w:tblPr>
        <w:tblW w:w="4651" w:type="dxa"/>
        <w:jc w:val="start"/>
        <w:tblInd w:w="0" w:type="dxa"/>
        <w:tblLayout w:type="fixed"/>
        <w:tblCellMar>
          <w:top w:w="28" w:type="dxa"/>
          <w:start w:w="360" w:type="dxa"/>
          <w:bottom w:w="240" w:type="dxa"/>
          <w:end w:w="28" w:type="dxa"/>
        </w:tblCellMar>
      </w:tblPr>
      <w:tblGrid>
        <w:gridCol w:w="1472"/>
        <w:gridCol w:w="3179"/>
      </w:tblGrid>
      <w:tr>
        <w:trPr>
          <w:tblHeader w:val="true"/>
        </w:trPr>
        <w:tc>
          <w:tcPr>
            <w:tcW w:w="14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319" w:before="0" w:after="0"/>
              <w:ind w:hanging="0" w:start="0" w:end="0"/>
              <w:rPr>
                <w:sz w:val="18"/>
              </w:rPr>
            </w:pPr>
            <w:r>
              <w:rPr>
                <w:sz w:val="18"/>
              </w:rPr>
              <w:t>Field</w:t>
            </w:r>
          </w:p>
        </w:tc>
        <w:tc>
          <w:tcPr>
            <w:tcW w:w="31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319" w:before="0" w:after="0"/>
              <w:ind w:hanging="0" w:start="0" w:end="0"/>
              <w:rPr>
                <w:sz w:val="18"/>
              </w:rPr>
            </w:pPr>
            <w:r>
              <w:rPr>
                <w:sz w:val="18"/>
              </w:rPr>
              <w:t>Description</w:t>
            </w:r>
          </w:p>
        </w:tc>
      </w:tr>
      <w:tr>
        <w:trPr/>
        <w:tc>
          <w:tcPr>
            <w:tcW w:w="14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Row ID</w:t>
            </w:r>
          </w:p>
        </w:tc>
        <w:tc>
          <w:tcPr>
            <w:tcW w:w="31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Unique row identifier</w:t>
            </w:r>
          </w:p>
        </w:tc>
      </w:tr>
      <w:tr>
        <w:trPr/>
        <w:tc>
          <w:tcPr>
            <w:tcW w:w="14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Order ID</w:t>
            </w:r>
          </w:p>
        </w:tc>
        <w:tc>
          <w:tcPr>
            <w:tcW w:w="31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Unique order identifier</w:t>
            </w:r>
          </w:p>
        </w:tc>
      </w:tr>
      <w:tr>
        <w:trPr/>
        <w:tc>
          <w:tcPr>
            <w:tcW w:w="14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Order Date</w:t>
            </w:r>
          </w:p>
        </w:tc>
        <w:tc>
          <w:tcPr>
            <w:tcW w:w="31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Date of order</w:t>
            </w:r>
          </w:p>
        </w:tc>
      </w:tr>
      <w:tr>
        <w:trPr/>
        <w:tc>
          <w:tcPr>
            <w:tcW w:w="14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Ship Date</w:t>
            </w:r>
          </w:p>
        </w:tc>
        <w:tc>
          <w:tcPr>
            <w:tcW w:w="31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Date of shipment</w:t>
            </w:r>
          </w:p>
        </w:tc>
      </w:tr>
      <w:tr>
        <w:trPr/>
        <w:tc>
          <w:tcPr>
            <w:tcW w:w="14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Ship Mode</w:t>
            </w:r>
          </w:p>
        </w:tc>
        <w:tc>
          <w:tcPr>
            <w:tcW w:w="31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Shipping method of order</w:t>
            </w:r>
          </w:p>
        </w:tc>
      </w:tr>
      <w:tr>
        <w:trPr/>
        <w:tc>
          <w:tcPr>
            <w:tcW w:w="14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Customer ID</w:t>
            </w:r>
          </w:p>
        </w:tc>
        <w:tc>
          <w:tcPr>
            <w:tcW w:w="31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Unique customer identifier</w:t>
            </w:r>
          </w:p>
        </w:tc>
      </w:tr>
      <w:tr>
        <w:trPr/>
        <w:tc>
          <w:tcPr>
            <w:tcW w:w="14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Country/Region</w:t>
            </w:r>
          </w:p>
        </w:tc>
        <w:tc>
          <w:tcPr>
            <w:tcW w:w="31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Country or region of customer</w:t>
            </w:r>
          </w:p>
        </w:tc>
      </w:tr>
      <w:tr>
        <w:trPr/>
        <w:tc>
          <w:tcPr>
            <w:tcW w:w="14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City</w:t>
            </w:r>
          </w:p>
        </w:tc>
        <w:tc>
          <w:tcPr>
            <w:tcW w:w="31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City of customer</w:t>
            </w:r>
          </w:p>
        </w:tc>
      </w:tr>
      <w:tr>
        <w:trPr/>
        <w:tc>
          <w:tcPr>
            <w:tcW w:w="14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State/Province</w:t>
            </w:r>
          </w:p>
        </w:tc>
        <w:tc>
          <w:tcPr>
            <w:tcW w:w="31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State/province of customer</w:t>
            </w:r>
          </w:p>
        </w:tc>
      </w:tr>
      <w:tr>
        <w:trPr/>
        <w:tc>
          <w:tcPr>
            <w:tcW w:w="14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Postal Code</w:t>
            </w:r>
          </w:p>
        </w:tc>
        <w:tc>
          <w:tcPr>
            <w:tcW w:w="31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Postal code / zip code of customer</w:t>
            </w:r>
          </w:p>
        </w:tc>
      </w:tr>
      <w:tr>
        <w:trPr/>
        <w:tc>
          <w:tcPr>
            <w:tcW w:w="14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Division</w:t>
            </w:r>
          </w:p>
        </w:tc>
        <w:tc>
          <w:tcPr>
            <w:tcW w:w="31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Product division</w:t>
            </w:r>
          </w:p>
        </w:tc>
      </w:tr>
      <w:tr>
        <w:trPr/>
        <w:tc>
          <w:tcPr>
            <w:tcW w:w="14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Region</w:t>
            </w:r>
          </w:p>
        </w:tc>
        <w:tc>
          <w:tcPr>
            <w:tcW w:w="31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Region of customer</w:t>
            </w:r>
          </w:p>
        </w:tc>
      </w:tr>
      <w:tr>
        <w:trPr/>
        <w:tc>
          <w:tcPr>
            <w:tcW w:w="14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Product ID</w:t>
            </w:r>
          </w:p>
        </w:tc>
        <w:tc>
          <w:tcPr>
            <w:tcW w:w="31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Unique product identifier</w:t>
            </w:r>
          </w:p>
        </w:tc>
      </w:tr>
      <w:tr>
        <w:trPr/>
        <w:tc>
          <w:tcPr>
            <w:tcW w:w="14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Product Name</w:t>
            </w:r>
          </w:p>
        </w:tc>
        <w:tc>
          <w:tcPr>
            <w:tcW w:w="31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Product long namer</w:t>
            </w:r>
          </w:p>
        </w:tc>
      </w:tr>
      <w:tr>
        <w:trPr/>
        <w:tc>
          <w:tcPr>
            <w:tcW w:w="14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Sales</w:t>
            </w:r>
          </w:p>
        </w:tc>
        <w:tc>
          <w:tcPr>
            <w:tcW w:w="31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Total sales value of order</w:t>
            </w:r>
          </w:p>
        </w:tc>
      </w:tr>
      <w:tr>
        <w:trPr/>
        <w:tc>
          <w:tcPr>
            <w:tcW w:w="14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Units</w:t>
            </w:r>
          </w:p>
        </w:tc>
        <w:tc>
          <w:tcPr>
            <w:tcW w:w="31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Total units of order</w:t>
            </w:r>
          </w:p>
        </w:tc>
      </w:tr>
      <w:tr>
        <w:trPr/>
        <w:tc>
          <w:tcPr>
            <w:tcW w:w="14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Gross Profit</w:t>
            </w:r>
          </w:p>
        </w:tc>
        <w:tc>
          <w:tcPr>
            <w:tcW w:w="31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Gross profit of order ( Sales - Cost )</w:t>
            </w:r>
          </w:p>
        </w:tc>
      </w:tr>
      <w:tr>
        <w:trPr/>
        <w:tc>
          <w:tcPr>
            <w:tcW w:w="14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Cost</w:t>
            </w:r>
          </w:p>
        </w:tc>
        <w:tc>
          <w:tcPr>
            <w:tcW w:w="31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start="0" w:end="0"/>
              <w:jc w:val="start"/>
              <w:rPr>
                <w:sz w:val="21"/>
              </w:rPr>
            </w:pPr>
            <w:r>
              <w:rPr>
                <w:sz w:val="21"/>
              </w:rPr>
              <w:t>Cost to manufacture</w:t>
            </w:r>
          </w:p>
        </w:tc>
      </w:tr>
    </w:tbl>
    <w:p>
      <w:pPr>
        <w:pStyle w:val="BodyText"/>
        <w:widowControl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2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19" w:before="0" w:after="300"/>
        <w:ind w:hanging="0" w:start="0" w:end="0"/>
        <w:jc w:val="start"/>
        <w:rPr>
          <w:b/>
          <w:caps w:val="false"/>
          <w:smallCaps w:val="false"/>
          <w:color w:val="000000"/>
          <w:spacing w:val="0"/>
          <w:sz w:val="36"/>
          <w:bdr w:val="single" w:sz="2" w:space="1" w:color="000000"/>
        </w:rPr>
      </w:pPr>
      <w:r>
        <w:rPr>
          <w:b/>
          <w:caps w:val="false"/>
          <w:smallCaps w:val="false"/>
          <w:color w:val="000000"/>
          <w:spacing w:val="0"/>
          <w:sz w:val="36"/>
          <w:bdr w:val="single" w:sz="2" w:space="1" w:color="000000"/>
        </w:rPr>
        <w:t>Analytical Methodology (Step-by-Step)</w:t>
      </w:r>
    </w:p>
    <w:p>
      <w:pPr>
        <w:pStyle w:val="Heading3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72" w:before="0" w:after="240"/>
        <w:ind w:hanging="0" w:start="0" w:end="0"/>
        <w:jc w:val="start"/>
        <w:rPr>
          <w:rFonts w:ascii="Poppins;sans-serif" w:hAnsi="Poppins;sans-serif"/>
          <w:b/>
          <w:i w:val="false"/>
          <w:caps w:val="false"/>
          <w:smallCaps w:val="false"/>
          <w:color w:val="000000"/>
          <w:spacing w:val="0"/>
          <w:sz w:val="27"/>
        </w:rPr>
      </w:pPr>
      <w:r>
        <w:rPr>
          <w:rFonts w:ascii="Poppins;sans-serif" w:hAnsi="Poppins;sans-serif"/>
          <w:b/>
          <w:i w:val="false"/>
          <w:caps w:val="false"/>
          <w:smallCaps w:val="false"/>
          <w:color w:val="000000"/>
          <w:spacing w:val="0"/>
          <w:sz w:val="27"/>
        </w:rPr>
        <w:t>Data Cleaning &amp; Validation</w:t>
      </w:r>
    </w:p>
    <w:p>
      <w:pPr>
        <w:pStyle w:val="BodyText"/>
        <w:widowControl/>
        <w:numPr>
          <w:ilvl w:val="0"/>
          <w:numId w:val="4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•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Validate cost and sales values</w:t>
      </w:r>
    </w:p>
    <w:p>
      <w:pPr>
        <w:pStyle w:val="BodyText"/>
        <w:widowControl/>
        <w:numPr>
          <w:ilvl w:val="0"/>
          <w:numId w:val="4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•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Remove zero-sales or invalid profit records</w:t>
      </w:r>
    </w:p>
    <w:p>
      <w:pPr>
        <w:pStyle w:val="BodyText"/>
        <w:widowControl/>
        <w:numPr>
          <w:ilvl w:val="0"/>
          <w:numId w:val="4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•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Handle missing unit values</w:t>
      </w:r>
    </w:p>
    <w:p>
      <w:pPr>
        <w:pStyle w:val="BodyText"/>
        <w:widowControl/>
        <w:numPr>
          <w:ilvl w:val="0"/>
          <w:numId w:val="4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•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Standardize product and division labels</w:t>
      </w:r>
    </w:p>
    <w:p>
      <w:pPr>
        <w:pStyle w:val="Heading3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72" w:before="0" w:after="240"/>
        <w:ind w:hanging="0" w:start="0" w:end="0"/>
        <w:jc w:val="start"/>
        <w:rPr>
          <w:rFonts w:ascii="Poppins;sans-serif" w:hAnsi="Poppins;sans-serif"/>
          <w:b/>
          <w:i w:val="false"/>
          <w:caps w:val="false"/>
          <w:smallCaps w:val="false"/>
          <w:color w:val="000000"/>
          <w:spacing w:val="0"/>
          <w:sz w:val="27"/>
        </w:rPr>
      </w:pPr>
      <w:r>
        <w:rPr>
          <w:rFonts w:ascii="Poppins;sans-serif" w:hAnsi="Poppins;sans-serif"/>
          <w:b/>
          <w:i w:val="false"/>
          <w:caps w:val="false"/>
          <w:smallCaps w:val="false"/>
          <w:color w:val="000000"/>
          <w:spacing w:val="0"/>
          <w:sz w:val="27"/>
        </w:rPr>
        <w:t>Profitability Metric Calculation</w:t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0" w:after="240"/>
        <w:ind w:hanging="0" w:start="0" w:end="0"/>
        <w:jc w:val="start"/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</w:rPr>
        <w:t>For each product:</w:t>
      </w:r>
    </w:p>
    <w:p>
      <w:pPr>
        <w:pStyle w:val="BodyText"/>
        <w:widowControl/>
        <w:numPr>
          <w:ilvl w:val="0"/>
          <w:numId w:val="5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•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Gross Margin (%)</w:t>
      </w:r>
    </w:p>
    <w:p>
      <w:pPr>
        <w:pStyle w:val="BodyText"/>
        <w:widowControl/>
        <w:numPr>
          <w:ilvl w:val="0"/>
          <w:numId w:val="5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•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Profit per unit</w:t>
      </w:r>
    </w:p>
    <w:p>
      <w:pPr>
        <w:pStyle w:val="BodyText"/>
        <w:widowControl/>
        <w:numPr>
          <w:ilvl w:val="0"/>
          <w:numId w:val="5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•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Total profit contribution</w:t>
      </w:r>
    </w:p>
    <w:p>
      <w:pPr>
        <w:pStyle w:val="Heading3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72" w:before="0" w:after="240"/>
        <w:ind w:hanging="0" w:start="0" w:end="0"/>
        <w:jc w:val="start"/>
        <w:rPr>
          <w:rFonts w:ascii="Poppins;sans-serif" w:hAnsi="Poppins;sans-serif"/>
          <w:b/>
          <w:i w:val="false"/>
          <w:caps w:val="false"/>
          <w:smallCaps w:val="false"/>
          <w:color w:val="000000"/>
          <w:spacing w:val="0"/>
          <w:sz w:val="27"/>
        </w:rPr>
      </w:pPr>
      <w:r>
        <w:rPr>
          <w:rFonts w:ascii="Poppins;sans-serif" w:hAnsi="Poppins;sans-serif"/>
          <w:b/>
          <w:i w:val="false"/>
          <w:caps w:val="false"/>
          <w:smallCaps w:val="false"/>
          <w:color w:val="000000"/>
          <w:spacing w:val="0"/>
          <w:sz w:val="27"/>
        </w:rPr>
        <w:t>Product-Level Profitability Analysis</w:t>
      </w:r>
    </w:p>
    <w:p>
      <w:pPr>
        <w:pStyle w:val="BodyText"/>
        <w:widowControl/>
        <w:numPr>
          <w:ilvl w:val="0"/>
          <w:numId w:val="6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•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Rank products by:</w:t>
      </w:r>
    </w:p>
    <w:p>
      <w:pPr>
        <w:pStyle w:val="BodyText"/>
        <w:widowControl/>
        <w:numPr>
          <w:ilvl w:val="0"/>
          <w:numId w:val="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60" w:after="0"/>
        <w:ind w:hanging="0" w:start="36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○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Gross profit</w:t>
      </w:r>
    </w:p>
    <w:p>
      <w:pPr>
        <w:pStyle w:val="BodyText"/>
        <w:widowControl/>
        <w:numPr>
          <w:ilvl w:val="0"/>
          <w:numId w:val="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60" w:after="0"/>
        <w:ind w:hanging="0" w:start="36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○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Gross margin</w:t>
      </w:r>
    </w:p>
    <w:p>
      <w:pPr>
        <w:pStyle w:val="BodyText"/>
        <w:widowControl/>
        <w:numPr>
          <w:ilvl w:val="0"/>
          <w:numId w:val="6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•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Identify:</w:t>
      </w:r>
    </w:p>
    <w:p>
      <w:pPr>
        <w:pStyle w:val="BodyText"/>
        <w:widowControl/>
        <w:numPr>
          <w:ilvl w:val="0"/>
          <w:numId w:val="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60" w:after="0"/>
        <w:ind w:hanging="0" w:start="36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○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High-profit / high-margin products</w:t>
      </w:r>
    </w:p>
    <w:p>
      <w:pPr>
        <w:pStyle w:val="BodyText"/>
        <w:widowControl/>
        <w:numPr>
          <w:ilvl w:val="0"/>
          <w:numId w:val="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60" w:after="0"/>
        <w:ind w:hanging="0" w:start="36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○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High-sales / low-margin products</w:t>
      </w:r>
    </w:p>
    <w:p>
      <w:pPr>
        <w:pStyle w:val="BodyText"/>
        <w:widowControl/>
        <w:numPr>
          <w:ilvl w:val="0"/>
          <w:numId w:val="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60" w:after="0"/>
        <w:ind w:hanging="0" w:start="36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○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Low-sales / low-profit products</w:t>
      </w:r>
    </w:p>
    <w:p>
      <w:pPr>
        <w:pStyle w:val="Heading3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72" w:before="0" w:after="240"/>
        <w:ind w:hanging="0" w:start="0" w:end="0"/>
        <w:jc w:val="start"/>
        <w:rPr>
          <w:rFonts w:ascii="Poppins;sans-serif" w:hAnsi="Poppins;sans-serif"/>
          <w:b/>
          <w:i w:val="false"/>
          <w:caps w:val="false"/>
          <w:smallCaps w:val="false"/>
          <w:color w:val="000000"/>
          <w:spacing w:val="0"/>
          <w:sz w:val="27"/>
        </w:rPr>
      </w:pPr>
      <w:r>
        <w:rPr>
          <w:rFonts w:ascii="Poppins;sans-serif" w:hAnsi="Poppins;sans-serif"/>
          <w:b/>
          <w:i w:val="false"/>
          <w:caps w:val="false"/>
          <w:smallCaps w:val="false"/>
          <w:color w:val="000000"/>
          <w:spacing w:val="0"/>
          <w:sz w:val="27"/>
        </w:rPr>
        <w:t>Division-Level Performance Analysis</w:t>
      </w:r>
    </w:p>
    <w:p>
      <w:pPr>
        <w:pStyle w:val="BodyText"/>
        <w:widowControl/>
        <w:numPr>
          <w:ilvl w:val="0"/>
          <w:numId w:val="7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•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Aggregate metrics by Division</w:t>
      </w:r>
    </w:p>
    <w:p>
      <w:pPr>
        <w:pStyle w:val="BodyText"/>
        <w:widowControl/>
        <w:numPr>
          <w:ilvl w:val="0"/>
          <w:numId w:val="7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•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Compare:</w:t>
      </w:r>
    </w:p>
    <w:p>
      <w:pPr>
        <w:pStyle w:val="BodyText"/>
        <w:widowControl/>
        <w:numPr>
          <w:ilvl w:val="0"/>
          <w:numId w:val="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60" w:after="0"/>
        <w:ind w:hanging="0" w:start="36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○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Average margin by division</w:t>
      </w:r>
    </w:p>
    <w:p>
      <w:pPr>
        <w:pStyle w:val="BodyText"/>
        <w:widowControl/>
        <w:numPr>
          <w:ilvl w:val="0"/>
          <w:numId w:val="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60" w:after="0"/>
        <w:ind w:hanging="0" w:start="36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○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Revenue vs profit imbalance</w:t>
      </w:r>
    </w:p>
    <w:p>
      <w:pPr>
        <w:pStyle w:val="BodyText"/>
        <w:widowControl/>
        <w:numPr>
          <w:ilvl w:val="0"/>
          <w:numId w:val="7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•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Identify divisions with:</w:t>
      </w:r>
    </w:p>
    <w:p>
      <w:pPr>
        <w:pStyle w:val="BodyText"/>
        <w:widowControl/>
        <w:numPr>
          <w:ilvl w:val="0"/>
          <w:numId w:val="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60" w:after="0"/>
        <w:ind w:hanging="0" w:start="36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○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Strong financial efficiency</w:t>
      </w:r>
    </w:p>
    <w:p>
      <w:pPr>
        <w:pStyle w:val="BodyText"/>
        <w:widowControl/>
        <w:numPr>
          <w:ilvl w:val="0"/>
          <w:numId w:val="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60" w:after="0"/>
        <w:ind w:hanging="0" w:start="36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○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Structural margin issues</w:t>
      </w:r>
    </w:p>
    <w:p>
      <w:pPr>
        <w:pStyle w:val="Heading3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72" w:before="0" w:after="240"/>
        <w:ind w:hanging="0" w:start="0" w:end="0"/>
        <w:jc w:val="start"/>
        <w:rPr>
          <w:rFonts w:ascii="Poppins;sans-serif" w:hAnsi="Poppins;sans-serif"/>
          <w:b/>
          <w:i w:val="false"/>
          <w:caps w:val="false"/>
          <w:smallCaps w:val="false"/>
          <w:color w:val="000000"/>
          <w:spacing w:val="0"/>
          <w:sz w:val="27"/>
        </w:rPr>
      </w:pPr>
      <w:r>
        <w:rPr>
          <w:rFonts w:ascii="Poppins;sans-serif" w:hAnsi="Poppins;sans-serif"/>
          <w:b/>
          <w:i w:val="false"/>
          <w:caps w:val="false"/>
          <w:smallCaps w:val="false"/>
          <w:color w:val="000000"/>
          <w:spacing w:val="0"/>
          <w:sz w:val="27"/>
        </w:rPr>
        <w:t>Profit Concentration (Pareto) Analysis</w:t>
      </w:r>
    </w:p>
    <w:p>
      <w:pPr>
        <w:pStyle w:val="BodyText"/>
        <w:widowControl/>
        <w:numPr>
          <w:ilvl w:val="0"/>
          <w:numId w:val="8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•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Determine % of products contributing:</w:t>
      </w:r>
    </w:p>
    <w:p>
      <w:pPr>
        <w:pStyle w:val="BodyText"/>
        <w:widowControl/>
        <w:numPr>
          <w:ilvl w:val="0"/>
          <w:numId w:val="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60" w:after="0"/>
        <w:ind w:hanging="0" w:start="36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○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80% of revenue</w:t>
      </w:r>
    </w:p>
    <w:p>
      <w:pPr>
        <w:pStyle w:val="BodyText"/>
        <w:widowControl/>
        <w:numPr>
          <w:ilvl w:val="0"/>
          <w:numId w:val="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60" w:after="0"/>
        <w:ind w:hanging="0" w:start="36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○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80% of profit</w:t>
      </w:r>
    </w:p>
    <w:p>
      <w:pPr>
        <w:pStyle w:val="BodyText"/>
        <w:widowControl/>
        <w:numPr>
          <w:ilvl w:val="0"/>
          <w:numId w:val="8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•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Detect congestion-prone states or region. Identify over-dependency risks</w:t>
      </w:r>
    </w:p>
    <w:p>
      <w:pPr>
        <w:pStyle w:val="Heading3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72" w:before="0" w:after="240"/>
        <w:ind w:hanging="0" w:start="0" w:end="0"/>
        <w:jc w:val="start"/>
        <w:rPr>
          <w:rFonts w:ascii="Poppins;sans-serif" w:hAnsi="Poppins;sans-serif"/>
          <w:b/>
          <w:i w:val="false"/>
          <w:caps w:val="false"/>
          <w:smallCaps w:val="false"/>
          <w:color w:val="000000"/>
          <w:spacing w:val="0"/>
          <w:sz w:val="27"/>
        </w:rPr>
      </w:pPr>
      <w:r>
        <w:rPr>
          <w:rFonts w:ascii="Poppins;sans-serif" w:hAnsi="Poppins;sans-serif"/>
          <w:b/>
          <w:i w:val="false"/>
          <w:caps w:val="false"/>
          <w:smallCaps w:val="false"/>
          <w:color w:val="000000"/>
          <w:spacing w:val="0"/>
          <w:sz w:val="27"/>
        </w:rPr>
        <w:t>Cost Structure Diagnostics</w:t>
      </w:r>
    </w:p>
    <w:p>
      <w:pPr>
        <w:pStyle w:val="BodyText"/>
        <w:widowControl/>
        <w:numPr>
          <w:ilvl w:val="0"/>
          <w:numId w:val="9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•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Cost vs sales scatter analysis</w:t>
      </w:r>
    </w:p>
    <w:p>
      <w:pPr>
        <w:pStyle w:val="BodyText"/>
        <w:widowControl/>
        <w:numPr>
          <w:ilvl w:val="0"/>
          <w:numId w:val="9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•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Identify:</w:t>
      </w:r>
    </w:p>
    <w:p>
      <w:pPr>
        <w:pStyle w:val="BodyText"/>
        <w:widowControl/>
        <w:numPr>
          <w:ilvl w:val="0"/>
          <w:numId w:val="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60" w:after="0"/>
        <w:ind w:hanging="0" w:start="36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○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Cost-heavy, margin-poor products</w:t>
      </w:r>
    </w:p>
    <w:p>
      <w:pPr>
        <w:pStyle w:val="BodyText"/>
        <w:widowControl/>
        <w:numPr>
          <w:ilvl w:val="0"/>
          <w:numId w:val="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60" w:after="0"/>
        <w:ind w:hanging="0" w:start="36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○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Pricing inefficiencies</w:t>
      </w:r>
    </w:p>
    <w:p>
      <w:pPr>
        <w:pStyle w:val="BodyText"/>
        <w:widowControl/>
        <w:numPr>
          <w:ilvl w:val="0"/>
          <w:numId w:val="9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•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Flag products needing:</w:t>
      </w:r>
    </w:p>
    <w:p>
      <w:pPr>
        <w:pStyle w:val="BodyText"/>
        <w:widowControl/>
        <w:numPr>
          <w:ilvl w:val="0"/>
          <w:numId w:val="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60" w:after="0"/>
        <w:ind w:hanging="0" w:start="36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○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Repricing</w:t>
      </w:r>
    </w:p>
    <w:p>
      <w:pPr>
        <w:pStyle w:val="BodyText"/>
        <w:widowControl/>
        <w:numPr>
          <w:ilvl w:val="0"/>
          <w:numId w:val="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60" w:after="0"/>
        <w:ind w:hanging="0" w:start="36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○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Cost renegotiation</w:t>
      </w:r>
    </w:p>
    <w:p>
      <w:pPr>
        <w:pStyle w:val="BodyText"/>
        <w:widowControl/>
        <w:numPr>
          <w:ilvl w:val="0"/>
          <w:numId w:val="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60" w:after="0"/>
        <w:ind w:hanging="0" w:start="36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○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Discontinuation review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2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19" w:before="0" w:after="300"/>
        <w:ind w:hanging="0" w:start="0" w:end="0"/>
        <w:jc w:val="start"/>
        <w:rPr>
          <w:rFonts w:ascii="Poppins;sans-serif" w:hAnsi="Poppins;sans-serif" w:eastAsia="Poppins;sans-serif" w:cs="Poppins;sans-serif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bdr w:val="single" w:sz="2" w:space="1" w:color="000000"/>
        </w:rPr>
      </w:pPr>
      <w:r>
        <w:rPr>
          <w:rFonts w:eastAsia="Poppins;sans-serif" w:cs="Poppins;sans-serif" w:ascii="Poppins;sans-serif" w:hAnsi="Poppins;sans-serif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bdr w:val="single" w:sz="2" w:space="1" w:color="000000"/>
        </w:rPr>
        <w:t>Key Performance Indicators (KPIs)</w:t>
      </w:r>
    </w:p>
    <w:tbl>
      <w:tblPr>
        <w:tblW w:w="4736" w:type="dxa"/>
        <w:jc w:val="start"/>
        <w:tblInd w:w="0" w:type="dxa"/>
        <w:tblLayout w:type="fixed"/>
        <w:tblCellMar>
          <w:top w:w="28" w:type="dxa"/>
          <w:start w:w="360" w:type="dxa"/>
          <w:bottom w:w="240" w:type="dxa"/>
          <w:end w:w="28" w:type="dxa"/>
        </w:tblCellMar>
      </w:tblPr>
      <w:tblGrid>
        <w:gridCol w:w="1980"/>
        <w:gridCol w:w="2756"/>
      </w:tblGrid>
      <w:tr>
        <w:trPr>
          <w:tblHeader w:val="true"/>
        </w:trPr>
        <w:tc>
          <w:tcPr>
            <w:tcW w:w="19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319" w:before="0" w:after="0"/>
              <w:ind w:hanging="0" w:start="0" w:end="0"/>
              <w:rPr>
                <w:sz w:val="18"/>
              </w:rPr>
            </w:pPr>
            <w:r>
              <w:rPr>
                <w:sz w:val="18"/>
              </w:rPr>
              <w:t>KPI</w:t>
            </w:r>
          </w:p>
        </w:tc>
        <w:tc>
          <w:tcPr>
            <w:tcW w:w="275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319" w:before="0" w:after="0"/>
              <w:ind w:hanging="0" w:start="0" w:end="0"/>
              <w:rPr>
                <w:sz w:val="18"/>
              </w:rPr>
            </w:pPr>
            <w:r>
              <w:rPr>
                <w:sz w:val="18"/>
              </w:rPr>
              <w:t>Description</w:t>
            </w:r>
          </w:p>
        </w:tc>
      </w:tr>
      <w:tr>
        <w:trPr/>
        <w:tc>
          <w:tcPr>
            <w:tcW w:w="19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Gross Margin (%)</w:t>
            </w:r>
          </w:p>
        </w:tc>
        <w:tc>
          <w:tcPr>
            <w:tcW w:w="275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Gross Profit ÷ Sales</w:t>
            </w:r>
          </w:p>
        </w:tc>
      </w:tr>
      <w:tr>
        <w:trPr/>
        <w:tc>
          <w:tcPr>
            <w:tcW w:w="19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Profit per Unit</w:t>
            </w:r>
          </w:p>
        </w:tc>
        <w:tc>
          <w:tcPr>
            <w:tcW w:w="275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Gross Profit ÷ Units</w:t>
            </w:r>
          </w:p>
        </w:tc>
      </w:tr>
      <w:tr>
        <w:trPr/>
        <w:tc>
          <w:tcPr>
            <w:tcW w:w="19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Revenue Contribution</w:t>
            </w:r>
          </w:p>
        </w:tc>
        <w:tc>
          <w:tcPr>
            <w:tcW w:w="275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Product sales ÷ total sales</w:t>
            </w:r>
          </w:p>
        </w:tc>
      </w:tr>
      <w:tr>
        <w:trPr/>
        <w:tc>
          <w:tcPr>
            <w:tcW w:w="19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Profit Contribution</w:t>
            </w:r>
          </w:p>
        </w:tc>
        <w:tc>
          <w:tcPr>
            <w:tcW w:w="275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Product profit ÷ total profit</w:t>
            </w:r>
          </w:p>
        </w:tc>
      </w:tr>
      <w:tr>
        <w:trPr/>
        <w:tc>
          <w:tcPr>
            <w:tcW w:w="19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Margin Volatility</w:t>
            </w:r>
          </w:p>
        </w:tc>
        <w:tc>
          <w:tcPr>
            <w:tcW w:w="275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start="0" w:end="0"/>
              <w:jc w:val="start"/>
              <w:rPr>
                <w:sz w:val="21"/>
              </w:rPr>
            </w:pPr>
            <w:r>
              <w:rPr>
                <w:sz w:val="21"/>
              </w:rPr>
              <w:t>Variability of margin over time</w:t>
            </w:r>
          </w:p>
        </w:tc>
      </w:tr>
    </w:tbl>
    <w:p>
      <w:pPr>
        <w:pStyle w:val="BodyText"/>
        <w:widowControl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2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19" w:before="0" w:after="300"/>
        <w:ind w:hanging="0" w:start="0" w:end="0"/>
        <w:jc w:val="start"/>
        <w:rPr>
          <w:b/>
          <w:caps w:val="false"/>
          <w:smallCaps w:val="false"/>
          <w:color w:val="000000"/>
          <w:spacing w:val="0"/>
          <w:sz w:val="36"/>
          <w:bdr w:val="single" w:sz="2" w:space="1" w:color="000000"/>
        </w:rPr>
      </w:pPr>
      <w:r>
        <w:rPr>
          <w:b/>
          <w:caps w:val="false"/>
          <w:smallCaps w:val="false"/>
          <w:color w:val="000000"/>
          <w:spacing w:val="0"/>
          <w:sz w:val="36"/>
          <w:bdr w:val="single" w:sz="2" w:space="1" w:color="000000"/>
        </w:rPr>
        <w:t>Streamlit Web Application Requirements</w:t>
      </w:r>
    </w:p>
    <w:p>
      <w:pPr>
        <w:pStyle w:val="Heading3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72" w:before="0" w:after="240"/>
        <w:ind w:hanging="0" w:start="0" w:end="0"/>
        <w:jc w:val="start"/>
        <w:rPr>
          <w:rFonts w:ascii="Poppins;sans-serif" w:hAnsi="Poppins;sans-serif"/>
          <w:b/>
          <w:i w:val="false"/>
          <w:caps w:val="false"/>
          <w:smallCaps w:val="false"/>
          <w:color w:val="000000"/>
          <w:spacing w:val="0"/>
          <w:sz w:val="27"/>
        </w:rPr>
      </w:pPr>
      <w:r>
        <w:rPr>
          <w:rFonts w:ascii="Poppins;sans-serif" w:hAnsi="Poppins;sans-serif"/>
          <w:b/>
          <w:i w:val="false"/>
          <w:caps w:val="false"/>
          <w:smallCaps w:val="false"/>
          <w:color w:val="000000"/>
          <w:spacing w:val="0"/>
          <w:sz w:val="27"/>
        </w:rPr>
        <w:t>Dashboard Modules</w:t>
      </w:r>
    </w:p>
    <w:p>
      <w:pPr>
        <w:pStyle w:val="BodyText"/>
        <w:widowControl/>
        <w:numPr>
          <w:ilvl w:val="0"/>
          <w:numId w:val="1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•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Product Profitability Overview</w:t>
      </w:r>
    </w:p>
    <w:p>
      <w:pPr>
        <w:pStyle w:val="BodyText"/>
        <w:widowControl/>
        <w:numPr>
          <w:ilvl w:val="0"/>
          <w:numId w:val="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60" w:after="0"/>
        <w:ind w:hanging="0" w:start="36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●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Product-level margin leaderboard</w:t>
      </w:r>
    </w:p>
    <w:p>
      <w:pPr>
        <w:pStyle w:val="BodyText"/>
        <w:widowControl/>
        <w:numPr>
          <w:ilvl w:val="0"/>
          <w:numId w:val="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60" w:after="0"/>
        <w:ind w:hanging="0" w:start="36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●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Profit contribution charts</w:t>
      </w:r>
    </w:p>
    <w:p>
      <w:pPr>
        <w:pStyle w:val="BodyText"/>
        <w:widowControl/>
        <w:numPr>
          <w:ilvl w:val="0"/>
          <w:numId w:val="1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•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Division Performance Dashboard</w:t>
      </w:r>
    </w:p>
    <w:p>
      <w:pPr>
        <w:pStyle w:val="BodyText"/>
        <w:widowControl/>
        <w:numPr>
          <w:ilvl w:val="0"/>
          <w:numId w:val="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60" w:after="0"/>
        <w:ind w:hanging="0" w:start="36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●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Revenue vs profit comparison</w:t>
      </w:r>
    </w:p>
    <w:p>
      <w:pPr>
        <w:pStyle w:val="BodyText"/>
        <w:widowControl/>
        <w:numPr>
          <w:ilvl w:val="0"/>
          <w:numId w:val="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60" w:after="0"/>
        <w:ind w:hanging="0" w:start="36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●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Margin distribution by division</w:t>
      </w:r>
    </w:p>
    <w:p>
      <w:pPr>
        <w:pStyle w:val="BodyText"/>
        <w:widowControl/>
        <w:numPr>
          <w:ilvl w:val="0"/>
          <w:numId w:val="1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•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Cost vs Margin Diagnostics</w:t>
      </w:r>
    </w:p>
    <w:p>
      <w:pPr>
        <w:pStyle w:val="BodyText"/>
        <w:widowControl/>
        <w:numPr>
          <w:ilvl w:val="0"/>
          <w:numId w:val="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60" w:after="0"/>
        <w:ind w:hanging="0" w:start="36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●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Cost-sales scatter plots</w:t>
      </w:r>
    </w:p>
    <w:p>
      <w:pPr>
        <w:pStyle w:val="BodyText"/>
        <w:widowControl/>
        <w:numPr>
          <w:ilvl w:val="0"/>
          <w:numId w:val="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60" w:after="0"/>
        <w:ind w:hanging="0" w:start="36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●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Margin risk flags</w:t>
      </w:r>
    </w:p>
    <w:p>
      <w:pPr>
        <w:pStyle w:val="BodyText"/>
        <w:widowControl/>
        <w:numPr>
          <w:ilvl w:val="0"/>
          <w:numId w:val="1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•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Profit Concentration Analysis</w:t>
      </w:r>
    </w:p>
    <w:p>
      <w:pPr>
        <w:pStyle w:val="BodyText"/>
        <w:widowControl/>
        <w:numPr>
          <w:ilvl w:val="0"/>
          <w:numId w:val="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60" w:after="0"/>
        <w:ind w:hanging="0" w:start="36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●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Pareto charts</w:t>
      </w:r>
    </w:p>
    <w:p>
      <w:pPr>
        <w:pStyle w:val="BodyText"/>
        <w:widowControl/>
        <w:numPr>
          <w:ilvl w:val="0"/>
          <w:numId w:val="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60" w:after="0"/>
        <w:ind w:hanging="0" w:start="36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●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Dependency indicators</w:t>
      </w:r>
    </w:p>
    <w:p>
      <w:pPr>
        <w:pStyle w:val="Heading3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72" w:before="0" w:after="240"/>
        <w:ind w:hanging="0" w:start="0" w:end="0"/>
        <w:jc w:val="start"/>
        <w:rPr>
          <w:rFonts w:ascii="Poppins;sans-serif" w:hAnsi="Poppins;sans-serif"/>
          <w:b/>
          <w:i w:val="false"/>
          <w:caps w:val="false"/>
          <w:smallCaps w:val="false"/>
          <w:color w:val="000000"/>
          <w:spacing w:val="0"/>
          <w:sz w:val="27"/>
        </w:rPr>
      </w:pPr>
      <w:r>
        <w:rPr>
          <w:rFonts w:ascii="Poppins;sans-serif" w:hAnsi="Poppins;sans-serif"/>
          <w:b/>
          <w:i w:val="false"/>
          <w:caps w:val="false"/>
          <w:smallCaps w:val="false"/>
          <w:color w:val="000000"/>
          <w:spacing w:val="0"/>
          <w:sz w:val="27"/>
        </w:rPr>
        <w:t>User Capabilities</w:t>
      </w:r>
    </w:p>
    <w:p>
      <w:pPr>
        <w:pStyle w:val="BodyText"/>
        <w:widowControl/>
        <w:numPr>
          <w:ilvl w:val="0"/>
          <w:numId w:val="1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•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Date range selector</w:t>
      </w:r>
    </w:p>
    <w:p>
      <w:pPr>
        <w:pStyle w:val="BodyText"/>
        <w:widowControl/>
        <w:numPr>
          <w:ilvl w:val="0"/>
          <w:numId w:val="1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•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Division filter</w:t>
      </w:r>
    </w:p>
    <w:p>
      <w:pPr>
        <w:pStyle w:val="BodyText"/>
        <w:widowControl/>
        <w:numPr>
          <w:ilvl w:val="0"/>
          <w:numId w:val="1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•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Margin threshold slider</w:t>
      </w:r>
    </w:p>
    <w:p>
      <w:pPr>
        <w:pStyle w:val="BodyText"/>
        <w:widowControl/>
        <w:numPr>
          <w:ilvl w:val="0"/>
          <w:numId w:val="1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•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Product search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2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19" w:before="0" w:after="300"/>
        <w:ind w:hanging="0" w:start="0" w:end="0"/>
        <w:jc w:val="start"/>
        <w:rPr>
          <w:rFonts w:ascii="Poppins;sans-serif" w:hAnsi="Poppins;sans-serif" w:eastAsia="Poppins;sans-serif" w:cs="Poppins;sans-serif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bdr w:val="single" w:sz="2" w:space="1" w:color="000000"/>
        </w:rPr>
      </w:pPr>
      <w:r>
        <w:rPr>
          <w:rFonts w:eastAsia="Poppins;sans-serif" w:cs="Poppins;sans-serif" w:ascii="Poppins;sans-serif" w:hAnsi="Poppins;sans-serif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bdr w:val="single" w:sz="2" w:space="1" w:color="000000"/>
        </w:rPr>
        <w:t>Deliverables and Submission</w:t>
      </w:r>
    </w:p>
    <w:p>
      <w:pPr>
        <w:pStyle w:val="BodyText"/>
        <w:widowControl/>
        <w:numPr>
          <w:ilvl w:val="0"/>
          <w:numId w:val="12"/>
        </w:numPr>
        <w:pBdr>
          <w:top w:val="single" w:sz="2" w:space="9" w:color="000000"/>
          <w:left w:val="single" w:sz="2" w:space="9" w:color="000000"/>
          <w:bottom w:val="single" w:sz="2" w:space="9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•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Research paper (EDA, insights, recommendations)</w:t>
      </w:r>
    </w:p>
    <w:p>
      <w:pPr>
        <w:pStyle w:val="BodyText"/>
        <w:widowControl/>
        <w:numPr>
          <w:ilvl w:val="0"/>
          <w:numId w:val="12"/>
        </w:numPr>
        <w:pBdr>
          <w:top w:val="single" w:sz="2" w:space="9" w:color="000000"/>
          <w:left w:val="single" w:sz="2" w:space="9" w:color="000000"/>
          <w:bottom w:val="single" w:sz="2" w:space="9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•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Streamlit dashboard (live analytics)</w:t>
      </w:r>
    </w:p>
    <w:p>
      <w:pPr>
        <w:pStyle w:val="BodyText"/>
        <w:widowControl/>
        <w:numPr>
          <w:ilvl w:val="0"/>
          <w:numId w:val="12"/>
        </w:numPr>
        <w:pBdr>
          <w:top w:val="single" w:sz="2" w:space="9" w:color="000000"/>
          <w:left w:val="single" w:sz="2" w:space="9" w:color="000000"/>
          <w:bottom w:val="single" w:sz="2" w:space="9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  <w:t xml:space="preserve">• </w:t>
      </w: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8"/>
          <w:bdr w:val="single" w:sz="2" w:space="1" w:color="000000"/>
        </w:rPr>
        <w:t>Executive summary for government stakeholders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2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19" w:before="0" w:after="300"/>
        <w:ind w:hanging="0" w:start="0" w:end="0"/>
        <w:jc w:val="start"/>
        <w:rPr>
          <w:rFonts w:ascii="Poppins;sans-serif" w:hAnsi="Poppins;sans-serif" w:eastAsia="Poppins;sans-serif" w:cs="Poppins;sans-serif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bdr w:val="single" w:sz="2" w:space="1" w:color="000000"/>
        </w:rPr>
      </w:pPr>
      <w:r>
        <w:rPr>
          <w:rFonts w:eastAsia="Poppins;sans-serif" w:cs="Poppins;sans-serif" w:ascii="Poppins;sans-serif" w:hAnsi="Poppins;sans-serif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bdr w:val="single" w:sz="2" w:space="1" w:color="000000"/>
        </w:rPr>
        <w:t>Conclusion</w:t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89" w:before="0" w:after="0"/>
        <w:ind w:hanging="0" w:start="0" w:end="0"/>
        <w:jc w:val="start"/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7"/>
          <w:bdr w:val="single" w:sz="2" w:space="1" w:color="000000"/>
        </w:rPr>
      </w:pPr>
      <w:r>
        <w:rPr>
          <w:rFonts w:ascii="Poppins;sans-serif" w:hAnsi="Poppins;sans-serif"/>
          <w:b w:val="false"/>
          <w:i w:val="false"/>
          <w:caps w:val="false"/>
          <w:smallCaps w:val="false"/>
          <w:color w:val="000000"/>
          <w:spacing w:val="0"/>
          <w:sz w:val="27"/>
          <w:bdr w:val="single" w:sz="2" w:space="1" w:color="000000"/>
        </w:rPr>
        <w:t>"This project establishes a clear, data-driven understanding of shipping route efficiency for Nassau Candy Distributor. By transforming raw order and shipment data into route-level operational intelligence, the organization gains actionable insights to improve logistics performance, reduce delays, and enhance nationwide delivery reliability."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2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19" w:before="0" w:after="300"/>
        <w:ind w:hanging="0" w:start="0" w:end="0"/>
        <w:jc w:val="start"/>
        <w:rPr>
          <w:rFonts w:ascii="Poppins;sans-serif" w:hAnsi="Poppins;sans-serif" w:eastAsia="Poppins;sans-serif" w:cs="Poppins;sans-serif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bdr w:val="single" w:sz="2" w:space="1" w:color="000000"/>
        </w:rPr>
      </w:pPr>
      <w:r>
        <w:rPr>
          <w:rFonts w:eastAsia="Poppins;sans-serif" w:cs="Poppins;sans-serif" w:ascii="Poppins;sans-serif" w:hAnsi="Poppins;sans-serif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bdr w:val="single" w:sz="2" w:space="1" w:color="000000"/>
        </w:rPr>
        <w:t>Factories Co-ordinates</w:t>
      </w:r>
    </w:p>
    <w:tbl>
      <w:tblPr>
        <w:tblW w:w="3870" w:type="dxa"/>
        <w:jc w:val="start"/>
        <w:tblInd w:w="0" w:type="dxa"/>
        <w:tblLayout w:type="fixed"/>
        <w:tblCellMar>
          <w:top w:w="28" w:type="dxa"/>
          <w:start w:w="360" w:type="dxa"/>
          <w:bottom w:w="240" w:type="dxa"/>
          <w:end w:w="28" w:type="dxa"/>
        </w:tblCellMar>
      </w:tblPr>
      <w:tblGrid>
        <w:gridCol w:w="1669"/>
        <w:gridCol w:w="997"/>
        <w:gridCol w:w="1204"/>
      </w:tblGrid>
      <w:tr>
        <w:trPr>
          <w:tblHeader w:val="true"/>
        </w:trPr>
        <w:tc>
          <w:tcPr>
            <w:tcW w:w="16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319" w:before="0" w:after="0"/>
              <w:ind w:hanging="0" w:start="0" w:end="0"/>
              <w:rPr>
                <w:sz w:val="18"/>
              </w:rPr>
            </w:pPr>
            <w:r>
              <w:rPr>
                <w:sz w:val="18"/>
              </w:rPr>
              <w:t>Factory</w:t>
            </w:r>
          </w:p>
        </w:tc>
        <w:tc>
          <w:tcPr>
            <w:tcW w:w="9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319" w:before="0" w:after="0"/>
              <w:ind w:hanging="0" w:start="0" w:end="0"/>
              <w:rPr>
                <w:sz w:val="18"/>
              </w:rPr>
            </w:pPr>
            <w:r>
              <w:rPr>
                <w:sz w:val="18"/>
              </w:rPr>
              <w:t>Latitude</w:t>
            </w:r>
          </w:p>
        </w:tc>
        <w:tc>
          <w:tcPr>
            <w:tcW w:w="12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319" w:before="0" w:after="0"/>
              <w:ind w:hanging="0" w:start="0" w:end="0"/>
              <w:rPr>
                <w:sz w:val="18"/>
              </w:rPr>
            </w:pPr>
            <w:r>
              <w:rPr>
                <w:sz w:val="18"/>
              </w:rPr>
              <w:t>Longitude</w:t>
            </w:r>
          </w:p>
        </w:tc>
      </w:tr>
      <w:tr>
        <w:trPr/>
        <w:tc>
          <w:tcPr>
            <w:tcW w:w="16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Lot's O' Nuts</w:t>
            </w:r>
          </w:p>
        </w:tc>
        <w:tc>
          <w:tcPr>
            <w:tcW w:w="9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32.881893</w:t>
            </w:r>
          </w:p>
        </w:tc>
        <w:tc>
          <w:tcPr>
            <w:tcW w:w="12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-111.768036</w:t>
            </w:r>
          </w:p>
        </w:tc>
      </w:tr>
      <w:tr>
        <w:trPr/>
        <w:tc>
          <w:tcPr>
            <w:tcW w:w="16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Wicked Choccy's</w:t>
            </w:r>
          </w:p>
        </w:tc>
        <w:tc>
          <w:tcPr>
            <w:tcW w:w="9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32.076176</w:t>
            </w:r>
          </w:p>
        </w:tc>
        <w:tc>
          <w:tcPr>
            <w:tcW w:w="12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-81.088371</w:t>
            </w:r>
          </w:p>
        </w:tc>
      </w:tr>
      <w:tr>
        <w:trPr/>
        <w:tc>
          <w:tcPr>
            <w:tcW w:w="16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Sugar Shack</w:t>
            </w:r>
          </w:p>
        </w:tc>
        <w:tc>
          <w:tcPr>
            <w:tcW w:w="9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48.11914</w:t>
            </w:r>
          </w:p>
        </w:tc>
        <w:tc>
          <w:tcPr>
            <w:tcW w:w="12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-96.18115</w:t>
            </w:r>
          </w:p>
        </w:tc>
      </w:tr>
      <w:tr>
        <w:trPr/>
        <w:tc>
          <w:tcPr>
            <w:tcW w:w="16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Secret Factory</w:t>
            </w:r>
          </w:p>
        </w:tc>
        <w:tc>
          <w:tcPr>
            <w:tcW w:w="9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41.446333</w:t>
            </w:r>
          </w:p>
        </w:tc>
        <w:tc>
          <w:tcPr>
            <w:tcW w:w="12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-90.565487</w:t>
            </w:r>
          </w:p>
        </w:tc>
      </w:tr>
      <w:tr>
        <w:trPr/>
        <w:tc>
          <w:tcPr>
            <w:tcW w:w="16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The Other Factory</w:t>
            </w:r>
          </w:p>
        </w:tc>
        <w:tc>
          <w:tcPr>
            <w:tcW w:w="9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35.1175</w:t>
            </w:r>
          </w:p>
        </w:tc>
        <w:tc>
          <w:tcPr>
            <w:tcW w:w="12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start="0" w:end="0"/>
              <w:jc w:val="start"/>
              <w:rPr>
                <w:sz w:val="21"/>
              </w:rPr>
            </w:pPr>
            <w:r>
              <w:rPr>
                <w:sz w:val="21"/>
              </w:rPr>
              <w:t>-89.971107</w:t>
            </w:r>
          </w:p>
        </w:tc>
      </w:tr>
    </w:tbl>
    <w:p>
      <w:pPr>
        <w:pStyle w:val="BodyText"/>
        <w:widowControl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2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19" w:before="0" w:after="300"/>
        <w:ind w:hanging="0" w:start="0" w:end="0"/>
        <w:jc w:val="start"/>
        <w:rPr>
          <w:b/>
          <w:caps w:val="false"/>
          <w:smallCaps w:val="false"/>
          <w:color w:val="000000"/>
          <w:spacing w:val="0"/>
          <w:sz w:val="36"/>
          <w:bdr w:val="single" w:sz="2" w:space="1" w:color="000000"/>
        </w:rPr>
      </w:pPr>
      <w:r>
        <w:rPr>
          <w:b/>
          <w:caps w:val="false"/>
          <w:smallCaps w:val="false"/>
          <w:color w:val="000000"/>
          <w:spacing w:val="0"/>
          <w:sz w:val="36"/>
          <w:bdr w:val="single" w:sz="2" w:space="1" w:color="000000"/>
        </w:rPr>
        <w:t>Products and Factories Correlation</w:t>
      </w:r>
    </w:p>
    <w:tbl>
      <w:tblPr>
        <w:tblW w:w="5795" w:type="dxa"/>
        <w:jc w:val="start"/>
        <w:tblInd w:w="0" w:type="dxa"/>
        <w:tblLayout w:type="fixed"/>
        <w:tblCellMar>
          <w:top w:w="28" w:type="dxa"/>
          <w:start w:w="360" w:type="dxa"/>
          <w:bottom w:w="240" w:type="dxa"/>
          <w:end w:w="28" w:type="dxa"/>
        </w:tblCellMar>
      </w:tblPr>
      <w:tblGrid>
        <w:gridCol w:w="971"/>
        <w:gridCol w:w="3123"/>
        <w:gridCol w:w="1701"/>
      </w:tblGrid>
      <w:tr>
        <w:trPr>
          <w:tblHeader w:val="true"/>
        </w:trPr>
        <w:tc>
          <w:tcPr>
            <w:tcW w:w="9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319" w:before="0" w:after="0"/>
              <w:ind w:hanging="0" w:start="0" w:end="0"/>
              <w:rPr>
                <w:sz w:val="18"/>
              </w:rPr>
            </w:pPr>
            <w:r>
              <w:rPr>
                <w:sz w:val="18"/>
              </w:rPr>
              <w:t>Division</w:t>
            </w:r>
          </w:p>
        </w:tc>
        <w:tc>
          <w:tcPr>
            <w:tcW w:w="31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319" w:before="0" w:after="0"/>
              <w:ind w:hanging="0" w:start="0" w:end="0"/>
              <w:rPr>
                <w:sz w:val="18"/>
              </w:rPr>
            </w:pPr>
            <w:r>
              <w:rPr>
                <w:sz w:val="18"/>
              </w:rPr>
              <w:t>Product Name</w:t>
            </w:r>
          </w:p>
        </w:tc>
        <w:tc>
          <w:tcPr>
            <w:tcW w:w="1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319" w:before="0" w:after="0"/>
              <w:ind w:hanging="0" w:start="0" w:end="0"/>
              <w:rPr>
                <w:sz w:val="18"/>
              </w:rPr>
            </w:pPr>
            <w:r>
              <w:rPr>
                <w:sz w:val="18"/>
              </w:rPr>
              <w:t>Factory</w:t>
            </w:r>
          </w:p>
        </w:tc>
      </w:tr>
      <w:tr>
        <w:trPr/>
        <w:tc>
          <w:tcPr>
            <w:tcW w:w="9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Chocolate</w:t>
            </w:r>
          </w:p>
        </w:tc>
        <w:tc>
          <w:tcPr>
            <w:tcW w:w="31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Wonka Bar - Nutty Crunch Surprise</w:t>
            </w:r>
          </w:p>
        </w:tc>
        <w:tc>
          <w:tcPr>
            <w:tcW w:w="1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Lot's O' Nuts</w:t>
            </w:r>
          </w:p>
        </w:tc>
      </w:tr>
      <w:tr>
        <w:trPr/>
        <w:tc>
          <w:tcPr>
            <w:tcW w:w="9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Chocolate</w:t>
            </w:r>
          </w:p>
        </w:tc>
        <w:tc>
          <w:tcPr>
            <w:tcW w:w="31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Wonka Bar - Fudge Mallows</w:t>
            </w:r>
          </w:p>
        </w:tc>
        <w:tc>
          <w:tcPr>
            <w:tcW w:w="1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Lot's O' Nuts</w:t>
            </w:r>
          </w:p>
        </w:tc>
      </w:tr>
      <w:tr>
        <w:trPr/>
        <w:tc>
          <w:tcPr>
            <w:tcW w:w="9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Chocolate</w:t>
            </w:r>
          </w:p>
        </w:tc>
        <w:tc>
          <w:tcPr>
            <w:tcW w:w="31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Wonka Bar -Scrumdiddlyumptious</w:t>
            </w:r>
          </w:p>
        </w:tc>
        <w:tc>
          <w:tcPr>
            <w:tcW w:w="1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Lot's O' Nuts</w:t>
            </w:r>
          </w:p>
        </w:tc>
      </w:tr>
      <w:tr>
        <w:trPr/>
        <w:tc>
          <w:tcPr>
            <w:tcW w:w="9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Chocolate</w:t>
            </w:r>
          </w:p>
        </w:tc>
        <w:tc>
          <w:tcPr>
            <w:tcW w:w="31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Wonka Bar - Milk Chocolate</w:t>
            </w:r>
          </w:p>
        </w:tc>
        <w:tc>
          <w:tcPr>
            <w:tcW w:w="1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Wicked Choccy's</w:t>
            </w:r>
          </w:p>
        </w:tc>
      </w:tr>
      <w:tr>
        <w:trPr/>
        <w:tc>
          <w:tcPr>
            <w:tcW w:w="9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Chocolate</w:t>
            </w:r>
          </w:p>
        </w:tc>
        <w:tc>
          <w:tcPr>
            <w:tcW w:w="31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Wonka Bar - Triple Dazzle Caramel</w:t>
            </w:r>
          </w:p>
        </w:tc>
        <w:tc>
          <w:tcPr>
            <w:tcW w:w="1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Wicked Choccy's</w:t>
            </w:r>
          </w:p>
        </w:tc>
      </w:tr>
      <w:tr>
        <w:trPr/>
        <w:tc>
          <w:tcPr>
            <w:tcW w:w="9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Sugar</w:t>
            </w:r>
          </w:p>
        </w:tc>
        <w:tc>
          <w:tcPr>
            <w:tcW w:w="31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Laffy Taffy</w:t>
            </w:r>
          </w:p>
        </w:tc>
        <w:tc>
          <w:tcPr>
            <w:tcW w:w="1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Sugar Shack</w:t>
            </w:r>
          </w:p>
        </w:tc>
      </w:tr>
      <w:tr>
        <w:trPr/>
        <w:tc>
          <w:tcPr>
            <w:tcW w:w="9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Sugar</w:t>
            </w:r>
          </w:p>
        </w:tc>
        <w:tc>
          <w:tcPr>
            <w:tcW w:w="31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SweeTARTS</w:t>
            </w:r>
          </w:p>
        </w:tc>
        <w:tc>
          <w:tcPr>
            <w:tcW w:w="1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Sugar Shack</w:t>
            </w:r>
          </w:p>
        </w:tc>
      </w:tr>
      <w:tr>
        <w:trPr/>
        <w:tc>
          <w:tcPr>
            <w:tcW w:w="9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Sugar</w:t>
            </w:r>
          </w:p>
        </w:tc>
        <w:tc>
          <w:tcPr>
            <w:tcW w:w="31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Nerds</w:t>
            </w:r>
          </w:p>
        </w:tc>
        <w:tc>
          <w:tcPr>
            <w:tcW w:w="1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Sugar Shack</w:t>
            </w:r>
          </w:p>
        </w:tc>
      </w:tr>
      <w:tr>
        <w:trPr/>
        <w:tc>
          <w:tcPr>
            <w:tcW w:w="9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Sugar</w:t>
            </w:r>
          </w:p>
        </w:tc>
        <w:tc>
          <w:tcPr>
            <w:tcW w:w="31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Fun Dip</w:t>
            </w:r>
          </w:p>
        </w:tc>
        <w:tc>
          <w:tcPr>
            <w:tcW w:w="1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Sugar Shack</w:t>
            </w:r>
          </w:p>
        </w:tc>
      </w:tr>
      <w:tr>
        <w:trPr/>
        <w:tc>
          <w:tcPr>
            <w:tcW w:w="9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Other</w:t>
            </w:r>
          </w:p>
        </w:tc>
        <w:tc>
          <w:tcPr>
            <w:tcW w:w="31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Fizzy Lifting Drinks</w:t>
            </w:r>
          </w:p>
        </w:tc>
        <w:tc>
          <w:tcPr>
            <w:tcW w:w="1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Sugar Shack</w:t>
            </w:r>
          </w:p>
        </w:tc>
      </w:tr>
      <w:tr>
        <w:trPr/>
        <w:tc>
          <w:tcPr>
            <w:tcW w:w="9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Sugar</w:t>
            </w:r>
          </w:p>
        </w:tc>
        <w:tc>
          <w:tcPr>
            <w:tcW w:w="31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Everlasting Gobstopper</w:t>
            </w:r>
          </w:p>
        </w:tc>
        <w:tc>
          <w:tcPr>
            <w:tcW w:w="1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Secret Factory</w:t>
            </w:r>
          </w:p>
        </w:tc>
      </w:tr>
      <w:tr>
        <w:trPr/>
        <w:tc>
          <w:tcPr>
            <w:tcW w:w="9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Sugar</w:t>
            </w:r>
          </w:p>
        </w:tc>
        <w:tc>
          <w:tcPr>
            <w:tcW w:w="31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Hair Toffee</w:t>
            </w:r>
          </w:p>
        </w:tc>
        <w:tc>
          <w:tcPr>
            <w:tcW w:w="1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The Other Factory</w:t>
            </w:r>
          </w:p>
        </w:tc>
      </w:tr>
      <w:tr>
        <w:trPr/>
        <w:tc>
          <w:tcPr>
            <w:tcW w:w="9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Other</w:t>
            </w:r>
          </w:p>
        </w:tc>
        <w:tc>
          <w:tcPr>
            <w:tcW w:w="31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Lickable Wallpaper</w:t>
            </w:r>
          </w:p>
        </w:tc>
        <w:tc>
          <w:tcPr>
            <w:tcW w:w="1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Secret Factory</w:t>
            </w:r>
          </w:p>
        </w:tc>
      </w:tr>
      <w:tr>
        <w:trPr/>
        <w:tc>
          <w:tcPr>
            <w:tcW w:w="9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Other</w:t>
            </w:r>
          </w:p>
        </w:tc>
        <w:tc>
          <w:tcPr>
            <w:tcW w:w="31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Wonka Gum</w:t>
            </w:r>
          </w:p>
        </w:tc>
        <w:tc>
          <w:tcPr>
            <w:tcW w:w="1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Secret Factory</w:t>
            </w:r>
          </w:p>
        </w:tc>
      </w:tr>
      <w:tr>
        <w:trPr/>
        <w:tc>
          <w:tcPr>
            <w:tcW w:w="9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Other</w:t>
            </w:r>
          </w:p>
        </w:tc>
        <w:tc>
          <w:tcPr>
            <w:tcW w:w="31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Kazookles</w:t>
            </w:r>
          </w:p>
        </w:tc>
        <w:tc>
          <w:tcPr>
            <w:tcW w:w="1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start="0" w:end="0"/>
              <w:jc w:val="start"/>
              <w:rPr>
                <w:sz w:val="21"/>
              </w:rPr>
            </w:pPr>
            <w:r>
              <w:rPr>
                <w:sz w:val="21"/>
              </w:rPr>
              <w:t>The Other Factory</w:t>
            </w:r>
          </w:p>
        </w:tc>
      </w:tr>
    </w:tbl>
    <w:p>
      <w:pPr>
        <w:pStyle w:val="BodyText"/>
        <w:widowControl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:bdr w:val="single" w:sz="2" w:space="1" w:color="000000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hyperlink r:id="rId4" w:tgtFrame="_blank">
        <w:r>
          <w:rPr>
            <w:rStyle w:val="Hyperlink"/>
            <w:caps w:val="false"/>
            <w:smallCaps w:val="false"/>
            <w:color w:val="000000"/>
            <w:spacing w:val="0"/>
            <w:u w:val="single"/>
            <w:shd w:fill="FFFFFF" w:val="clear"/>
          </w:rPr>
          <w:t>Access Dataset</w:t>
        </w:r>
      </w:hyperlink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Poppins">
    <w:altName w:val="sans-serif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unifiedmentor.com/" TargetMode="External"/><Relationship Id="rId3" Type="http://schemas.openxmlformats.org/officeDocument/2006/relationships/hyperlink" Target="https://www.nassaucandy.com/" TargetMode="External"/><Relationship Id="rId4" Type="http://schemas.openxmlformats.org/officeDocument/2006/relationships/hyperlink" Target="https://drive.google.com/file/d/1c4VDb0Pf7RCgps4aLMiSuLtdaUpU_X49/view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LibreOffice/25.8.4.2$Windows_X86_64 LibreOffice_project/290daaa01b999472f0c7a3890eb6a550fd74c6df</Application>
  <AppVersion>15.0000</AppVersion>
  <Pages>2</Pages>
  <Words>763</Words>
  <Characters>4445</Characters>
  <CharactersWithSpaces>4964</CharactersWithSpaces>
  <Paragraphs>206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2026-01-28T17:03:13Z</dcterms:created>
  <dc:creator/>
  <dc:description/>
  <dc:language>en-IN</dc:language>
  <cp:lastModifiedBy/>
  <dcterms:modified xsi:type="dcterms:W3CDTF">2026-02-03T23:22:10Z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