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Architecture Guideline</w:t>
      </w:r>
    </w:p>
    <w:p>
      <w:pPr>
        <w:jc w:val="center"/>
      </w:pPr>
      <w:r>
        <w:rPr>
          <w:rFonts w:ascii="Arial" w:hAnsi="Arial"/>
          <w:i/>
          <w:sz w:val="20"/>
        </w:rPr>
        <w:t>Better Companies - Project ELEVATE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5112"/>
          </w:tcPr>
          <w:p>
            <w:r>
              <w:t>Project ELEVATE - Autonomous Agentic AI on Microsoft Fabric</w:t>
            </w:r>
          </w:p>
        </w:tc>
      </w:tr>
      <w:tr>
        <w:tc>
          <w:tcPr>
            <w:tcW w:type="dxa" w:w="5112"/>
            <w:shd w:fill="D9EAF7"/>
          </w:tcPr>
          <w:p>
            <w:r>
              <w:rPr>
                <w:b/>
              </w:rPr>
              <w:t>Document Status</w:t>
            </w:r>
          </w:p>
        </w:tc>
        <w:tc>
          <w:tcPr>
            <w:tcW w:type="dxa" w:w="5112"/>
          </w:tcPr>
          <w:p>
            <w:r>
              <w:t>Draft v1.0 - for project review</w:t>
            </w:r>
          </w:p>
        </w:tc>
      </w:tr>
      <w:tr>
        <w:tc>
          <w:tcPr>
            <w:tcW w:type="dxa" w:w="5112"/>
            <w:shd w:fill="D9EAF7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5112"/>
          </w:tcPr>
          <w:p>
            <w:r>
              <w:t>Artizent Project Team</w:t>
            </w:r>
          </w:p>
        </w:tc>
      </w:tr>
      <w:tr>
        <w:tc>
          <w:tcPr>
            <w:tcW w:type="dxa" w:w="5112"/>
            <w:shd w:fill="D9EAF7"/>
          </w:tcPr>
          <w:p>
            <w:r>
              <w:rPr>
                <w:b/>
              </w:rPr>
              <w:t>Applicability</w:t>
            </w:r>
          </w:p>
        </w:tc>
        <w:tc>
          <w:tcPr>
            <w:tcW w:type="dxa" w:w="5112"/>
          </w:tcPr>
          <w:p>
            <w:r>
              <w:t>All project team members and reviewers</w:t>
            </w:r>
          </w:p>
        </w:tc>
      </w:tr>
    </w:tbl>
    <w:p/>
    <w:p>
      <w:pPr>
        <w:pStyle w:val="Heading1"/>
      </w:pPr>
      <w:r>
        <w:t>1. Purpose</w:t>
      </w:r>
    </w:p>
    <w:p>
      <w:pPr>
        <w:spacing w:after="80"/>
      </w:pPr>
      <w:r>
        <w:rPr>
          <w:rFonts w:ascii="Arial" w:hAnsi="Arial"/>
          <w:b w:val="0"/>
          <w:sz w:val="20"/>
        </w:rPr>
        <w:t>Project ELEVATE is a governed, production-grade autonomous agentic AI capability for Better Companies, built over the existing Microsoft Fabric Gold layer. The solution supports conversational natural-language analytics, trend and variance analysis, predictive insights, persona-based access, Slack, web chat, voice, cost-aware model routing, and administrative oversight. These guidelines are project-specific working standards derived from the Better Companies RFP and Artizent proposal. Where the source material does not prescribe an implementation-level standard, this document marks the item as a recommended project convention to be confirmed during Discovery.</w:t>
      </w:r>
    </w:p>
    <w:p>
      <w:pPr>
        <w:pStyle w:val="Heading1"/>
      </w:pPr>
      <w:r>
        <w:t>2. Architecture Principles</w:t>
      </w:r>
    </w:p>
    <w:p>
      <w:pPr>
        <w:pStyle w:val="ListBullet"/>
        <w:spacing w:after="40"/>
      </w:pPr>
      <w:r>
        <w:t>Use the existing Microsoft Fabric Gold layer and semantic model as the governed analytical source. Do not create a parallel business-definition layer unless approved through architecture review.</w:t>
      </w:r>
    </w:p>
    <w:p>
      <w:pPr>
        <w:pStyle w:val="ListBullet"/>
        <w:spacing w:after="40"/>
      </w:pPr>
      <w:r>
        <w:t>Keep channels separate from the governed agent core: Slack, web chat, voice, and admin experiences must use the same authorization, grounding, guardrail, and audit path.</w:t>
      </w:r>
    </w:p>
    <w:p>
      <w:pPr>
        <w:pStyle w:val="ListBullet"/>
        <w:spacing w:after="40"/>
      </w:pPr>
      <w:r>
        <w:t>Enforce identity and authorization before data reaches the AI model. The LLM must not be relied upon to implement Agent / Manager / Executive filtering.</w:t>
      </w:r>
    </w:p>
    <w:p>
      <w:pPr>
        <w:pStyle w:val="ListBullet"/>
        <w:spacing w:after="40"/>
      </w:pPr>
      <w:r>
        <w:t>Mask, band, pseudonymize, or exclude agreed PII before prompt construction. Raw sensitive fields must not flow into AI prompts or responses.</w:t>
      </w:r>
    </w:p>
    <w:p>
      <w:pPr>
        <w:pStyle w:val="ListBullet"/>
        <w:spacing w:after="40"/>
      </w:pPr>
      <w:r>
        <w:t>Every quantitative answer must be grounded in a real governed query/result. If the governed data cannot support the answer, the agent must not invent it.</w:t>
      </w:r>
    </w:p>
    <w:p>
      <w:pPr>
        <w:pStyle w:val="ListBullet"/>
        <w:spacing w:after="40"/>
      </w:pPr>
      <w:r>
        <w:t>Design model selection behind an abstraction/routing layer so approved models can be selected by query type, token threshold, cost, health, or administrative override.</w:t>
      </w:r>
    </w:p>
    <w:p>
      <w:pPr>
        <w:pStyle w:val="ListBullet"/>
        <w:spacing w:after="40"/>
      </w:pPr>
      <w:r>
        <w:t>Keep the core Fabric platform unchanged unless a separately approved change is required. Discovery may harden the dictionary/semantic layer, but the RFP does not call for a Fabric rebuild.</w:t>
      </w:r>
    </w:p>
    <w:p>
      <w:pPr>
        <w:pStyle w:val="ListBullet"/>
        <w:spacing w:after="40"/>
      </w:pPr>
      <w:r>
        <w:t>Design for auditability: capture user/tier/channel, question, resolved query, datasets/measures, model, token/cost metadata, answer/citations, guardrail events, and feedback as applicable.</w:t>
      </w:r>
    </w:p>
    <w:p>
      <w:pPr>
        <w:pStyle w:val="Heading1"/>
      </w:pPr>
      <w:r>
        <w:t>3. Logical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Project Guideline</w:t>
            </w:r>
          </w:p>
        </w:tc>
      </w:tr>
      <w:tr>
        <w:tc>
          <w:tcPr>
            <w:tcW w:type="dxa" w:w="5112"/>
          </w:tcPr>
          <w:p>
            <w:r>
              <w:rPr>
                <w:rFonts w:ascii="Arial" w:hAnsi="Arial"/>
                <w:sz w:val="18"/>
              </w:rPr>
              <w:t>Channels</w:t>
            </w:r>
          </w:p>
        </w:tc>
        <w:tc>
          <w:tcPr>
            <w:tcW w:type="dxa" w:w="5112"/>
          </w:tcPr>
          <w:p>
            <w:r>
              <w:rPr>
                <w:rFonts w:ascii="Arial" w:hAnsi="Arial"/>
                <w:sz w:val="18"/>
              </w:rPr>
              <w:t>Slack primary; GPT-style web chat; voice-in/voice-out in web/admin; admin console.</w:t>
            </w:r>
          </w:p>
        </w:tc>
      </w:tr>
      <w:tr>
        <w:tc>
          <w:tcPr>
            <w:tcW w:type="dxa" w:w="5112"/>
          </w:tcPr>
          <w:p>
            <w:r>
              <w:rPr>
                <w:rFonts w:ascii="Arial" w:hAnsi="Arial"/>
                <w:sz w:val="18"/>
              </w:rPr>
              <w:t>Identity &amp; Control Plane</w:t>
            </w:r>
          </w:p>
        </w:tc>
        <w:tc>
          <w:tcPr>
            <w:tcW w:type="dxa" w:w="5112"/>
          </w:tcPr>
          <w:p>
            <w:r>
              <w:rPr>
                <w:rFonts w:ascii="Arial" w:hAnsi="Arial"/>
                <w:sz w:val="18"/>
              </w:rPr>
              <w:t>Entra ID/SSO, persona mapping, RBAC context, scope gate, PII controls, guardrails, audit.</w:t>
            </w:r>
          </w:p>
        </w:tc>
      </w:tr>
      <w:tr>
        <w:tc>
          <w:tcPr>
            <w:tcW w:type="dxa" w:w="5112"/>
          </w:tcPr>
          <w:p>
            <w:r>
              <w:rPr>
                <w:rFonts w:ascii="Arial" w:hAnsi="Arial"/>
                <w:sz w:val="18"/>
              </w:rPr>
              <w:t>Agent &amp; Reasoning</w:t>
            </w:r>
          </w:p>
        </w:tc>
        <w:tc>
          <w:tcPr>
            <w:tcW w:type="dxa" w:w="5112"/>
          </w:tcPr>
          <w:p>
            <w:r>
              <w:rPr>
                <w:rFonts w:ascii="Arial" w:hAnsi="Arial"/>
                <w:sz w:val="18"/>
              </w:rPr>
              <w:t>Intent/query planning, governed semantic query, answer composition, trend/variance tools, predictive insight access.</w:t>
            </w:r>
          </w:p>
        </w:tc>
      </w:tr>
      <w:tr>
        <w:tc>
          <w:tcPr>
            <w:tcW w:type="dxa" w:w="5112"/>
          </w:tcPr>
          <w:p>
            <w:r>
              <w:rPr>
                <w:rFonts w:ascii="Arial" w:hAnsi="Arial"/>
                <w:sz w:val="18"/>
              </w:rPr>
              <w:t>Model Operations</w:t>
            </w:r>
          </w:p>
        </w:tc>
        <w:tc>
          <w:tcPr>
            <w:tcW w:type="dxa" w:w="5112"/>
          </w:tcPr>
          <w:p>
            <w:r>
              <w:rPr>
                <w:rFonts w:ascii="Arial" w:hAnsi="Arial"/>
                <w:sz w:val="18"/>
              </w:rPr>
              <w:t>Cost-aware router, approved model endpoints, fallback, token/cost meter, admin override.</w:t>
            </w:r>
          </w:p>
        </w:tc>
      </w:tr>
      <w:tr>
        <w:tc>
          <w:tcPr>
            <w:tcW w:type="dxa" w:w="5112"/>
          </w:tcPr>
          <w:p>
            <w:r>
              <w:rPr>
                <w:rFonts w:ascii="Arial" w:hAnsi="Arial"/>
                <w:sz w:val="18"/>
              </w:rPr>
              <w:t>Data &amp; Analytics</w:t>
            </w:r>
          </w:p>
        </w:tc>
        <w:tc>
          <w:tcPr>
            <w:tcW w:type="dxa" w:w="5112"/>
          </w:tcPr>
          <w:p>
            <w:r>
              <w:rPr>
                <w:rFonts w:ascii="Arial" w:hAnsi="Arial"/>
                <w:sz w:val="18"/>
              </w:rPr>
              <w:t>Microsoft Fabric Gold layer, semantic model, approved Power BI measures, predictive scoring tables.</w:t>
            </w:r>
          </w:p>
        </w:tc>
      </w:tr>
      <w:tr>
        <w:tc>
          <w:tcPr>
            <w:tcW w:type="dxa" w:w="5112"/>
          </w:tcPr>
          <w:p>
            <w:r>
              <w:rPr>
                <w:rFonts w:ascii="Arial" w:hAnsi="Arial"/>
                <w:sz w:val="18"/>
              </w:rPr>
              <w:t>Governance &amp; Observability</w:t>
            </w:r>
          </w:p>
        </w:tc>
        <w:tc>
          <w:tcPr>
            <w:tcW w:type="dxa" w:w="5112"/>
          </w:tcPr>
          <w:p>
            <w:r>
              <w:rPr>
                <w:rFonts w:ascii="Arial" w:hAnsi="Arial"/>
                <w:sz w:val="18"/>
              </w:rPr>
              <w:t>Purview-aligned classification, audit records, eval harness, health/latency/cost monitoring, drift monitoring.</w:t>
            </w:r>
          </w:p>
        </w:tc>
      </w:tr>
    </w:tbl>
    <w:p>
      <w:pPr>
        <w:pStyle w:val="Heading1"/>
      </w:pPr>
      <w:r>
        <w:t>4. Required Architecture Reviews</w:t>
      </w:r>
    </w:p>
    <w:p>
      <w:pPr>
        <w:pStyle w:val="ListBullet"/>
        <w:spacing w:after="40"/>
      </w:pPr>
      <w:r>
        <w:t>Discovery architecture baseline and data/semantic readiness review.</w:t>
      </w:r>
    </w:p>
    <w:p>
      <w:pPr>
        <w:pStyle w:val="ListBullet"/>
        <w:spacing w:after="40"/>
      </w:pPr>
      <w:r>
        <w:t>Security/RBAC/PII design review before end-to-end business data testing.</w:t>
      </w:r>
    </w:p>
    <w:p>
      <w:pPr>
        <w:pStyle w:val="ListBullet"/>
        <w:spacing w:after="40"/>
      </w:pPr>
      <w:r>
        <w:t>Integration review for Slack, Azure OpenAI, Azure AI Speech, and Fabric connectivity.</w:t>
      </w:r>
    </w:p>
    <w:p>
      <w:pPr>
        <w:pStyle w:val="ListBullet"/>
        <w:spacing w:after="40"/>
      </w:pPr>
      <w:r>
        <w:t>Pre-UAT architecture review covering resilience, logging, model routing, and operational support.</w:t>
      </w:r>
    </w:p>
    <w:p>
      <w:pPr>
        <w:pStyle w:val="ListBullet"/>
        <w:spacing w:after="40"/>
      </w:pPr>
      <w:r>
        <w:t>Pre-production review against signed acceptance criteria and go-live checklist.</w:t>
      </w:r>
    </w:p>
    <w:p>
      <w:pPr>
        <w:pStyle w:val="Heading1"/>
      </w:pPr>
      <w:r>
        <w:t>5. Architecture Decision Records (Recommended Project Convention)</w:t>
      </w:r>
    </w:p>
    <w:p>
      <w:pPr>
        <w:spacing w:after="80"/>
      </w:pPr>
      <w:r>
        <w:rPr>
          <w:rFonts w:ascii="Arial" w:hAnsi="Arial"/>
          <w:b w:val="0"/>
          <w:sz w:val="20"/>
        </w:rPr>
        <w:t>For decisions not explicitly prescribed by the RFP/proposal, maintain lightweight ADRs covering context, options, decision, security/compliance impact, cost impact, owner, and approval.</w:t>
      </w:r>
    </w:p>
    <w:p>
      <w:pPr>
        <w:pStyle w:val="Heading1"/>
      </w:pPr>
      <w:r>
        <w:t>Source Basis</w:t>
      </w:r>
    </w:p>
    <w:p>
      <w:pPr>
        <w:spacing w:after="80"/>
      </w:pPr>
      <w:r>
        <w:rPr>
          <w:rFonts w:ascii="Arial" w:hAnsi="Arial"/>
          <w:b w:val="0"/>
          <w:sz w:val="20"/>
        </w:rPr>
        <w:t>Project-source references used to derive this guideline:</w:t>
      </w:r>
    </w:p>
    <w:p>
      <w:pPr>
        <w:pStyle w:val="ListBullet"/>
        <w:spacing w:after="40"/>
      </w:pPr>
      <w:r>
        <w:t>Better Companies RFP: Sections 1.2, 2.1, 3.1, 3.2, 4, 5.1 and 5.3.</w:t>
      </w:r>
    </w:p>
    <w:p>
      <w:pPr>
        <w:pStyle w:val="ListBullet"/>
        <w:spacing w:after="40"/>
      </w:pPr>
      <w:r>
        <w:t>Artizent proposal: Technical Architecture; question-to-answer flow; governance &amp; compliance; model router; security; self-healing; prerequisites/licensing.</w:t>
      </w:r>
    </w:p>
    <w:p>
      <w:pPr>
        <w:pStyle w:val="ListBullet"/>
        <w:spacing w:after="40"/>
      </w:pPr>
      <w:r>
        <w:t>Work Order draft: Scope of Work, Governance/Security/Compliance, Assumptions and Dependencies.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sz w:val="16"/>
      </w:rPr>
      <w:t>BETTER COMPANIES | PROJECT ELEVATE | INTERNAL GUIDELINE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