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Coding &amp; Development Guideline</w:t>
      </w:r>
    </w:p>
    <w:p>
      <w:pPr>
        <w:jc w:val="center"/>
      </w:pPr>
      <w:r>
        <w:rPr>
          <w:rFonts w:ascii="Arial" w:hAnsi="Arial"/>
          <w:i/>
          <w:sz w:val="20"/>
        </w:rPr>
        <w:t>Better Companies - Project ELEVATE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112"/>
          </w:tcPr>
          <w:p>
            <w:r>
              <w:t>Project ELEVATE - Autonomous Agentic AI on Microsoft Fabric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112"/>
          </w:tcPr>
          <w:p>
            <w:r>
              <w:t>Draft v1.0 - for project review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5112"/>
          </w:tcPr>
          <w:p>
            <w:r>
              <w:t>Artizent Project Team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5112"/>
          </w:tcPr>
          <w:p>
            <w:r>
              <w:t>All project team members and reviewers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b w:val="0"/>
          <w:sz w:val="20"/>
        </w:rPr>
        <w:t>Project ELEVATE is a governed, production-grade autonomous agentic AI capability for Better Companies, built over the existing Microsoft Fabric Gold layer. The solution supports conversational natural-language analytics, trend and variance analysis, predictive insights, persona-based access, Slack, web chat, voice, cost-aware model routing, and administrative oversight. These guidelines are project-specific working standards derived from the Better Companies RFP and Artizent proposal. Where the source material does not prescribe an implementation-level standard, this document marks the item as a recommended project convention to be confirmed during Discovery.</w:t>
      </w:r>
    </w:p>
    <w:p>
      <w:pPr>
        <w:pStyle w:val="Heading1"/>
      </w:pPr>
      <w:r>
        <w:t>2. Mandatory Project Constraints</w:t>
      </w:r>
    </w:p>
    <w:p>
      <w:pPr>
        <w:pStyle w:val="ListBullet"/>
        <w:spacing w:after="40"/>
      </w:pPr>
      <w:r>
        <w:t>Code must preserve governed access boundaries and must never implement a shortcut that bypasses the semantic/RBAC layer.</w:t>
      </w:r>
    </w:p>
    <w:p>
      <w:pPr>
        <w:pStyle w:val="ListBullet"/>
        <w:spacing w:after="40"/>
      </w:pPr>
      <w:r>
        <w:t>Do not hard-code credentials, tokens, secrets, tenant IDs, endpoints, PII, customer records, model keys, or environment-specific configuration.</w:t>
      </w:r>
    </w:p>
    <w:p>
      <w:pPr>
        <w:pStyle w:val="ListBullet"/>
        <w:spacing w:after="40"/>
      </w:pPr>
      <w:r>
        <w:t>Do not place raw PII in prompts, logs, traces, test fixtures, screenshots, exception messages, or source-control history.</w:t>
      </w:r>
    </w:p>
    <w:p>
      <w:pPr>
        <w:pStyle w:val="ListBullet"/>
        <w:spacing w:after="40"/>
      </w:pPr>
      <w:r>
        <w:t>All numbers surfaced by the agent must be traceable to a governed query/result or an approved predictive score.</w:t>
      </w:r>
    </w:p>
    <w:p>
      <w:pPr>
        <w:pStyle w:val="ListBullet"/>
        <w:spacing w:after="40"/>
      </w:pPr>
      <w:r>
        <w:t>Forecast/prediction outputs must be distinguishable from historical facts.</w:t>
      </w:r>
    </w:p>
    <w:p>
      <w:pPr>
        <w:pStyle w:val="ListBullet"/>
        <w:spacing w:after="40"/>
      </w:pPr>
      <w:r>
        <w:t>External/macroeconomic data, unstructured sources, NetSuite/ERP data not in Gold, and net-new Power BI report development are outside the current scope.</w:t>
      </w:r>
    </w:p>
    <w:p>
      <w:pPr>
        <w:pStyle w:val="Heading1"/>
      </w:pPr>
      <w:r>
        <w:t>3. Repository &amp; Code Organization (Recommended Convention)</w:t>
      </w:r>
    </w:p>
    <w:p>
      <w:pPr>
        <w:pStyle w:val="ListBullet"/>
        <w:spacing w:after="40"/>
      </w:pPr>
      <w:r>
        <w:t>Separate channel adapters, agent/orchestration logic, data access, governance/guardrails, model routing, predictive components, shared contracts, configuration, and tests.</w:t>
      </w:r>
    </w:p>
    <w:p>
      <w:pPr>
        <w:pStyle w:val="ListBullet"/>
        <w:spacing w:after="40"/>
      </w:pPr>
      <w:r>
        <w:t>Use environment-based configuration for Dev/QA/Prod and keep deployable artifacts environment-neutral.</w:t>
      </w:r>
    </w:p>
    <w:p>
      <w:pPr>
        <w:pStyle w:val="ListBullet"/>
        <w:spacing w:after="40"/>
      </w:pPr>
      <w:r>
        <w:t>Prefer small, testable modules with explicit interfaces and dependency injection where supported.</w:t>
      </w:r>
    </w:p>
    <w:p>
      <w:pPr>
        <w:pStyle w:val="ListBullet"/>
        <w:spacing w:after="40"/>
      </w:pPr>
      <w:r>
        <w:t>Centralize telemetry, error handling, model invocation, data-query execution, and authorization helpers instead of duplicating them.</w:t>
      </w:r>
    </w:p>
    <w:p>
      <w:pPr>
        <w:pStyle w:val="Heading1"/>
      </w:pPr>
      <w:r>
        <w:t>4. Secure Coding</w:t>
      </w:r>
    </w:p>
    <w:p>
      <w:pPr>
        <w:pStyle w:val="ListBullet"/>
        <w:spacing w:after="40"/>
      </w:pPr>
      <w:r>
        <w:t>Use managed identity/service principals or approved secret stores; never commit secrets.</w:t>
      </w:r>
    </w:p>
    <w:p>
      <w:pPr>
        <w:pStyle w:val="ListBullet"/>
        <w:spacing w:after="40"/>
      </w:pPr>
      <w:r>
        <w:t>Validate and constrain user inputs before tool/query execution.</w:t>
      </w:r>
    </w:p>
    <w:p>
      <w:pPr>
        <w:pStyle w:val="ListBullet"/>
        <w:spacing w:after="40"/>
      </w:pPr>
      <w:r>
        <w:t>Use parameterized/approved query construction and semantic-model interfaces; do not concatenate untrusted input into executable queries.</w:t>
      </w:r>
    </w:p>
    <w:p>
      <w:pPr>
        <w:pStyle w:val="ListBullet"/>
        <w:spacing w:after="40"/>
      </w:pPr>
      <w:r>
        <w:t>Apply least privilege to service identities and application permissions.</w:t>
      </w:r>
    </w:p>
    <w:p>
      <w:pPr>
        <w:pStyle w:val="ListBullet"/>
        <w:spacing w:after="40"/>
      </w:pPr>
      <w:r>
        <w:t>Sanitize logs and traces; log identifiers and metadata needed for audit without exposing restricted fields.</w:t>
      </w:r>
    </w:p>
    <w:p>
      <w:pPr>
        <w:pStyle w:val="ListBullet"/>
        <w:spacing w:after="40"/>
      </w:pPr>
      <w:r>
        <w:t>Fail closed for authorization and PII controls. A failed policy check must not fall through to an unrestricted answer.</w:t>
      </w:r>
    </w:p>
    <w:p>
      <w:pPr>
        <w:pStyle w:val="Heading1"/>
      </w:pPr>
      <w:r>
        <w:t>5. AI-Specific Development Rules</w:t>
      </w:r>
    </w:p>
    <w:p>
      <w:pPr>
        <w:pStyle w:val="ListBullet"/>
        <w:spacing w:after="40"/>
      </w:pPr>
      <w:r>
        <w:t>Prompts/templates must be version-controlled and reviewable.</w:t>
      </w:r>
    </w:p>
    <w:p>
      <w:pPr>
        <w:pStyle w:val="ListBullet"/>
        <w:spacing w:after="40"/>
      </w:pPr>
      <w:r>
        <w:t>Model calls must pass through the approved routing/control layer.</w:t>
      </w:r>
    </w:p>
    <w:p>
      <w:pPr>
        <w:pStyle w:val="ListBullet"/>
        <w:spacing w:after="40"/>
      </w:pPr>
      <w:r>
        <w:t>Do not allow the LLM to supply business numbers from general model knowledge.</w:t>
      </w:r>
    </w:p>
    <w:p>
      <w:pPr>
        <w:pStyle w:val="ListBullet"/>
        <w:spacing w:after="40"/>
      </w:pPr>
      <w:r>
        <w:t>Provide explicit handling for 'insufficient data', out-of-scope, and unauthorized questions.</w:t>
      </w:r>
    </w:p>
    <w:p>
      <w:pPr>
        <w:pStyle w:val="ListBullet"/>
        <w:spacing w:after="40"/>
      </w:pPr>
      <w:r>
        <w:t>Keep deterministic business calculations in code/semantic measures where practical rather than depending on free-form LLM arithmetic.</w:t>
      </w:r>
    </w:p>
    <w:p>
      <w:pPr>
        <w:pStyle w:val="ListBullet"/>
        <w:spacing w:after="40"/>
      </w:pPr>
      <w:r>
        <w:t>Changes affecting prompts, synonyms, routing, grounding, guardrails, or business measures require regression through the approved question bank.</w:t>
      </w:r>
    </w:p>
    <w:p>
      <w:pPr>
        <w:pStyle w:val="Heading1"/>
      </w:pPr>
      <w:r>
        <w:t>6. Pull Request Readiness</w:t>
      </w:r>
    </w:p>
    <w:p>
      <w:pPr>
        <w:pStyle w:val="ListBullet"/>
        <w:spacing w:after="40"/>
      </w:pPr>
      <w:r>
        <w:t>Build/lint checks pass.</w:t>
      </w:r>
    </w:p>
    <w:p>
      <w:pPr>
        <w:pStyle w:val="ListBullet"/>
        <w:spacing w:after="40"/>
      </w:pPr>
      <w:r>
        <w:t>Unit/component tests added or updated.</w:t>
      </w:r>
    </w:p>
    <w:p>
      <w:pPr>
        <w:pStyle w:val="ListBullet"/>
        <w:spacing w:after="40"/>
      </w:pPr>
      <w:r>
        <w:t>No secrets or PII in code/test evidence.</w:t>
      </w:r>
    </w:p>
    <w:p>
      <w:pPr>
        <w:pStyle w:val="ListBullet"/>
        <w:spacing w:after="40"/>
      </w:pPr>
      <w:r>
        <w:t>Relevant acceptance criterion/work item linked.</w:t>
      </w:r>
    </w:p>
    <w:p>
      <w:pPr>
        <w:pStyle w:val="ListBullet"/>
        <w:spacing w:after="40"/>
      </w:pPr>
      <w:r>
        <w:t>Security/RBAC/guardrail impact considered.</w:t>
      </w:r>
    </w:p>
    <w:p>
      <w:pPr>
        <w:pStyle w:val="ListBullet"/>
        <w:spacing w:after="40"/>
      </w:pPr>
      <w:r>
        <w:t>Question-bank/regression impact assessed for AI behavior changes.</w:t>
      </w:r>
    </w:p>
    <w:p>
      <w:pPr>
        <w:pStyle w:val="ListBullet"/>
        <w:spacing w:after="40"/>
      </w:pPr>
      <w:r>
        <w:t>Reviewer evidence/screenshots/log excerpts are sanitized.</w:t>
      </w:r>
    </w:p>
    <w:p>
      <w:pPr>
        <w:pStyle w:val="Heading1"/>
      </w:pPr>
      <w:r>
        <w:t>Source Basis</w:t>
      </w:r>
    </w:p>
    <w:p>
      <w:pPr>
        <w:spacing w:after="80"/>
      </w:pPr>
      <w:r>
        <w:rPr>
          <w:rFonts w:ascii="Arial" w:hAnsi="Arial"/>
          <w:b w:val="0"/>
          <w:sz w:val="20"/>
        </w:rPr>
        <w:t>Project-source references used to derive this guideline:</w:t>
      </w:r>
    </w:p>
    <w:p>
      <w:pPr>
        <w:pStyle w:val="ListBullet"/>
        <w:spacing w:after="40"/>
      </w:pPr>
      <w:r>
        <w:t>Better Companies RFP: Scope - Core AI Agent Capability, Governance and Access, Responsible Operations, Out of Scope, Compliance Requirements.</w:t>
      </w:r>
    </w:p>
    <w:p>
      <w:pPr>
        <w:pStyle w:val="ListBullet"/>
        <w:spacing w:after="40"/>
      </w:pPr>
      <w:r>
        <w:t>Artizent proposal: Grounded generation, answer validation, RBAC enforcement, PII masking, audit trail, model routing and self-healing.</w:t>
      </w:r>
    </w:p>
    <w:p>
      <w:pPr>
        <w:pStyle w:val="ListBullet"/>
        <w:spacing w:after="40"/>
      </w:pPr>
      <w:r>
        <w:t>Implementation-level repository/naming/PR conventions are recommended project standards; the source documents do not prescribe a programming language-specific style guide.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BETTER COMPANIES | PROJECT ELEVATE | INTERNAL GUIDELINE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