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Review &amp; Approval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Review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Minimum Participants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Requirement / Discovery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Business question, persona, Gold source, semantic measure, expected result, PII/compliance impact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Product/SME, Delivery Lead, Architect; Compliance/Data SME as needed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Architecture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Data path, RBAC, PII, model routing, resilience, observability, cost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Solution Architect, Fabric/Data Architect, AI Engineer, Delivery Lead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Code / PR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Correctness, maintainability, security, tests, logging, configuration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Peer engineer + component owner; architect for material design changes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QA Evidence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Question-bank match, regression, PII/what-if/voice/load results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QE, Engineer, Delivery Lead; SME for baseline mismatches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Phase Gate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Deliverables and milestone outcome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Better Companies sponsor/SMEs + Artizent engagement lead/team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Go-live Review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UAT, critical defects, runbooks, access, monitoring, rollback, support readiness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8"/>
              </w:rPr>
              <w:t>Joint project and business owners</w:t>
            </w:r>
          </w:p>
        </w:tc>
      </w:tr>
    </w:tbl>
    <w:p>
      <w:pPr>
        <w:pStyle w:val="Heading1"/>
      </w:pPr>
      <w:r>
        <w:t>3. Code Review Checklist</w:t>
      </w:r>
    </w:p>
    <w:p>
      <w:pPr>
        <w:pStyle w:val="ListBullet"/>
        <w:spacing w:after="40"/>
      </w:pPr>
      <w:r>
        <w:t>Scope/work item and acceptance criteria are clear.</w:t>
      </w:r>
    </w:p>
    <w:p>
      <w:pPr>
        <w:pStyle w:val="ListBullet"/>
        <w:spacing w:after="40"/>
      </w:pPr>
      <w:r>
        <w:t>No unauthorized data path or RBAC bypass.</w:t>
      </w:r>
    </w:p>
    <w:p>
      <w:pPr>
        <w:pStyle w:val="ListBullet"/>
        <w:spacing w:after="40"/>
      </w:pPr>
      <w:r>
        <w:t>PII handling is correct and logs are sanitized.</w:t>
      </w:r>
    </w:p>
    <w:p>
      <w:pPr>
        <w:pStyle w:val="ListBullet"/>
        <w:spacing w:after="40"/>
      </w:pPr>
      <w:r>
        <w:t>Grounding/citation behavior remains intact.</w:t>
      </w:r>
    </w:p>
    <w:p>
      <w:pPr>
        <w:pStyle w:val="ListBullet"/>
        <w:spacing w:after="40"/>
      </w:pPr>
      <w:r>
        <w:t>Error handling and fallback behavior are defined.</w:t>
      </w:r>
    </w:p>
    <w:p>
      <w:pPr>
        <w:pStyle w:val="ListBullet"/>
        <w:spacing w:after="40"/>
      </w:pPr>
      <w:r>
        <w:t>Unit/integration tests cover positive and negative paths.</w:t>
      </w:r>
    </w:p>
    <w:p>
      <w:pPr>
        <w:pStyle w:val="ListBullet"/>
        <w:spacing w:after="40"/>
      </w:pPr>
      <w:r>
        <w:t>Configuration is externalized and environment-safe.</w:t>
      </w:r>
    </w:p>
    <w:p>
      <w:pPr>
        <w:pStyle w:val="ListBullet"/>
        <w:spacing w:after="40"/>
      </w:pPr>
      <w:r>
        <w:t>Observability is adequate without leaking sensitive data.</w:t>
      </w:r>
    </w:p>
    <w:p>
      <w:pPr>
        <w:pStyle w:val="ListBullet"/>
        <w:spacing w:after="40"/>
      </w:pPr>
      <w:r>
        <w:t>AI behavior changes have appropriate question-bank/regression coverage.</w:t>
      </w:r>
    </w:p>
    <w:p>
      <w:pPr>
        <w:pStyle w:val="Heading1"/>
      </w:pPr>
      <w:r>
        <w:t>4. Review SLAs and Escalation</w:t>
      </w:r>
    </w:p>
    <w:p>
      <w:pPr>
        <w:spacing w:after="80"/>
      </w:pPr>
      <w:r>
        <w:rPr>
          <w:rFonts w:ascii="Arial" w:hAnsi="Arial"/>
          <w:b w:val="0"/>
          <w:sz w:val="20"/>
        </w:rPr>
        <w:t>The proposal establishes daily stand-up during Build/QA, bi-weekly sprint demos, weekly steering, formal phase gates, and escalation of blockers unresolved for four hours. Use these as the governance baseline; exact internal PR review SLAs should be agreed by the delivery team during project kickoff.</w:t>
      </w:r>
    </w:p>
    <w:p>
      <w:pPr>
        <w:pStyle w:val="Heading1"/>
      </w:pPr>
      <w:r>
        <w:t>5. Definition of Review Complete</w:t>
      </w:r>
    </w:p>
    <w:p>
      <w:pPr>
        <w:pStyle w:val="ListBullet"/>
        <w:spacing w:after="40"/>
      </w:pPr>
      <w:r>
        <w:t>Required reviewers have approved or comments are resolved.</w:t>
      </w:r>
    </w:p>
    <w:p>
      <w:pPr>
        <w:pStyle w:val="ListBullet"/>
        <w:spacing w:after="40"/>
      </w:pPr>
      <w:r>
        <w:t>Evidence is attached/linked to the work item.</w:t>
      </w:r>
    </w:p>
    <w:p>
      <w:pPr>
        <w:pStyle w:val="ListBullet"/>
        <w:spacing w:after="40"/>
      </w:pPr>
      <w:r>
        <w:t>No open Critical/High issue blocks the applicable gate, subject to the agreed defect definitions.</w:t>
      </w:r>
    </w:p>
    <w:p>
      <w:pPr>
        <w:pStyle w:val="ListBullet"/>
        <w:spacing w:after="40"/>
      </w:pPr>
      <w:r>
        <w:t>Any accepted exception is documented with owner, rationale, risk, and target resolution.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Section 5.1 phased delivery; Section 5.2 governance and cadence.</w:t>
      </w:r>
    </w:p>
    <w:p>
      <w:pPr>
        <w:pStyle w:val="ListBullet"/>
        <w:spacing w:after="40"/>
      </w:pPr>
      <w:r>
        <w:t>Artizent proposal: Delivery rhythm, phase gates, QA-overlapping-Build, guardrail/evaluation loop and escalation approach.</w:t>
      </w:r>
    </w:p>
    <w:p>
      <w:pPr>
        <w:pStyle w:val="ListBullet"/>
        <w:spacing w:after="40"/>
      </w:pPr>
      <w:r>
        <w:t>Trimble reference WO influenced the formal review/acceptance structure only; Better Companies-specific content comes from the RFP/proposal.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