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Testing &amp; Quality Engineering Guideline</w:t>
      </w:r>
    </w:p>
    <w:p>
      <w:pPr>
        <w:jc w:val="center"/>
      </w:pPr>
      <w:r>
        <w:rPr>
          <w:rFonts w:ascii="Arial" w:hAnsi="Arial"/>
          <w:i/>
          <w:sz w:val="20"/>
        </w:rPr>
        <w:t>Better Companies - Project ELEVATE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112"/>
          </w:tcPr>
          <w:p>
            <w:r>
              <w:t>Project ELEVATE - Autonomous Agentic AI on Microsoft Fabric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112"/>
          </w:tcPr>
          <w:p>
            <w:r>
              <w:t>Draft v1.0 - for project review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5112"/>
          </w:tcPr>
          <w:p>
            <w:r>
              <w:t>Artizent Project Team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5112"/>
          </w:tcPr>
          <w:p>
            <w:r>
              <w:t>All project team members and reviewers</w:t>
            </w:r>
          </w:p>
        </w:tc>
      </w:tr>
    </w:tbl>
    <w:p/>
    <w:p>
      <w:pPr>
        <w:pStyle w:val="Heading1"/>
      </w:pPr>
      <w:r>
        <w:t>1. Purpose</w:t>
      </w:r>
    </w:p>
    <w:p>
      <w:pPr>
        <w:spacing w:after="80"/>
      </w:pPr>
      <w:r>
        <w:rPr>
          <w:rFonts w:ascii="Arial" w:hAnsi="Arial"/>
          <w:b w:val="0"/>
          <w:sz w:val="20"/>
        </w:rPr>
        <w:t>Project ELEVATE is a governed, production-grade autonomous agentic AI capability for Better Companies, built over the existing Microsoft Fabric Gold layer. The solution supports conversational natural-language analytics, trend and variance analysis, predictive insights, persona-based access, Slack, web chat, voice, cost-aware model routing, and administrative oversight. These guidelines are project-specific working standards derived from the Better Companies RFP and Artizent proposal. Where the source material does not prescribe an implementation-level standard, this document marks the item as a recommended project convention to be confirmed during Discovery.</w:t>
      </w:r>
    </w:p>
    <w:p>
      <w:pPr>
        <w:pStyle w:val="Heading1"/>
      </w:pPr>
      <w:r>
        <w:t>2. Quality Strategy</w:t>
      </w:r>
    </w:p>
    <w:p>
      <w:pPr>
        <w:spacing w:after="80"/>
      </w:pPr>
      <w:r>
        <w:rPr>
          <w:rFonts w:ascii="Arial" w:hAnsi="Arial"/>
          <w:b w:val="0"/>
          <w:sz w:val="20"/>
        </w:rPr>
        <w:t>QA must run alongside Build rather than starting after development. The 20–50 question bank and selected Power BI measures form the principal business baseline. UAT should confirm a solution already validated by engineering and QA.</w:t>
      </w:r>
    </w:p>
    <w:p>
      <w:pPr>
        <w:pStyle w:val="Heading1"/>
      </w:pPr>
      <w:r>
        <w:t>3. Required Test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Test 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Minimum Coverage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Functional / NLQ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Supported question types, follow-ups, charts, trends, variance, persona behavior, insufficient-data behavior.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Baseline Validation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Question-bank answers compared with approved Power BI/semantic baseline; discrepancies triaged before UAT.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RBAC / Authorization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Same question across Agent, Manager, Executive; unauthorized cross-team/customer access; channel consistency.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PII / Compliance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SSN, DOB, phone, account balance and agreed sensitive fields; prompt firewall, response scan, masking/exclusion, blocked-query logging.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Guardrails / Hallucination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No-result scenarios, unsupported questions, out-of-scope data, fabricated figures, citation/measure traceability.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Predictive Models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Holdout validation, back-testing, confidence/forecast labeling, versioning, rollback, drift monitoring.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Integration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Fabric/semantic model, Azure OpenAI, Azure AI Speech, Slack, admin console, identity and audit store.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Voice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Speech recognition for business vocabulary, spoken-answer brevity, authorization parity, transcript/audit handling, latency.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Performance / Load / Cost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Expected steady-state assumption around 500 queries/day, response latency, concurrency, token/cost visibility and routing.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Resilience / Recovery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Model failover, retry-safe pipelines, stale-score labeling, release rollback, alerting.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Regression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Automated replay after changes to code, prompts, routing, synonyms, guardrails, semantic definitions or predictive components.</w:t>
            </w:r>
          </w:p>
        </w:tc>
      </w:tr>
    </w:tbl>
    <w:p>
      <w:pPr>
        <w:pStyle w:val="Heading1"/>
      </w:pPr>
      <w:r>
        <w:t>4. Test Evidence</w:t>
      </w:r>
    </w:p>
    <w:p>
      <w:pPr>
        <w:pStyle w:val="ListBullet"/>
        <w:spacing w:after="40"/>
      </w:pPr>
      <w:r>
        <w:t>Test case/scenario ID and linked requirement/question-bank item.</w:t>
      </w:r>
    </w:p>
    <w:p>
      <w:pPr>
        <w:pStyle w:val="ListBullet"/>
        <w:spacing w:after="40"/>
      </w:pPr>
      <w:r>
        <w:t>Persona/role and environment.</w:t>
      </w:r>
    </w:p>
    <w:p>
      <w:pPr>
        <w:pStyle w:val="ListBullet"/>
        <w:spacing w:after="40"/>
      </w:pPr>
      <w:r>
        <w:t>Input/question and expected baseline.</w:t>
      </w:r>
    </w:p>
    <w:p>
      <w:pPr>
        <w:pStyle w:val="ListBullet"/>
        <w:spacing w:after="40"/>
      </w:pPr>
      <w:r>
        <w:t>Actual answer/result and data source/measure used.</w:t>
      </w:r>
    </w:p>
    <w:p>
      <w:pPr>
        <w:pStyle w:val="ListBullet"/>
        <w:spacing w:after="40"/>
      </w:pPr>
      <w:r>
        <w:t>Pass/fail with defect link where applicable.</w:t>
      </w:r>
    </w:p>
    <w:p>
      <w:pPr>
        <w:pStyle w:val="ListBullet"/>
        <w:spacing w:after="40"/>
      </w:pPr>
      <w:r>
        <w:t>Sanitized screenshot/log evidence where useful.</w:t>
      </w:r>
    </w:p>
    <w:p>
      <w:pPr>
        <w:pStyle w:val="ListBullet"/>
        <w:spacing w:after="40"/>
      </w:pPr>
      <w:r>
        <w:t>For AI tests, record model/routing context and relevant guardrail outcome without exposing sensitive content.</w:t>
      </w:r>
    </w:p>
    <w:p>
      <w:pPr>
        <w:pStyle w:val="Heading1"/>
      </w:pPr>
      <w:r>
        <w:t>5. Defect &amp; Release Gates</w:t>
      </w:r>
    </w:p>
    <w:p>
      <w:pPr>
        <w:spacing w:after="80"/>
      </w:pPr>
      <w:r>
        <w:rPr>
          <w:rFonts w:ascii="Arial" w:hAnsi="Arial"/>
          <w:b w:val="0"/>
          <w:sz w:val="20"/>
        </w:rPr>
        <w:t>The source documents require phase gates and state that the evaluation/question bank should block releases when baseline quality drops. Exact Critical/High/Medium/Low definitions and numeric pass thresholds are not fully prescribed in the RFP; they should be agreed during Discovery and recorded in the acceptance criteria.</w:t>
      </w:r>
    </w:p>
    <w:p>
      <w:pPr>
        <w:pStyle w:val="Heading1"/>
      </w:pPr>
      <w:r>
        <w:t>6. UAT</w:t>
      </w:r>
    </w:p>
    <w:p>
      <w:pPr>
        <w:pStyle w:val="ListBullet"/>
        <w:spacing w:after="40"/>
      </w:pPr>
      <w:r>
        <w:t>Cover Agent, Manager and Executive personas.</w:t>
      </w:r>
    </w:p>
    <w:p>
      <w:pPr>
        <w:pStyle w:val="ListBullet"/>
        <w:spacing w:after="40"/>
      </w:pPr>
      <w:r>
        <w:t>Use realistic approved business questions and role scopes.</w:t>
      </w:r>
    </w:p>
    <w:p>
      <w:pPr>
        <w:pStyle w:val="ListBullet"/>
        <w:spacing w:after="40"/>
      </w:pPr>
      <w:r>
        <w:t>Include governance/guardrail phrasing from real users.</w:t>
      </w:r>
    </w:p>
    <w:p>
      <w:pPr>
        <w:pStyle w:val="ListBullet"/>
        <w:spacing w:after="40"/>
      </w:pPr>
      <w:r>
        <w:t>Resolve or formally accept blocking defects before sign-off.</w:t>
      </w:r>
    </w:p>
    <w:p>
      <w:pPr>
        <w:pStyle w:val="ListBullet"/>
        <w:spacing w:after="40"/>
      </w:pPr>
      <w:r>
        <w:t>Capture UAT sign-off and go-live readiness jointly.</w:t>
      </w:r>
    </w:p>
    <w:p>
      <w:pPr>
        <w:pStyle w:val="Heading1"/>
      </w:pPr>
      <w:r>
        <w:t>Source Basis</w:t>
      </w:r>
    </w:p>
    <w:p>
      <w:pPr>
        <w:spacing w:after="80"/>
      </w:pPr>
      <w:r>
        <w:rPr>
          <w:rFonts w:ascii="Arial" w:hAnsi="Arial"/>
          <w:b w:val="0"/>
          <w:sz w:val="20"/>
        </w:rPr>
        <w:t>Project-source references used to derive this guideline:</w:t>
      </w:r>
    </w:p>
    <w:p>
      <w:pPr>
        <w:pStyle w:val="ListBullet"/>
        <w:spacing w:after="40"/>
      </w:pPr>
      <w:r>
        <w:t>Better Companies RFP: Data Foundation Hardening, phased QA/UAT requirements, compliance requirements.</w:t>
      </w:r>
    </w:p>
    <w:p>
      <w:pPr>
        <w:pStyle w:val="ListBullet"/>
        <w:spacing w:after="40"/>
      </w:pPr>
      <w:r>
        <w:t>Artizent proposal: question-bank baseline, QA W8-13 overlapping Build, PII red-team, voice/load/cost testing, continuous evals, predictive-model controls and self-healing.</w:t>
      </w:r>
    </w:p>
    <w:p>
      <w:pPr>
        <w:pStyle w:val="ListBullet"/>
        <w:spacing w:after="40"/>
      </w:pPr>
      <w:r>
        <w:t>Exact defect severity definitions and numeric quality thresholds are to be agreed; they are not fully defined in the source material.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BETTER COMPANIES | PROJECT ELEVATE | INTERNAL GUIDELINE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