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Security, Governance &amp; Responsible AI Guideline</w:t>
      </w:r>
    </w:p>
    <w:p>
      <w:pPr>
        <w:jc w:val="center"/>
      </w:pPr>
      <w:r>
        <w:rPr>
          <w:rFonts w:ascii="Arial" w:hAnsi="Arial"/>
          <w:i/>
          <w:sz w:val="20"/>
        </w:rPr>
        <w:t>Better Companies - Project ELEVATE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5112"/>
          </w:tcPr>
          <w:p>
            <w:r>
              <w:t>Project ELEVATE - Autonomous Agentic AI on Microsoft Fabric</w:t>
            </w:r>
          </w:p>
        </w:tc>
      </w:tr>
      <w:tr>
        <w:tc>
          <w:tcPr>
            <w:tcW w:type="dxa" w:w="5112"/>
            <w:shd w:fill="D9EAF7"/>
          </w:tcPr>
          <w:p>
            <w:r>
              <w:rPr>
                <w:b/>
              </w:rPr>
              <w:t>Document Status</w:t>
            </w:r>
          </w:p>
        </w:tc>
        <w:tc>
          <w:tcPr>
            <w:tcW w:type="dxa" w:w="5112"/>
          </w:tcPr>
          <w:p>
            <w:r>
              <w:t>Draft v1.0 - for project review</w:t>
            </w:r>
          </w:p>
        </w:tc>
      </w:tr>
      <w:tr>
        <w:tc>
          <w:tcPr>
            <w:tcW w:type="dxa" w:w="5112"/>
            <w:shd w:fill="D9EAF7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5112"/>
          </w:tcPr>
          <w:p>
            <w:r>
              <w:t>Artizent Project Team</w:t>
            </w:r>
          </w:p>
        </w:tc>
      </w:tr>
      <w:tr>
        <w:tc>
          <w:tcPr>
            <w:tcW w:type="dxa" w:w="5112"/>
            <w:shd w:fill="D9EAF7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5112"/>
          </w:tcPr>
          <w:p>
            <w:r>
              <w:t>All project team members and reviewers</w:t>
            </w:r>
          </w:p>
        </w:tc>
      </w:tr>
    </w:tbl>
    <w:p/>
    <w:p>
      <w:pPr>
        <w:pStyle w:val="Heading1"/>
      </w:pPr>
      <w:r>
        <w:t>1. Purpose</w:t>
      </w:r>
    </w:p>
    <w:p>
      <w:pPr>
        <w:spacing w:after="80"/>
      </w:pPr>
      <w:r>
        <w:rPr>
          <w:rFonts w:ascii="Arial" w:hAnsi="Arial"/>
          <w:b w:val="0"/>
          <w:sz w:val="20"/>
        </w:rPr>
        <w:t>Project ELEVATE is a governed, production-grade autonomous agentic AI capability for Better Companies, built over the existing Microsoft Fabric Gold layer. The solution supports conversational natural-language analytics, trend and variance analysis, predictive insights, persona-based access, Slack, web chat, voice, cost-aware model routing, and administrative oversight. These guidelines are project-specific working standards derived from the Better Companies RFP and Artizent proposal. Where the source material does not prescribe an implementation-level standard, this document marks the item as a recommended project convention to be confirmed during Discovery.</w:t>
      </w:r>
    </w:p>
    <w:p>
      <w:pPr>
        <w:pStyle w:val="Heading1"/>
      </w:pPr>
      <w:r>
        <w:t>2. Core Controls</w:t>
      </w:r>
    </w:p>
    <w:p>
      <w:pPr>
        <w:pStyle w:val="ListBullet"/>
        <w:spacing w:after="40"/>
      </w:pPr>
      <w:r>
        <w:t>Identity first: authenticate the user and establish persona/role before query execution.</w:t>
      </w:r>
    </w:p>
    <w:p>
      <w:pPr>
        <w:pStyle w:val="ListBullet"/>
        <w:spacing w:after="40"/>
      </w:pPr>
      <w:r>
        <w:t>RBAC enforcement must occur in the governed data/semantic layer; never trust prompt instructions alone for access control.</w:t>
      </w:r>
    </w:p>
    <w:p>
      <w:pPr>
        <w:pStyle w:val="ListBullet"/>
        <w:spacing w:after="40"/>
      </w:pPr>
      <w:r>
        <w:t>PII must be identified using the approved field map/Purview classifications and masked, banded, pseudonymized, or excluded before prompt construction.</w:t>
      </w:r>
    </w:p>
    <w:p>
      <w:pPr>
        <w:pStyle w:val="ListBullet"/>
        <w:spacing w:after="40"/>
      </w:pPr>
      <w:r>
        <w:t>Every numerical claim must be grounded in a governed result; no result means no invented number.</w:t>
      </w:r>
    </w:p>
    <w:p>
      <w:pPr>
        <w:pStyle w:val="ListBullet"/>
        <w:spacing w:after="40"/>
      </w:pPr>
      <w:r>
        <w:t>Run answer validation before response delivery and attach source/measure context where applicable.</w:t>
      </w:r>
    </w:p>
    <w:p>
      <w:pPr>
        <w:pStyle w:val="ListBullet"/>
        <w:spacing w:after="40"/>
      </w:pPr>
      <w:r>
        <w:t>Log every interaction and material guardrail event in the Customer environment according to the approved retention policy.</w:t>
      </w:r>
    </w:p>
    <w:p>
      <w:pPr>
        <w:pStyle w:val="ListBullet"/>
        <w:spacing w:after="40"/>
      </w:pPr>
      <w:r>
        <w:t>Use approved enterprise AI services in the Better Companies tenant; project data must not be copied to an Artizent-owned production data store.</w:t>
      </w:r>
    </w:p>
    <w:p>
      <w:pPr>
        <w:pStyle w:val="ListBullet"/>
        <w:spacing w:after="40"/>
      </w:pPr>
      <w:r>
        <w:t>Predictive model promotion requires documented validation and human approval; retain version/rollback capability.</w:t>
      </w:r>
    </w:p>
    <w:p>
      <w:pPr>
        <w:pStyle w:val="Heading1"/>
      </w:pPr>
      <w:r>
        <w:t>3. Four-Gate Response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Gate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Control</w:t>
            </w:r>
          </w:p>
        </w:tc>
      </w:tr>
      <w:tr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1. Scope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Is the question in scope and answerable for this role from approved Gold data?</w:t>
            </w:r>
          </w:p>
        </w:tc>
      </w:tr>
      <w:tr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2. Grounding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Use only values returned by governed queries/approved scores.</w:t>
            </w:r>
          </w:p>
        </w:tc>
      </w:tr>
      <w:tr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3. Validation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Re-check figures, source/measure traceability, forecast labels, and response policy.</w:t>
            </w:r>
          </w:p>
        </w:tc>
      </w:tr>
      <w:tr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4. Continuous Evaluation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Replay the approved question bank/regression suite; block releases on material regression according to agreed thresholds.</w:t>
            </w:r>
          </w:p>
        </w:tc>
      </w:tr>
    </w:tbl>
    <w:p>
      <w:pPr>
        <w:pStyle w:val="Heading1"/>
      </w:pPr>
      <w:r>
        <w:t>4. Compliance</w:t>
      </w:r>
    </w:p>
    <w:p>
      <w:pPr>
        <w:pStyle w:val="ListBullet"/>
        <w:spacing w:after="40"/>
      </w:pPr>
      <w:r>
        <w:t>TCPA: prevent inappropriate use/exposure of customer contact data and no outbound AI telephony within current scope.</w:t>
      </w:r>
    </w:p>
    <w:p>
      <w:pPr>
        <w:pStyle w:val="ListBullet"/>
        <w:spacing w:after="40"/>
      </w:pPr>
      <w:r>
        <w:t>FCRA: restrict credit/financial attributes by approved purpose/role and avoid unsupported adverse-action style statements.</w:t>
      </w:r>
    </w:p>
    <w:p>
      <w:pPr>
        <w:pStyle w:val="ListBullet"/>
        <w:spacing w:after="40"/>
      </w:pPr>
      <w:r>
        <w:t>FDCPA: present debt-related information as governed analytics, not unapproved collection communications.</w:t>
      </w:r>
    </w:p>
    <w:p>
      <w:pPr>
        <w:pStyle w:val="ListBullet"/>
        <w:spacing w:after="40"/>
      </w:pPr>
      <w:r>
        <w:t>CCPA is identified in the Better Companies company context; specific project controls/acceptance criteria for CCPA should be confirmed with Better Companies compliance during Discovery because the detailed proposal focuses primarily on TCPA/FCRA/FDCPA.</w:t>
      </w:r>
    </w:p>
    <w:p>
      <w:pPr>
        <w:pStyle w:val="Heading1"/>
      </w:pPr>
      <w:r>
        <w:t>5. Incident / Exception Handling</w:t>
      </w:r>
    </w:p>
    <w:p>
      <w:pPr>
        <w:pStyle w:val="ListBullet"/>
        <w:spacing w:after="40"/>
      </w:pPr>
      <w:r>
        <w:t>Fail closed on authorization/PII policy errors.</w:t>
      </w:r>
    </w:p>
    <w:p>
      <w:pPr>
        <w:pStyle w:val="ListBullet"/>
        <w:spacing w:after="40"/>
      </w:pPr>
      <w:r>
        <w:t>Record guardrail blocks and security-relevant events.</w:t>
      </w:r>
    </w:p>
    <w:p>
      <w:pPr>
        <w:pStyle w:val="ListBullet"/>
        <w:spacing w:after="40"/>
      </w:pPr>
      <w:r>
        <w:t>Escalate repeated PII flags or suspicious patterns to the agreed compliance/security owner.</w:t>
      </w:r>
    </w:p>
    <w:p>
      <w:pPr>
        <w:pStyle w:val="ListBullet"/>
        <w:spacing w:after="40"/>
      </w:pPr>
      <w:r>
        <w:t>Document approved exceptions with owner, duration, rationale, compensating control, and expiry.</w:t>
      </w:r>
    </w:p>
    <w:p>
      <w:pPr>
        <w:pStyle w:val="Heading1"/>
      </w:pPr>
      <w:r>
        <w:t>Source Basis</w:t>
      </w:r>
    </w:p>
    <w:p>
      <w:pPr>
        <w:spacing w:after="80"/>
      </w:pPr>
      <w:r>
        <w:rPr>
          <w:rFonts w:ascii="Arial" w:hAnsi="Arial"/>
          <w:b w:val="0"/>
          <w:sz w:val="20"/>
        </w:rPr>
        <w:t>Project-source references used to derive this guideline:</w:t>
      </w:r>
    </w:p>
    <w:p>
      <w:pPr>
        <w:pStyle w:val="ListBullet"/>
        <w:spacing w:after="40"/>
      </w:pPr>
      <w:r>
        <w:t>Better Companies RFP: company regulatory context; Governance and Access; Compliance Requirements.</w:t>
      </w:r>
    </w:p>
    <w:p>
      <w:pPr>
        <w:pStyle w:val="ListBullet"/>
        <w:spacing w:after="40"/>
      </w:pPr>
      <w:r>
        <w:t>Artizent proposal: four guardrail gates, PII design, audit trail, TCPA/FCRA/FDCPA controls, security of data and self-healing.</w:t>
      </w:r>
    </w:p>
    <w:p>
      <w:pPr>
        <w:pStyle w:val="ListBullet"/>
        <w:spacing w:after="40"/>
      </w:pPr>
      <w:r>
        <w:t>CCPA-specific implementation detail is not developed in the proposal and should be validated during Discovery.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sz w:val="16"/>
      </w:rPr>
      <w:t>BETTER COMPANIES | PROJECT ELEVATE | INTERNAL GUIDELINE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