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8ECB2" w14:textId="77777777" w:rsidR="00392AF9" w:rsidRDefault="00000000">
      <w:pPr>
        <w:spacing w:after="120"/>
      </w:pPr>
      <w:r>
        <w:rPr>
          <w:rFonts w:ascii="Calibri" w:eastAsia="Calibri" w:hAnsi="Calibri" w:cs="Calibri"/>
          <w:b/>
          <w:bCs/>
          <w:color w:val="1B2A4A"/>
          <w:sz w:val="52"/>
          <w:szCs w:val="52"/>
        </w:rPr>
        <w:t>REQUEST FOR PROPOSAL</w:t>
      </w:r>
    </w:p>
    <w:p w14:paraId="44CD3371" w14:textId="77777777" w:rsidR="00392AF9" w:rsidRDefault="00000000">
      <w:pPr>
        <w:spacing w:after="80"/>
      </w:pPr>
      <w:r>
        <w:rPr>
          <w:rFonts w:ascii="Calibri" w:eastAsia="Calibri" w:hAnsi="Calibri" w:cs="Calibri"/>
          <w:b/>
          <w:bCs/>
          <w:color w:val="2563EB"/>
          <w:sz w:val="32"/>
          <w:szCs w:val="32"/>
        </w:rPr>
        <w:t>Autonomous Agentic AI Capabilities on Microsoft Fabric</w:t>
      </w:r>
    </w:p>
    <w:p w14:paraId="0F3B5A88" w14:textId="77777777" w:rsidR="00392AF9" w:rsidRDefault="00392AF9">
      <w:pPr>
        <w:pBdr>
          <w:bottom w:val="single" w:sz="8" w:space="0" w:color="2563EB"/>
        </w:pBdr>
        <w:spacing w:after="320"/>
      </w:pPr>
    </w:p>
    <w:p w14:paraId="00FAF1D1" w14:textId="77777777" w:rsidR="00392AF9" w:rsidRDefault="00000000">
      <w:pPr>
        <w:shd w:val="clear" w:color="1B2A4A" w:fill="1B2A4A"/>
        <w:spacing w:before="320" w:after="160"/>
        <w:ind w:left="120" w:right="120"/>
      </w:pPr>
      <w:r>
        <w:rPr>
          <w:rFonts w:ascii="Calibri" w:eastAsia="Calibri" w:hAnsi="Calibri" w:cs="Calibri"/>
          <w:b/>
          <w:bCs/>
          <w:color w:val="FFFFFF"/>
          <w:sz w:val="22"/>
          <w:szCs w:val="22"/>
        </w:rPr>
        <w:t>1</w:t>
      </w:r>
      <w:proofErr w:type="gramStart"/>
      <w:r>
        <w:rPr>
          <w:rFonts w:ascii="Calibri" w:eastAsia="Calibri" w:hAnsi="Calibri" w:cs="Calibri"/>
          <w:b/>
          <w:bCs/>
          <w:color w:val="FFFFFF"/>
          <w:sz w:val="22"/>
          <w:szCs w:val="22"/>
        </w:rPr>
        <w:t>.  COMPANY</w:t>
      </w:r>
      <w:proofErr w:type="gramEnd"/>
      <w:r>
        <w:rPr>
          <w:rFonts w:ascii="Calibri" w:eastAsia="Calibri" w:hAnsi="Calibri" w:cs="Calibri"/>
          <w:b/>
          <w:bCs/>
          <w:color w:val="FFFFFF"/>
          <w:sz w:val="22"/>
          <w:szCs w:val="22"/>
        </w:rPr>
        <w:t xml:space="preserve"> BACKGROUND &amp; CONTEXT</w:t>
      </w:r>
    </w:p>
    <w:p w14:paraId="578D9077"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t>1.1  About</w:t>
      </w:r>
      <w:proofErr w:type="gramEnd"/>
      <w:r>
        <w:rPr>
          <w:rFonts w:ascii="Calibri" w:eastAsia="Calibri" w:hAnsi="Calibri" w:cs="Calibri"/>
          <w:b/>
          <w:bCs/>
          <w:color w:val="1B2A4A"/>
          <w:sz w:val="22"/>
          <w:szCs w:val="22"/>
        </w:rPr>
        <w:t xml:space="preserve"> Better Companies LLC</w:t>
      </w:r>
    </w:p>
    <w:p w14:paraId="6CEC0BCE" w14:textId="77777777" w:rsidR="00392AF9" w:rsidRDefault="00000000">
      <w:pPr>
        <w:spacing w:before="80" w:after="80"/>
      </w:pPr>
      <w:r>
        <w:rPr>
          <w:rFonts w:ascii="Calibri" w:eastAsia="Calibri" w:hAnsi="Calibri" w:cs="Calibri"/>
          <w:color w:val="1E293B"/>
        </w:rPr>
        <w:t>Better Companies LLC is a consumer finance services company operating multiple brands across debt relief, tax relief, consumer lending, and business capital. Our operations are anchored by a high-volume call center model in which frontline agents interact with customers daily to negotiate, advise, and resolve accounts across a range of financial products.</w:t>
      </w:r>
    </w:p>
    <w:p w14:paraId="368DD13A" w14:textId="77777777" w:rsidR="00392AF9" w:rsidRDefault="00392AF9">
      <w:pPr>
        <w:spacing w:after="80"/>
      </w:pPr>
    </w:p>
    <w:p w14:paraId="79A06D6B" w14:textId="0CC6776E" w:rsidR="00392AF9" w:rsidRDefault="00000000">
      <w:pPr>
        <w:spacing w:before="80" w:after="80"/>
      </w:pPr>
      <w:r>
        <w:rPr>
          <w:rFonts w:ascii="Calibri" w:eastAsia="Calibri" w:hAnsi="Calibri" w:cs="Calibri"/>
          <w:color w:val="1E293B"/>
        </w:rPr>
        <w:t xml:space="preserve">We operate in a regulated environment subject to TCPA, </w:t>
      </w:r>
      <w:r w:rsidR="00106FC9">
        <w:rPr>
          <w:rFonts w:ascii="Calibri" w:eastAsia="Calibri" w:hAnsi="Calibri" w:cs="Calibri"/>
          <w:color w:val="1E293B"/>
        </w:rPr>
        <w:t xml:space="preserve">CCPA, </w:t>
      </w:r>
      <w:r>
        <w:rPr>
          <w:rFonts w:ascii="Calibri" w:eastAsia="Calibri" w:hAnsi="Calibri" w:cs="Calibri"/>
          <w:color w:val="1E293B"/>
        </w:rPr>
        <w:t>FCRA, and FDCPA requirements. Data governance, compliance, and responsible AI use are non-negotiable requirements for any engagement.</w:t>
      </w:r>
    </w:p>
    <w:p w14:paraId="02AECF47"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t>1.2  Current</w:t>
      </w:r>
      <w:proofErr w:type="gramEnd"/>
      <w:r>
        <w:rPr>
          <w:rFonts w:ascii="Calibri" w:eastAsia="Calibri" w:hAnsi="Calibri" w:cs="Calibri"/>
          <w:b/>
          <w:bCs/>
          <w:color w:val="1B2A4A"/>
          <w:sz w:val="22"/>
          <w:szCs w:val="22"/>
        </w:rPr>
        <w:t xml:space="preserve"> Technology Foundation</w:t>
      </w:r>
    </w:p>
    <w:p w14:paraId="07527E82" w14:textId="083C16EA" w:rsidR="00392AF9" w:rsidRDefault="00000000">
      <w:pPr>
        <w:spacing w:before="80" w:after="80"/>
      </w:pPr>
      <w:r>
        <w:rPr>
          <w:rFonts w:ascii="Calibri" w:eastAsia="Calibri" w:hAnsi="Calibri" w:cs="Calibri"/>
          <w:color w:val="1E293B"/>
        </w:rPr>
        <w:t xml:space="preserve">Better Companies has made significant investment in modernizing </w:t>
      </w:r>
      <w:r w:rsidR="00106FC9">
        <w:rPr>
          <w:rFonts w:ascii="Calibri" w:eastAsia="Calibri" w:hAnsi="Calibri" w:cs="Calibri"/>
          <w:color w:val="1E293B"/>
        </w:rPr>
        <w:t>their</w:t>
      </w:r>
      <w:r>
        <w:rPr>
          <w:rFonts w:ascii="Calibri" w:eastAsia="Calibri" w:hAnsi="Calibri" w:cs="Calibri"/>
          <w:color w:val="1E293B"/>
        </w:rPr>
        <w:t xml:space="preserve"> data infrastructure under Project ELEVATE, our enterprise data modernization and AI readiness initiative. The current state includes:</w:t>
      </w:r>
    </w:p>
    <w:p w14:paraId="02CBFF0C" w14:textId="77777777" w:rsidR="00392AF9" w:rsidRDefault="00392AF9">
      <w:pPr>
        <w:spacing w:after="80"/>
      </w:pPr>
    </w:p>
    <w:p w14:paraId="67043435"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Microsoft Fabric as the core data platform, with an established Medallion architecture (Bronze, Silver, and Gold layers)</w:t>
      </w:r>
    </w:p>
    <w:p w14:paraId="2753C36E" w14:textId="1C0E432B" w:rsidR="00392AF9" w:rsidRDefault="00000000">
      <w:pPr>
        <w:pStyle w:val="ListParagraph"/>
        <w:numPr>
          <w:ilvl w:val="0"/>
          <w:numId w:val="1"/>
        </w:numPr>
        <w:spacing w:before="60" w:after="60"/>
        <w:ind w:left="360" w:hanging="260"/>
      </w:pPr>
      <w:r>
        <w:rPr>
          <w:rFonts w:ascii="Calibri" w:eastAsia="Calibri" w:hAnsi="Calibri" w:cs="Calibri"/>
          <w:color w:val="1E293B"/>
        </w:rPr>
        <w:t>Active data pipelines ingesting from our call center platform (Ytel)</w:t>
      </w:r>
      <w:r w:rsidR="00106FC9">
        <w:rPr>
          <w:rFonts w:ascii="Calibri" w:eastAsia="Calibri" w:hAnsi="Calibri" w:cs="Calibri"/>
          <w:color w:val="1E293B"/>
        </w:rPr>
        <w:t xml:space="preserve">, </w:t>
      </w:r>
      <w:r>
        <w:rPr>
          <w:rFonts w:ascii="Calibri" w:eastAsia="Calibri" w:hAnsi="Calibri" w:cs="Calibri"/>
          <w:color w:val="1E293B"/>
        </w:rPr>
        <w:t>CRM system</w:t>
      </w:r>
      <w:r w:rsidR="00106FC9">
        <w:rPr>
          <w:rFonts w:ascii="Calibri" w:eastAsia="Calibri" w:hAnsi="Calibri" w:cs="Calibri"/>
          <w:color w:val="1E293B"/>
        </w:rPr>
        <w:t xml:space="preserve"> and others</w:t>
      </w:r>
    </w:p>
    <w:p w14:paraId="537D254E"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A Gold layer containing business-ready structured data across call performance, agent metrics, customer records, resolution outcomes, and campaign results</w:t>
      </w:r>
    </w:p>
    <w:p w14:paraId="030D1315" w14:textId="7AC5BE16" w:rsidR="00392AF9" w:rsidRDefault="00000000">
      <w:pPr>
        <w:pStyle w:val="ListParagraph"/>
        <w:numPr>
          <w:ilvl w:val="0"/>
          <w:numId w:val="1"/>
        </w:numPr>
        <w:spacing w:before="60" w:after="60"/>
        <w:ind w:left="360" w:hanging="260"/>
      </w:pPr>
      <w:r>
        <w:rPr>
          <w:rFonts w:ascii="Calibri" w:eastAsia="Calibri" w:hAnsi="Calibri" w:cs="Calibri"/>
          <w:color w:val="1E293B"/>
        </w:rPr>
        <w:t>60+ operational Power BI reports actively used by managers and leadership</w:t>
      </w:r>
      <w:r w:rsidR="00106FC9">
        <w:rPr>
          <w:rFonts w:ascii="Calibri" w:eastAsia="Calibri" w:hAnsi="Calibri" w:cs="Calibri"/>
          <w:color w:val="1E293B"/>
        </w:rPr>
        <w:t xml:space="preserve"> </w:t>
      </w:r>
    </w:p>
    <w:p w14:paraId="27A1B5C4"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A Power BI semantic model with an in-progress data dictionary and synonym layer</w:t>
      </w:r>
    </w:p>
    <w:p w14:paraId="01C6EF55"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Role-based access controls (RBAC) across Agent, Manager, and Executive tiers</w:t>
      </w:r>
    </w:p>
    <w:p w14:paraId="47D8532A"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Microsoft Purview in place for data cataloging and governance</w:t>
      </w:r>
    </w:p>
    <w:p w14:paraId="5449FC41"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t>1.3  The</w:t>
      </w:r>
      <w:proofErr w:type="gramEnd"/>
      <w:r>
        <w:rPr>
          <w:rFonts w:ascii="Calibri" w:eastAsia="Calibri" w:hAnsi="Calibri" w:cs="Calibri"/>
          <w:b/>
          <w:bCs/>
          <w:color w:val="1B2A4A"/>
          <w:sz w:val="22"/>
          <w:szCs w:val="22"/>
        </w:rPr>
        <w:t xml:space="preserve"> Gap We Are Solving</w:t>
      </w:r>
    </w:p>
    <w:p w14:paraId="355F3776" w14:textId="77777777" w:rsidR="00392AF9" w:rsidRDefault="00000000">
      <w:pPr>
        <w:spacing w:before="80" w:after="80"/>
      </w:pPr>
      <w:r>
        <w:rPr>
          <w:rFonts w:ascii="Calibri" w:eastAsia="Calibri" w:hAnsi="Calibri" w:cs="Calibri"/>
          <w:color w:val="1E293B"/>
        </w:rPr>
        <w:t xml:space="preserve">Despite a strong data foundation, our managers and executives continue to navigate dashboards manually to answer questions that should take seconds. There is no conversational, natural-language interface over our </w:t>
      </w:r>
      <w:proofErr w:type="gramStart"/>
      <w:r>
        <w:rPr>
          <w:rFonts w:ascii="Calibri" w:eastAsia="Calibri" w:hAnsi="Calibri" w:cs="Calibri"/>
          <w:color w:val="1E293B"/>
        </w:rPr>
        <w:t>Gold</w:t>
      </w:r>
      <w:proofErr w:type="gramEnd"/>
      <w:r>
        <w:rPr>
          <w:rFonts w:ascii="Calibri" w:eastAsia="Calibri" w:hAnsi="Calibri" w:cs="Calibri"/>
          <w:color w:val="1E293B"/>
        </w:rPr>
        <w:t xml:space="preserve"> layer data. Trend analysis, variance comparisons, and forward-looking predictions require analyst involvement rather than being self-service. The business is ready to close this gap.</w:t>
      </w:r>
    </w:p>
    <w:p w14:paraId="35B077C3" w14:textId="77777777" w:rsidR="00392AF9" w:rsidRDefault="00000000">
      <w:pPr>
        <w:shd w:val="clear" w:color="1B2A4A" w:fill="1B2A4A"/>
        <w:spacing w:before="320" w:after="160"/>
        <w:ind w:left="120" w:right="120"/>
      </w:pPr>
      <w:r>
        <w:rPr>
          <w:rFonts w:ascii="Calibri" w:eastAsia="Calibri" w:hAnsi="Calibri" w:cs="Calibri"/>
          <w:b/>
          <w:bCs/>
          <w:color w:val="FFFFFF"/>
          <w:sz w:val="22"/>
          <w:szCs w:val="22"/>
        </w:rPr>
        <w:t>2</w:t>
      </w:r>
      <w:proofErr w:type="gramStart"/>
      <w:r>
        <w:rPr>
          <w:rFonts w:ascii="Calibri" w:eastAsia="Calibri" w:hAnsi="Calibri" w:cs="Calibri"/>
          <w:b/>
          <w:bCs/>
          <w:color w:val="FFFFFF"/>
          <w:sz w:val="22"/>
          <w:szCs w:val="22"/>
        </w:rPr>
        <w:t>.  ENGAGEMENT</w:t>
      </w:r>
      <w:proofErr w:type="gramEnd"/>
      <w:r>
        <w:rPr>
          <w:rFonts w:ascii="Calibri" w:eastAsia="Calibri" w:hAnsi="Calibri" w:cs="Calibri"/>
          <w:b/>
          <w:bCs/>
          <w:color w:val="FFFFFF"/>
          <w:sz w:val="22"/>
          <w:szCs w:val="22"/>
        </w:rPr>
        <w:t xml:space="preserve"> OBJECTIVES</w:t>
      </w:r>
    </w:p>
    <w:p w14:paraId="4DEF3301" w14:textId="77777777" w:rsidR="00392AF9" w:rsidRDefault="00392AF9">
      <w:pPr>
        <w:spacing w:after="80"/>
      </w:pPr>
    </w:p>
    <w:p w14:paraId="6C848BEC" w14:textId="624E00C6" w:rsidR="00392AF9" w:rsidRDefault="00000000">
      <w:pPr>
        <w:spacing w:before="80" w:after="80"/>
      </w:pPr>
      <w:r>
        <w:rPr>
          <w:rFonts w:ascii="Calibri" w:eastAsia="Calibri" w:hAnsi="Calibri" w:cs="Calibri"/>
          <w:color w:val="1E293B"/>
        </w:rPr>
        <w:t xml:space="preserve">Better Companies </w:t>
      </w:r>
      <w:proofErr w:type="gramStart"/>
      <w:r>
        <w:rPr>
          <w:rFonts w:ascii="Calibri" w:eastAsia="Calibri" w:hAnsi="Calibri" w:cs="Calibri"/>
          <w:color w:val="1E293B"/>
        </w:rPr>
        <w:t>is</w:t>
      </w:r>
      <w:proofErr w:type="gramEnd"/>
      <w:r>
        <w:rPr>
          <w:rFonts w:ascii="Calibri" w:eastAsia="Calibri" w:hAnsi="Calibri" w:cs="Calibri"/>
          <w:color w:val="1E293B"/>
        </w:rPr>
        <w:t xml:space="preserve"> seeking a qualified vendor to deliver a governed, production-grade autonomous agentic AI capability that places analytical insight directly in the hands of executives</w:t>
      </w:r>
      <w:r w:rsidR="00106FC9">
        <w:rPr>
          <w:rFonts w:ascii="Calibri" w:eastAsia="Calibri" w:hAnsi="Calibri" w:cs="Calibri"/>
          <w:color w:val="1E293B"/>
        </w:rPr>
        <w:t xml:space="preserve"> and </w:t>
      </w:r>
      <w:r>
        <w:rPr>
          <w:rFonts w:ascii="Calibri" w:eastAsia="Calibri" w:hAnsi="Calibri" w:cs="Calibri"/>
          <w:color w:val="1E293B"/>
        </w:rPr>
        <w:t>managers</w:t>
      </w:r>
      <w:r w:rsidR="00106FC9">
        <w:rPr>
          <w:rFonts w:ascii="Calibri" w:eastAsia="Calibri" w:hAnsi="Calibri" w:cs="Calibri"/>
          <w:color w:val="1E293B"/>
        </w:rPr>
        <w:t>,</w:t>
      </w:r>
      <w:r>
        <w:rPr>
          <w:rFonts w:ascii="Calibri" w:eastAsia="Calibri" w:hAnsi="Calibri" w:cs="Calibri"/>
          <w:color w:val="1E293B"/>
        </w:rPr>
        <w:t xml:space="preserve"> by natural language text or voice</w:t>
      </w:r>
      <w:r w:rsidR="00106FC9">
        <w:rPr>
          <w:rFonts w:ascii="Calibri" w:eastAsia="Calibri" w:hAnsi="Calibri" w:cs="Calibri"/>
          <w:color w:val="1E293B"/>
        </w:rPr>
        <w:t>,</w:t>
      </w:r>
      <w:r>
        <w:rPr>
          <w:rFonts w:ascii="Calibri" w:eastAsia="Calibri" w:hAnsi="Calibri" w:cs="Calibri"/>
          <w:color w:val="1E293B"/>
        </w:rPr>
        <w:t xml:space="preserve"> inside the tools they already use.</w:t>
      </w:r>
    </w:p>
    <w:p w14:paraId="68D427E3"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t>2.1  Primary</w:t>
      </w:r>
      <w:proofErr w:type="gramEnd"/>
      <w:r>
        <w:rPr>
          <w:rFonts w:ascii="Calibri" w:eastAsia="Calibri" w:hAnsi="Calibri" w:cs="Calibri"/>
          <w:b/>
          <w:bCs/>
          <w:color w:val="1B2A4A"/>
          <w:sz w:val="22"/>
          <w:szCs w:val="22"/>
        </w:rPr>
        <w:t xml:space="preserve"> Objectives</w:t>
      </w:r>
    </w:p>
    <w:p w14:paraId="2E0B1C43"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Deliver a conversational natural language query (NLQ) interface over the existing </w:t>
      </w:r>
      <w:proofErr w:type="gramStart"/>
      <w:r>
        <w:rPr>
          <w:rFonts w:ascii="Calibri" w:eastAsia="Calibri" w:hAnsi="Calibri" w:cs="Calibri"/>
          <w:color w:val="1E293B"/>
        </w:rPr>
        <w:t>Gold</w:t>
      </w:r>
      <w:proofErr w:type="gramEnd"/>
      <w:r>
        <w:rPr>
          <w:rFonts w:ascii="Calibri" w:eastAsia="Calibri" w:hAnsi="Calibri" w:cs="Calibri"/>
          <w:color w:val="1E293B"/>
        </w:rPr>
        <w:t xml:space="preserve"> layer in Microsoft Fabric, enabling plain-English questions to be answered without dashboard navigation</w:t>
      </w:r>
    </w:p>
    <w:p w14:paraId="7B480649" w14:textId="1E97DB75"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Provide trend, variance, and comparative analytics (month-over-month, quarter-over-quarter, year-over-year) as first-class AI capabilities </w:t>
      </w:r>
      <w:r w:rsidR="00106FC9">
        <w:rPr>
          <w:rFonts w:ascii="Calibri" w:eastAsia="Calibri" w:hAnsi="Calibri" w:cs="Calibri"/>
          <w:color w:val="1E293B"/>
        </w:rPr>
        <w:t>and</w:t>
      </w:r>
      <w:r>
        <w:rPr>
          <w:rFonts w:ascii="Calibri" w:eastAsia="Calibri" w:hAnsi="Calibri" w:cs="Calibri"/>
          <w:color w:val="1E293B"/>
        </w:rPr>
        <w:t xml:space="preserve"> not canned reports</w:t>
      </w:r>
    </w:p>
    <w:p w14:paraId="15261775"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lastRenderedPageBreak/>
        <w:t xml:space="preserve">Deliver predictive modelling capability trained on existing </w:t>
      </w:r>
      <w:proofErr w:type="gramStart"/>
      <w:r>
        <w:rPr>
          <w:rFonts w:ascii="Calibri" w:eastAsia="Calibri" w:hAnsi="Calibri" w:cs="Calibri"/>
          <w:color w:val="1E293B"/>
        </w:rPr>
        <w:t>Gold</w:t>
      </w:r>
      <w:proofErr w:type="gramEnd"/>
      <w:r>
        <w:rPr>
          <w:rFonts w:ascii="Calibri" w:eastAsia="Calibri" w:hAnsi="Calibri" w:cs="Calibri"/>
          <w:color w:val="1E293B"/>
        </w:rPr>
        <w:t xml:space="preserve"> layer data, enabling forward-looking insight alongside historical analysis</w:t>
      </w:r>
    </w:p>
    <w:p w14:paraId="715E9D92"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Preserve and enforce the existing three-tier RBAC model (Agent / Manager / Executive) across all AI interactions</w:t>
      </w:r>
    </w:p>
    <w:p w14:paraId="55CFE179"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Deliver through channels the business already uses, with Slack as the primary delivery channel</w:t>
      </w:r>
    </w:p>
    <w:p w14:paraId="2309CD7A"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Implement responsible AI operations including model-agnostic routing, cost management, and a lightweight admin console for governance and oversight</w:t>
      </w:r>
    </w:p>
    <w:p w14:paraId="4A1C9816" w14:textId="77777777" w:rsidR="00392AF9" w:rsidRDefault="00392AF9">
      <w:pPr>
        <w:spacing w:after="80"/>
      </w:pPr>
    </w:p>
    <w:p w14:paraId="46036ADE"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t>2.2  Expected</w:t>
      </w:r>
      <w:proofErr w:type="gramEnd"/>
      <w:r>
        <w:rPr>
          <w:rFonts w:ascii="Calibri" w:eastAsia="Calibri" w:hAnsi="Calibri" w:cs="Calibri"/>
          <w:b/>
          <w:bCs/>
          <w:color w:val="1B2A4A"/>
          <w:sz w:val="22"/>
          <w:szCs w:val="22"/>
        </w:rPr>
        <w:t xml:space="preserve"> Business Outcomes</w:t>
      </w:r>
    </w:p>
    <w:p w14:paraId="0C27AF8D"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Executives and managers receive answers in seconds rather than navigating reports or waiting for analyst support</w:t>
      </w:r>
    </w:p>
    <w:p w14:paraId="69867316" w14:textId="5B3F7A63" w:rsidR="00392AF9" w:rsidRDefault="00000000">
      <w:pPr>
        <w:pStyle w:val="ListParagraph"/>
        <w:numPr>
          <w:ilvl w:val="0"/>
          <w:numId w:val="1"/>
        </w:numPr>
        <w:spacing w:before="60" w:after="60"/>
        <w:ind w:left="360" w:hanging="260"/>
      </w:pPr>
      <w:r>
        <w:rPr>
          <w:rFonts w:ascii="Calibri" w:eastAsia="Calibri" w:hAnsi="Calibri" w:cs="Calibri"/>
          <w:color w:val="1E293B"/>
        </w:rPr>
        <w:t>Every stakeholder tier receives governed access to the insight relevant to their role</w:t>
      </w:r>
      <w:r w:rsidR="00106FC9">
        <w:rPr>
          <w:rFonts w:ascii="Calibri" w:eastAsia="Calibri" w:hAnsi="Calibri" w:cs="Calibri"/>
          <w:color w:val="1E293B"/>
        </w:rPr>
        <w:t xml:space="preserve"> - </w:t>
      </w:r>
      <w:r>
        <w:rPr>
          <w:rFonts w:ascii="Calibri" w:eastAsia="Calibri" w:hAnsi="Calibri" w:cs="Calibri"/>
          <w:color w:val="1E293B"/>
        </w:rPr>
        <w:t>no more, no less</w:t>
      </w:r>
    </w:p>
    <w:p w14:paraId="65F9FC0A"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True self-service analytics that scales adoption without adding headcount or compromising compliance</w:t>
      </w:r>
    </w:p>
    <w:p w14:paraId="4246FECC"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Measurable reduction in AI operational spend through intelligent model routing</w:t>
      </w:r>
    </w:p>
    <w:p w14:paraId="38A9B8EB"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A reusable, extensible platform that serves as the foundation for future AI capabilities</w:t>
      </w:r>
    </w:p>
    <w:p w14:paraId="2E532380" w14:textId="77777777" w:rsidR="00392AF9" w:rsidRDefault="00000000">
      <w:pPr>
        <w:shd w:val="clear" w:color="1B2A4A" w:fill="1B2A4A"/>
        <w:spacing w:before="320" w:after="160"/>
        <w:ind w:left="120" w:right="120"/>
      </w:pPr>
      <w:r>
        <w:rPr>
          <w:rFonts w:ascii="Calibri" w:eastAsia="Calibri" w:hAnsi="Calibri" w:cs="Calibri"/>
          <w:b/>
          <w:bCs/>
          <w:color w:val="FFFFFF"/>
          <w:sz w:val="22"/>
          <w:szCs w:val="22"/>
        </w:rPr>
        <w:t>3</w:t>
      </w:r>
      <w:proofErr w:type="gramStart"/>
      <w:r>
        <w:rPr>
          <w:rFonts w:ascii="Calibri" w:eastAsia="Calibri" w:hAnsi="Calibri" w:cs="Calibri"/>
          <w:b/>
          <w:bCs/>
          <w:color w:val="FFFFFF"/>
          <w:sz w:val="22"/>
          <w:szCs w:val="22"/>
        </w:rPr>
        <w:t>.  SCOPE</w:t>
      </w:r>
      <w:proofErr w:type="gramEnd"/>
      <w:r>
        <w:rPr>
          <w:rFonts w:ascii="Calibri" w:eastAsia="Calibri" w:hAnsi="Calibri" w:cs="Calibri"/>
          <w:b/>
          <w:bCs/>
          <w:color w:val="FFFFFF"/>
          <w:sz w:val="22"/>
          <w:szCs w:val="22"/>
        </w:rPr>
        <w:t xml:space="preserve"> OF WORK</w:t>
      </w:r>
    </w:p>
    <w:p w14:paraId="11C59867"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t>3.1  In</w:t>
      </w:r>
      <w:proofErr w:type="gramEnd"/>
      <w:r>
        <w:rPr>
          <w:rFonts w:ascii="Calibri" w:eastAsia="Calibri" w:hAnsi="Calibri" w:cs="Calibri"/>
          <w:b/>
          <w:bCs/>
          <w:color w:val="1B2A4A"/>
          <w:sz w:val="22"/>
          <w:szCs w:val="22"/>
        </w:rPr>
        <w:t xml:space="preserve"> Scope</w:t>
      </w:r>
    </w:p>
    <w:p w14:paraId="64747544" w14:textId="77777777" w:rsidR="00392AF9" w:rsidRDefault="00000000">
      <w:pPr>
        <w:spacing w:before="80" w:after="80"/>
      </w:pPr>
      <w:r>
        <w:rPr>
          <w:rFonts w:ascii="Calibri" w:eastAsia="Calibri" w:hAnsi="Calibri" w:cs="Calibri"/>
          <w:color w:val="1E293B"/>
        </w:rPr>
        <w:t xml:space="preserve">Vendors are required to address </w:t>
      </w:r>
      <w:proofErr w:type="gramStart"/>
      <w:r>
        <w:rPr>
          <w:rFonts w:ascii="Calibri" w:eastAsia="Calibri" w:hAnsi="Calibri" w:cs="Calibri"/>
          <w:color w:val="1E293B"/>
        </w:rPr>
        <w:t>all of</w:t>
      </w:r>
      <w:proofErr w:type="gramEnd"/>
      <w:r>
        <w:rPr>
          <w:rFonts w:ascii="Calibri" w:eastAsia="Calibri" w:hAnsi="Calibri" w:cs="Calibri"/>
          <w:color w:val="1E293B"/>
        </w:rPr>
        <w:t xml:space="preserve"> the following within their proposal:</w:t>
      </w:r>
    </w:p>
    <w:p w14:paraId="62C3A757" w14:textId="77777777" w:rsidR="00392AF9" w:rsidRDefault="00392AF9">
      <w:pPr>
        <w:spacing w:after="80"/>
      </w:pPr>
    </w:p>
    <w:p w14:paraId="06F79531" w14:textId="77777777" w:rsidR="00392AF9" w:rsidRDefault="00000000">
      <w:pPr>
        <w:spacing w:before="80" w:after="80"/>
      </w:pPr>
      <w:r>
        <w:rPr>
          <w:rFonts w:ascii="Calibri" w:eastAsia="Calibri" w:hAnsi="Calibri" w:cs="Calibri"/>
          <w:b/>
          <w:bCs/>
          <w:color w:val="1E293B"/>
        </w:rPr>
        <w:t>Core AI Agent Capability</w:t>
      </w:r>
    </w:p>
    <w:p w14:paraId="63233172"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Conversational NLQ interface over the </w:t>
      </w:r>
      <w:proofErr w:type="gramStart"/>
      <w:r>
        <w:rPr>
          <w:rFonts w:ascii="Calibri" w:eastAsia="Calibri" w:hAnsi="Calibri" w:cs="Calibri"/>
          <w:color w:val="1E293B"/>
        </w:rPr>
        <w:t>Gold</w:t>
      </w:r>
      <w:proofErr w:type="gramEnd"/>
      <w:r>
        <w:rPr>
          <w:rFonts w:ascii="Calibri" w:eastAsia="Calibri" w:hAnsi="Calibri" w:cs="Calibri"/>
          <w:color w:val="1E293B"/>
        </w:rPr>
        <w:t xml:space="preserve"> layer with plain-English answers and on-request visual output (charts, trend visuals)</w:t>
      </w:r>
    </w:p>
    <w:p w14:paraId="582CC88A" w14:textId="394EB55E"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Trend and variance analytics </w:t>
      </w:r>
      <w:r w:rsidR="000625D1">
        <w:rPr>
          <w:rFonts w:ascii="Calibri" w:eastAsia="Calibri" w:hAnsi="Calibri" w:cs="Calibri"/>
          <w:color w:val="1E293B"/>
        </w:rPr>
        <w:t xml:space="preserve">including </w:t>
      </w:r>
      <w:r>
        <w:rPr>
          <w:rFonts w:ascii="Calibri" w:eastAsia="Calibri" w:hAnsi="Calibri" w:cs="Calibri"/>
          <w:color w:val="1E293B"/>
        </w:rPr>
        <w:t>month-over-month, quarter-over-quarter, and year-over-year comparisons with automatic visualization</w:t>
      </w:r>
    </w:p>
    <w:p w14:paraId="49164613"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Predictive modelling capability trained on </w:t>
      </w:r>
      <w:proofErr w:type="gramStart"/>
      <w:r>
        <w:rPr>
          <w:rFonts w:ascii="Calibri" w:eastAsia="Calibri" w:hAnsi="Calibri" w:cs="Calibri"/>
          <w:color w:val="1E293B"/>
        </w:rPr>
        <w:t>Gold</w:t>
      </w:r>
      <w:proofErr w:type="gramEnd"/>
      <w:r>
        <w:rPr>
          <w:rFonts w:ascii="Calibri" w:eastAsia="Calibri" w:hAnsi="Calibri" w:cs="Calibri"/>
          <w:color w:val="1E293B"/>
        </w:rPr>
        <w:t xml:space="preserve"> layer historical data, returning forward-looking insight distinct from historical trend analysis</w:t>
      </w:r>
    </w:p>
    <w:p w14:paraId="768B2EFA"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Analytics faculties covering: Agent performance metrics (deals signed, resolution rate, first payment rate); Customer and </w:t>
      </w:r>
      <w:proofErr w:type="gramStart"/>
      <w:r>
        <w:rPr>
          <w:rFonts w:ascii="Calibri" w:eastAsia="Calibri" w:hAnsi="Calibri" w:cs="Calibri"/>
          <w:color w:val="1E293B"/>
        </w:rPr>
        <w:t>account</w:t>
      </w:r>
      <w:proofErr w:type="gramEnd"/>
      <w:r>
        <w:rPr>
          <w:rFonts w:ascii="Calibri" w:eastAsia="Calibri" w:hAnsi="Calibri" w:cs="Calibri"/>
          <w:color w:val="1E293B"/>
        </w:rPr>
        <w:t xml:space="preserve"> performance at the individual level; Team performance aggregated for manager-level views</w:t>
      </w:r>
    </w:p>
    <w:p w14:paraId="5496121F" w14:textId="77777777" w:rsidR="00392AF9" w:rsidRDefault="00392AF9">
      <w:pPr>
        <w:spacing w:after="80"/>
      </w:pPr>
    </w:p>
    <w:p w14:paraId="1C421F48" w14:textId="77777777" w:rsidR="00392AF9" w:rsidRDefault="00000000">
      <w:pPr>
        <w:spacing w:before="80" w:after="80"/>
      </w:pPr>
      <w:r>
        <w:rPr>
          <w:rFonts w:ascii="Calibri" w:eastAsia="Calibri" w:hAnsi="Calibri" w:cs="Calibri"/>
          <w:b/>
          <w:bCs/>
          <w:color w:val="1E293B"/>
        </w:rPr>
        <w:t>Governance and Access</w:t>
      </w:r>
    </w:p>
    <w:p w14:paraId="2FB6D5D7"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Preservation of the existing three-tier RBAC model (Agent / Manager / Executive) with no degradation of existing access controls</w:t>
      </w:r>
    </w:p>
    <w:p w14:paraId="143653ED"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Guardrails against hallucination, out-of-scope data use, and responses that reference customer PII beyond permitted fields</w:t>
      </w:r>
    </w:p>
    <w:p w14:paraId="033E7521" w14:textId="69AB309E"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Governance controls built from day one </w:t>
      </w:r>
      <w:r w:rsidR="00106FC9">
        <w:rPr>
          <w:rFonts w:ascii="Calibri" w:eastAsia="Calibri" w:hAnsi="Calibri" w:cs="Calibri"/>
          <w:color w:val="1E293B"/>
        </w:rPr>
        <w:t xml:space="preserve">and </w:t>
      </w:r>
      <w:r>
        <w:rPr>
          <w:rFonts w:ascii="Calibri" w:eastAsia="Calibri" w:hAnsi="Calibri" w:cs="Calibri"/>
          <w:color w:val="1E293B"/>
        </w:rPr>
        <w:t>not retrofitted post-launch</w:t>
      </w:r>
    </w:p>
    <w:p w14:paraId="0E203827" w14:textId="77777777" w:rsidR="00392AF9" w:rsidRDefault="00392AF9">
      <w:pPr>
        <w:spacing w:after="80"/>
      </w:pPr>
    </w:p>
    <w:p w14:paraId="0516D663" w14:textId="77777777" w:rsidR="00392AF9" w:rsidRDefault="00000000">
      <w:pPr>
        <w:spacing w:before="80" w:after="80"/>
      </w:pPr>
      <w:r>
        <w:rPr>
          <w:rFonts w:ascii="Calibri" w:eastAsia="Calibri" w:hAnsi="Calibri" w:cs="Calibri"/>
          <w:b/>
          <w:bCs/>
          <w:color w:val="1E293B"/>
        </w:rPr>
        <w:t>Delivery Channels</w:t>
      </w:r>
    </w:p>
    <w:p w14:paraId="582B5081"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Slack as the primary delivery channel, enabling shared, compounding learning across users</w:t>
      </w:r>
    </w:p>
    <w:p w14:paraId="10BC5C14"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A lightweight admin UI and GPT-style chat interface as secondary channels</w:t>
      </w:r>
    </w:p>
    <w:p w14:paraId="25251E5E" w14:textId="33FE995B"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Voice interface capability (voice-in, voice-out </w:t>
      </w:r>
      <w:r w:rsidR="000625D1">
        <w:rPr>
          <w:rFonts w:ascii="Calibri" w:eastAsia="Calibri" w:hAnsi="Calibri" w:cs="Calibri"/>
          <w:color w:val="1E293B"/>
        </w:rPr>
        <w:t>and</w:t>
      </w:r>
      <w:r>
        <w:rPr>
          <w:rFonts w:ascii="Calibri" w:eastAsia="Calibri" w:hAnsi="Calibri" w:cs="Calibri"/>
          <w:color w:val="1E293B"/>
        </w:rPr>
        <w:t xml:space="preserve"> not voice-to-text only)</w:t>
      </w:r>
    </w:p>
    <w:p w14:paraId="1C0AD158" w14:textId="77777777" w:rsidR="00392AF9" w:rsidRDefault="00392AF9">
      <w:pPr>
        <w:spacing w:after="80"/>
      </w:pPr>
    </w:p>
    <w:p w14:paraId="660DE499" w14:textId="77777777" w:rsidR="00392AF9" w:rsidRDefault="00000000">
      <w:pPr>
        <w:spacing w:before="80" w:after="80"/>
      </w:pPr>
      <w:r>
        <w:rPr>
          <w:rFonts w:ascii="Calibri" w:eastAsia="Calibri" w:hAnsi="Calibri" w:cs="Calibri"/>
          <w:b/>
          <w:bCs/>
          <w:color w:val="1E293B"/>
        </w:rPr>
        <w:t>Responsible Operations</w:t>
      </w:r>
    </w:p>
    <w:p w14:paraId="3E07B44C"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Model-agnostic, cost-aware routing across LLMs and Copilot, managed behind the scenes</w:t>
      </w:r>
    </w:p>
    <w:p w14:paraId="489CA4F8"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Admin console providing consumption and cost visibility by model, with manual override capability for specific query types</w:t>
      </w:r>
    </w:p>
    <w:p w14:paraId="3C71A45F"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Automated smart routing by token threshold as the primary cost optimization mechanism</w:t>
      </w:r>
    </w:p>
    <w:p w14:paraId="6EBBA807" w14:textId="77777777" w:rsidR="00392AF9" w:rsidRDefault="00392AF9">
      <w:pPr>
        <w:spacing w:after="80"/>
      </w:pPr>
    </w:p>
    <w:p w14:paraId="3029F461" w14:textId="77777777" w:rsidR="00392AF9" w:rsidRDefault="00000000">
      <w:pPr>
        <w:spacing w:before="80" w:after="80"/>
      </w:pPr>
      <w:r>
        <w:rPr>
          <w:rFonts w:ascii="Calibri" w:eastAsia="Calibri" w:hAnsi="Calibri" w:cs="Calibri"/>
          <w:b/>
          <w:bCs/>
          <w:color w:val="1E293B"/>
        </w:rPr>
        <w:t>Data Foundation Hardening (Discovery Phase)</w:t>
      </w:r>
    </w:p>
    <w:p w14:paraId="5490ED00" w14:textId="60D5B020"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Gold layer data dictionary review and hardening during the Discovery phase </w:t>
      </w:r>
      <w:r w:rsidR="00106FC9">
        <w:rPr>
          <w:rFonts w:ascii="Calibri" w:eastAsia="Calibri" w:hAnsi="Calibri" w:cs="Calibri"/>
          <w:color w:val="1E293B"/>
        </w:rPr>
        <w:t xml:space="preserve">– this is </w:t>
      </w:r>
      <w:r>
        <w:rPr>
          <w:rFonts w:ascii="Calibri" w:eastAsia="Calibri" w:hAnsi="Calibri" w:cs="Calibri"/>
          <w:color w:val="1E293B"/>
        </w:rPr>
        <w:t>refinement, not a rebuild</w:t>
      </w:r>
    </w:p>
    <w:p w14:paraId="56E108F1"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Dataset logical grouping and naming aligned to facts and dimensions</w:t>
      </w:r>
    </w:p>
    <w:p w14:paraId="1220EDA1"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Reverse engineering of existing Power BI reports and semantic model for baseline validation</w:t>
      </w:r>
    </w:p>
    <w:p w14:paraId="1448F86E" w14:textId="2C9C3A03"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Question bank development (20–50 questions across executive, manager, and </w:t>
      </w:r>
      <w:r w:rsidR="00106FC9">
        <w:rPr>
          <w:rFonts w:ascii="Calibri" w:eastAsia="Calibri" w:hAnsi="Calibri" w:cs="Calibri"/>
          <w:color w:val="1E293B"/>
        </w:rPr>
        <w:t>other</w:t>
      </w:r>
      <w:r>
        <w:rPr>
          <w:rFonts w:ascii="Calibri" w:eastAsia="Calibri" w:hAnsi="Calibri" w:cs="Calibri"/>
          <w:color w:val="1E293B"/>
        </w:rPr>
        <w:t xml:space="preserve"> personas) to serve as the QA and UAT baseline</w:t>
      </w:r>
    </w:p>
    <w:p w14:paraId="4E6F5D9D" w14:textId="77777777" w:rsidR="00392AF9" w:rsidRDefault="00392AF9">
      <w:pPr>
        <w:spacing w:after="80"/>
      </w:pPr>
    </w:p>
    <w:p w14:paraId="21673F15"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t>3.2  Out</w:t>
      </w:r>
      <w:proofErr w:type="gramEnd"/>
      <w:r>
        <w:rPr>
          <w:rFonts w:ascii="Calibri" w:eastAsia="Calibri" w:hAnsi="Calibri" w:cs="Calibri"/>
          <w:b/>
          <w:bCs/>
          <w:color w:val="1B2A4A"/>
          <w:sz w:val="22"/>
          <w:szCs w:val="22"/>
        </w:rPr>
        <w:t xml:space="preserve"> of Scope</w:t>
      </w:r>
    </w:p>
    <w:p w14:paraId="10EBC373" w14:textId="77777777" w:rsidR="00392AF9" w:rsidRDefault="00000000">
      <w:pPr>
        <w:spacing w:before="80" w:after="80"/>
      </w:pPr>
      <w:r>
        <w:rPr>
          <w:rFonts w:ascii="Calibri" w:eastAsia="Calibri" w:hAnsi="Calibri" w:cs="Calibri"/>
          <w:color w:val="1E293B"/>
        </w:rPr>
        <w:t>The following are explicitly out of scope for this engagement. Vendors should not include these in their proposals:</w:t>
      </w:r>
    </w:p>
    <w:p w14:paraId="3FB5DCCF" w14:textId="77777777" w:rsidR="00392AF9" w:rsidRDefault="00392AF9">
      <w:pPr>
        <w:spacing w:after="80"/>
      </w:pPr>
    </w:p>
    <w:p w14:paraId="3EE4B65C"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Macroeconomic, third-party market data, or external signal integration</w:t>
      </w:r>
    </w:p>
    <w:p w14:paraId="6734B3FF"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NetSuite or financial ERP data (not yet available in the </w:t>
      </w:r>
      <w:proofErr w:type="gramStart"/>
      <w:r>
        <w:rPr>
          <w:rFonts w:ascii="Calibri" w:eastAsia="Calibri" w:hAnsi="Calibri" w:cs="Calibri"/>
          <w:color w:val="1E293B"/>
        </w:rPr>
        <w:t>Gold</w:t>
      </w:r>
      <w:proofErr w:type="gramEnd"/>
      <w:r>
        <w:rPr>
          <w:rFonts w:ascii="Calibri" w:eastAsia="Calibri" w:hAnsi="Calibri" w:cs="Calibri"/>
          <w:color w:val="1E293B"/>
        </w:rPr>
        <w:t xml:space="preserve"> layer)</w:t>
      </w:r>
    </w:p>
    <w:p w14:paraId="6BEA2FE6"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Unstructured data sources</w:t>
      </w:r>
    </w:p>
    <w:p w14:paraId="123C8AD6" w14:textId="6D1E0E13"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Net-new Power BI report builds </w:t>
      </w:r>
      <w:r w:rsidR="000625D1">
        <w:rPr>
          <w:rFonts w:ascii="Calibri" w:eastAsia="Calibri" w:hAnsi="Calibri" w:cs="Calibri"/>
          <w:color w:val="1E293B"/>
        </w:rPr>
        <w:t>but the</w:t>
      </w:r>
      <w:r>
        <w:rPr>
          <w:rFonts w:ascii="Calibri" w:eastAsia="Calibri" w:hAnsi="Calibri" w:cs="Calibri"/>
          <w:color w:val="1E293B"/>
        </w:rPr>
        <w:t xml:space="preserve"> existing reports are to be reused and reverse-engineered, not rebuilt</w:t>
      </w:r>
    </w:p>
    <w:p w14:paraId="37A6E605"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Core infrastructure changes to the Microsoft Fabric platform</w:t>
      </w:r>
    </w:p>
    <w:p w14:paraId="76F5D197" w14:textId="77777777" w:rsidR="00392AF9" w:rsidRDefault="00000000">
      <w:pPr>
        <w:shd w:val="clear" w:color="1B2A4A" w:fill="1B2A4A"/>
        <w:spacing w:before="320" w:after="160"/>
        <w:ind w:left="120" w:right="120"/>
      </w:pPr>
      <w:r>
        <w:rPr>
          <w:rFonts w:ascii="Calibri" w:eastAsia="Calibri" w:hAnsi="Calibri" w:cs="Calibri"/>
          <w:b/>
          <w:bCs/>
          <w:color w:val="FFFFFF"/>
          <w:sz w:val="22"/>
          <w:szCs w:val="22"/>
        </w:rPr>
        <w:t>4</w:t>
      </w:r>
      <w:proofErr w:type="gramStart"/>
      <w:r>
        <w:rPr>
          <w:rFonts w:ascii="Calibri" w:eastAsia="Calibri" w:hAnsi="Calibri" w:cs="Calibri"/>
          <w:b/>
          <w:bCs/>
          <w:color w:val="FFFFFF"/>
          <w:sz w:val="22"/>
          <w:szCs w:val="22"/>
        </w:rPr>
        <w:t>.  ASSUMPTIONS</w:t>
      </w:r>
      <w:proofErr w:type="gramEnd"/>
      <w:r>
        <w:rPr>
          <w:rFonts w:ascii="Calibri" w:eastAsia="Calibri" w:hAnsi="Calibri" w:cs="Calibri"/>
          <w:b/>
          <w:bCs/>
          <w:color w:val="FFFFFF"/>
          <w:sz w:val="22"/>
          <w:szCs w:val="22"/>
        </w:rPr>
        <w:t xml:space="preserve"> &amp; VENDOR DEPENDENCIES</w:t>
      </w:r>
    </w:p>
    <w:p w14:paraId="4F767C73" w14:textId="77777777" w:rsidR="00392AF9" w:rsidRDefault="00392AF9">
      <w:pPr>
        <w:spacing w:after="80"/>
      </w:pPr>
    </w:p>
    <w:p w14:paraId="0F912584"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t>4.1  What</w:t>
      </w:r>
      <w:proofErr w:type="gramEnd"/>
      <w:r>
        <w:rPr>
          <w:rFonts w:ascii="Calibri" w:eastAsia="Calibri" w:hAnsi="Calibri" w:cs="Calibri"/>
          <w:b/>
          <w:bCs/>
          <w:color w:val="1B2A4A"/>
          <w:sz w:val="22"/>
          <w:szCs w:val="22"/>
        </w:rPr>
        <w:t xml:space="preserve"> Better Companies Will Provide</w:t>
      </w:r>
    </w:p>
    <w:p w14:paraId="4E58F558" w14:textId="77777777" w:rsidR="00392AF9" w:rsidRDefault="00000000">
      <w:pPr>
        <w:spacing w:before="80" w:after="80"/>
      </w:pPr>
      <w:r>
        <w:rPr>
          <w:rFonts w:ascii="Calibri" w:eastAsia="Calibri" w:hAnsi="Calibri" w:cs="Calibri"/>
          <w:color w:val="1E293B"/>
        </w:rPr>
        <w:t>Vendors may rely on the following from Better Companies during the engagement:</w:t>
      </w:r>
    </w:p>
    <w:p w14:paraId="45C91A3E" w14:textId="77777777" w:rsidR="00392AF9" w:rsidRDefault="00392AF9">
      <w:pPr>
        <w:spacing w:after="80"/>
      </w:pPr>
    </w:p>
    <w:p w14:paraId="4F009E3B"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Access to Dev, QA, and Production environments in Microsoft Fabric</w:t>
      </w:r>
    </w:p>
    <w:p w14:paraId="65C311E0"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Access to existing Power BI reports and the semantic model for reverse engineering and baseline comparison</w:t>
      </w:r>
    </w:p>
    <w:p w14:paraId="0791B36B" w14:textId="0E9AA76E"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A Gold layer data dictionary that is directionally sound </w:t>
      </w:r>
      <w:r w:rsidR="00106FC9">
        <w:rPr>
          <w:rFonts w:ascii="Calibri" w:eastAsia="Calibri" w:hAnsi="Calibri" w:cs="Calibri"/>
          <w:color w:val="1E293B"/>
        </w:rPr>
        <w:t>and</w:t>
      </w:r>
      <w:r>
        <w:rPr>
          <w:rFonts w:ascii="Calibri" w:eastAsia="Calibri" w:hAnsi="Calibri" w:cs="Calibri"/>
          <w:color w:val="1E293B"/>
        </w:rPr>
        <w:t xml:space="preserve"> hardening to occur during the Discovery phase, not a rebuild from scratch</w:t>
      </w:r>
    </w:p>
    <w:p w14:paraId="7B9CB8B4"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A semantic layer at sufficient maturity to support agentic integration</w:t>
      </w:r>
    </w:p>
    <w:p w14:paraId="4666D15E"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Timely access to subject matter experts (SMEs) from operations, compliance, and the data team for the Quality and Business swim lane</w:t>
      </w:r>
    </w:p>
    <w:p w14:paraId="717AE647" w14:textId="0C6016E4"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A customer-sourced what-if question bank (estimated 20–50 questions across executive, manager, and </w:t>
      </w:r>
      <w:proofErr w:type="gramStart"/>
      <w:r w:rsidR="00106FC9">
        <w:rPr>
          <w:rFonts w:ascii="Calibri" w:eastAsia="Calibri" w:hAnsi="Calibri" w:cs="Calibri"/>
          <w:color w:val="1E293B"/>
        </w:rPr>
        <w:t xml:space="preserve">other </w:t>
      </w:r>
      <w:r>
        <w:rPr>
          <w:rFonts w:ascii="Calibri" w:eastAsia="Calibri" w:hAnsi="Calibri" w:cs="Calibri"/>
          <w:color w:val="1E293B"/>
        </w:rPr>
        <w:t xml:space="preserve"> personas</w:t>
      </w:r>
      <w:proofErr w:type="gramEnd"/>
      <w:r>
        <w:rPr>
          <w:rFonts w:ascii="Calibri" w:eastAsia="Calibri" w:hAnsi="Calibri" w:cs="Calibri"/>
          <w:color w:val="1E293B"/>
        </w:rPr>
        <w:t xml:space="preserve">) </w:t>
      </w:r>
      <w:r w:rsidR="00106FC9">
        <w:rPr>
          <w:rFonts w:ascii="Calibri" w:eastAsia="Calibri" w:hAnsi="Calibri" w:cs="Calibri"/>
          <w:color w:val="1E293B"/>
        </w:rPr>
        <w:t>with</w:t>
      </w:r>
      <w:r>
        <w:rPr>
          <w:rFonts w:ascii="Calibri" w:eastAsia="Calibri" w:hAnsi="Calibri" w:cs="Calibri"/>
          <w:color w:val="1E293B"/>
        </w:rPr>
        <w:t xml:space="preserve"> delivery to be coordinated with the selected vendor during Week 1</w:t>
      </w:r>
    </w:p>
    <w:p w14:paraId="12E1178C" w14:textId="5D5ACF1D" w:rsidR="00392AF9" w:rsidRDefault="00000000">
      <w:pPr>
        <w:pStyle w:val="ListParagraph"/>
        <w:numPr>
          <w:ilvl w:val="0"/>
          <w:numId w:val="1"/>
        </w:numPr>
        <w:spacing w:before="60" w:after="60"/>
        <w:ind w:left="360" w:hanging="260"/>
      </w:pPr>
      <w:r>
        <w:rPr>
          <w:rFonts w:ascii="Calibri" w:eastAsia="Calibri" w:hAnsi="Calibri" w:cs="Calibri"/>
          <w:color w:val="1E293B"/>
        </w:rPr>
        <w:t>Logical dataset naming and grouping mapped to facts and dimensions to be provided during Discovery</w:t>
      </w:r>
    </w:p>
    <w:p w14:paraId="6051231C" w14:textId="77777777" w:rsidR="00392AF9" w:rsidRDefault="00392AF9">
      <w:pPr>
        <w:spacing w:after="80"/>
      </w:pPr>
    </w:p>
    <w:p w14:paraId="23BCCD6E"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t>4.2  Key</w:t>
      </w:r>
      <w:proofErr w:type="gramEnd"/>
      <w:r>
        <w:rPr>
          <w:rFonts w:ascii="Calibri" w:eastAsia="Calibri" w:hAnsi="Calibri" w:cs="Calibri"/>
          <w:b/>
          <w:bCs/>
          <w:color w:val="1B2A4A"/>
          <w:sz w:val="22"/>
          <w:szCs w:val="22"/>
        </w:rPr>
        <w:t xml:space="preserve"> Assumptions Vendors Should Validate</w:t>
      </w:r>
    </w:p>
    <w:p w14:paraId="1D21A9CA"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Vendors should confirm their approach is compatible with Microsoft Fabric, Azure OpenAI, and Slack APIs</w:t>
      </w:r>
    </w:p>
    <w:p w14:paraId="2F7B6008"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Vendors should clearly state any assumptions made about </w:t>
      </w:r>
      <w:proofErr w:type="gramStart"/>
      <w:r>
        <w:rPr>
          <w:rFonts w:ascii="Calibri" w:eastAsia="Calibri" w:hAnsi="Calibri" w:cs="Calibri"/>
          <w:color w:val="1E293B"/>
        </w:rPr>
        <w:t>Gold</w:t>
      </w:r>
      <w:proofErr w:type="gramEnd"/>
      <w:r>
        <w:rPr>
          <w:rFonts w:ascii="Calibri" w:eastAsia="Calibri" w:hAnsi="Calibri" w:cs="Calibri"/>
          <w:color w:val="1E293B"/>
        </w:rPr>
        <w:t xml:space="preserve"> layer readiness in their proposal</w:t>
      </w:r>
    </w:p>
    <w:p w14:paraId="2B1FEED8"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Any dependency on Better </w:t>
      </w:r>
      <w:proofErr w:type="gramStart"/>
      <w:r>
        <w:rPr>
          <w:rFonts w:ascii="Calibri" w:eastAsia="Calibri" w:hAnsi="Calibri" w:cs="Calibri"/>
          <w:color w:val="1E293B"/>
        </w:rPr>
        <w:t>Companies</w:t>
      </w:r>
      <w:proofErr w:type="gramEnd"/>
      <w:r>
        <w:rPr>
          <w:rFonts w:ascii="Calibri" w:eastAsia="Calibri" w:hAnsi="Calibri" w:cs="Calibri"/>
          <w:color w:val="1E293B"/>
        </w:rPr>
        <w:t xml:space="preserve"> resources should be explicitly stated with estimated time commitment</w:t>
      </w:r>
    </w:p>
    <w:p w14:paraId="031AA971" w14:textId="77777777" w:rsidR="00392AF9" w:rsidRDefault="00392AF9">
      <w:pPr>
        <w:spacing w:after="160"/>
      </w:pPr>
    </w:p>
    <w:p w14:paraId="30E306C7" w14:textId="77777777" w:rsidR="00392AF9" w:rsidRDefault="00000000">
      <w:pPr>
        <w:shd w:val="clear" w:color="1B2A4A" w:fill="1B2A4A"/>
        <w:spacing w:before="320" w:after="160"/>
        <w:ind w:left="120" w:right="120"/>
      </w:pPr>
      <w:r>
        <w:rPr>
          <w:rFonts w:ascii="Calibri" w:eastAsia="Calibri" w:hAnsi="Calibri" w:cs="Calibri"/>
          <w:b/>
          <w:bCs/>
          <w:color w:val="FFFFFF"/>
          <w:sz w:val="22"/>
          <w:szCs w:val="22"/>
        </w:rPr>
        <w:t>5</w:t>
      </w:r>
      <w:proofErr w:type="gramStart"/>
      <w:r>
        <w:rPr>
          <w:rFonts w:ascii="Calibri" w:eastAsia="Calibri" w:hAnsi="Calibri" w:cs="Calibri"/>
          <w:b/>
          <w:bCs/>
          <w:color w:val="FFFFFF"/>
          <w:sz w:val="22"/>
          <w:szCs w:val="22"/>
        </w:rPr>
        <w:t>.  DELIVERY</w:t>
      </w:r>
      <w:proofErr w:type="gramEnd"/>
      <w:r>
        <w:rPr>
          <w:rFonts w:ascii="Calibri" w:eastAsia="Calibri" w:hAnsi="Calibri" w:cs="Calibri"/>
          <w:b/>
          <w:bCs/>
          <w:color w:val="FFFFFF"/>
          <w:sz w:val="22"/>
          <w:szCs w:val="22"/>
        </w:rPr>
        <w:t xml:space="preserve"> REQUIREMENTS</w:t>
      </w:r>
    </w:p>
    <w:p w14:paraId="469D14F7"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t>5.1  Phased</w:t>
      </w:r>
      <w:proofErr w:type="gramEnd"/>
      <w:r>
        <w:rPr>
          <w:rFonts w:ascii="Calibri" w:eastAsia="Calibri" w:hAnsi="Calibri" w:cs="Calibri"/>
          <w:b/>
          <w:bCs/>
          <w:color w:val="1B2A4A"/>
          <w:sz w:val="22"/>
          <w:szCs w:val="22"/>
        </w:rPr>
        <w:t xml:space="preserve"> Delivery Model</w:t>
      </w:r>
    </w:p>
    <w:p w14:paraId="133A2F82" w14:textId="77777777" w:rsidR="00392AF9" w:rsidRDefault="00000000">
      <w:pPr>
        <w:spacing w:before="80" w:after="80"/>
      </w:pPr>
      <w:r>
        <w:rPr>
          <w:rFonts w:ascii="Calibri" w:eastAsia="Calibri" w:hAnsi="Calibri" w:cs="Calibri"/>
          <w:color w:val="1E293B"/>
        </w:rPr>
        <w:lastRenderedPageBreak/>
        <w:t xml:space="preserve">Better Companies </w:t>
      </w:r>
      <w:proofErr w:type="gramStart"/>
      <w:r>
        <w:rPr>
          <w:rFonts w:ascii="Calibri" w:eastAsia="Calibri" w:hAnsi="Calibri" w:cs="Calibri"/>
          <w:color w:val="1E293B"/>
        </w:rPr>
        <w:t>requires</w:t>
      </w:r>
      <w:proofErr w:type="gramEnd"/>
      <w:r>
        <w:rPr>
          <w:rFonts w:ascii="Calibri" w:eastAsia="Calibri" w:hAnsi="Calibri" w:cs="Calibri"/>
          <w:color w:val="1E293B"/>
        </w:rPr>
        <w:t xml:space="preserve"> a phased delivery approach leading to a production-grade MVP. Vendors must describe their proposed delivery model clearly, including the phases, milestones, and milestone outcomes. At a minimum, the delivery plan must address the following phases:</w:t>
      </w:r>
    </w:p>
    <w:p w14:paraId="3A3D57A8" w14:textId="77777777" w:rsidR="00392AF9" w:rsidRDefault="00392AF9">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60"/>
        <w:gridCol w:w="3860"/>
      </w:tblGrid>
      <w:tr w:rsidR="00392AF9" w14:paraId="585CDDC4" w14:textId="77777777">
        <w:tblPrEx>
          <w:tblCellMar>
            <w:top w:w="0" w:type="dxa"/>
            <w:bottom w:w="0" w:type="dxa"/>
          </w:tblCellMar>
        </w:tblPrEx>
        <w:tc>
          <w:tcPr>
            <w:tcW w:w="2000" w:type="dxa"/>
            <w:shd w:val="clear" w:color="1B2A4A" w:fill="1B2A4A"/>
            <w:tcMar>
              <w:top w:w="80" w:type="dxa"/>
              <w:left w:w="120" w:type="dxa"/>
              <w:bottom w:w="80" w:type="dxa"/>
              <w:right w:w="120" w:type="dxa"/>
            </w:tcMar>
          </w:tcPr>
          <w:p w14:paraId="5E58A22B" w14:textId="77777777" w:rsidR="00392AF9" w:rsidRDefault="00000000">
            <w:r>
              <w:rPr>
                <w:rFonts w:ascii="Calibri" w:eastAsia="Calibri" w:hAnsi="Calibri" w:cs="Calibri"/>
                <w:b/>
                <w:bCs/>
                <w:color w:val="FFFFFF"/>
                <w:sz w:val="19"/>
                <w:szCs w:val="19"/>
              </w:rPr>
              <w:t>Phase</w:t>
            </w:r>
          </w:p>
        </w:tc>
        <w:tc>
          <w:tcPr>
            <w:tcW w:w="3860" w:type="dxa"/>
            <w:shd w:val="clear" w:color="1B2A4A" w:fill="1B2A4A"/>
            <w:tcMar>
              <w:top w:w="80" w:type="dxa"/>
              <w:left w:w="120" w:type="dxa"/>
              <w:bottom w:w="80" w:type="dxa"/>
              <w:right w:w="120" w:type="dxa"/>
            </w:tcMar>
          </w:tcPr>
          <w:p w14:paraId="0952392B" w14:textId="77777777" w:rsidR="00392AF9" w:rsidRDefault="00000000">
            <w:r>
              <w:rPr>
                <w:rFonts w:ascii="Calibri" w:eastAsia="Calibri" w:hAnsi="Calibri" w:cs="Calibri"/>
                <w:b/>
                <w:bCs/>
                <w:color w:val="FFFFFF"/>
                <w:sz w:val="19"/>
                <w:szCs w:val="19"/>
              </w:rPr>
              <w:t>Activities</w:t>
            </w:r>
          </w:p>
        </w:tc>
        <w:tc>
          <w:tcPr>
            <w:tcW w:w="3860" w:type="dxa"/>
            <w:shd w:val="clear" w:color="1B2A4A" w:fill="1B2A4A"/>
            <w:tcMar>
              <w:top w:w="80" w:type="dxa"/>
              <w:left w:w="120" w:type="dxa"/>
              <w:bottom w:w="80" w:type="dxa"/>
              <w:right w:w="120" w:type="dxa"/>
            </w:tcMar>
          </w:tcPr>
          <w:p w14:paraId="3267EF87" w14:textId="77777777" w:rsidR="00392AF9" w:rsidRDefault="00000000">
            <w:r>
              <w:rPr>
                <w:rFonts w:ascii="Calibri" w:eastAsia="Calibri" w:hAnsi="Calibri" w:cs="Calibri"/>
                <w:b/>
                <w:bCs/>
                <w:color w:val="FFFFFF"/>
                <w:sz w:val="19"/>
                <w:szCs w:val="19"/>
              </w:rPr>
              <w:t>Required Milestone Outcome</w:t>
            </w:r>
          </w:p>
        </w:tc>
      </w:tr>
      <w:tr w:rsidR="00392AF9" w14:paraId="43EDB922" w14:textId="77777777">
        <w:tblPrEx>
          <w:tblCellMar>
            <w:top w:w="0" w:type="dxa"/>
            <w:bottom w:w="0" w:type="dxa"/>
          </w:tblCellMar>
        </w:tblPrEx>
        <w:tc>
          <w:tcPr>
            <w:tcW w:w="2000" w:type="dxa"/>
            <w:shd w:val="clear" w:color="F8FAFC" w:fill="F8FAFC"/>
            <w:tcMar>
              <w:top w:w="80" w:type="dxa"/>
              <w:left w:w="120" w:type="dxa"/>
              <w:bottom w:w="80" w:type="dxa"/>
              <w:right w:w="120" w:type="dxa"/>
            </w:tcMar>
          </w:tcPr>
          <w:p w14:paraId="7DB48C3B" w14:textId="77777777" w:rsidR="00392AF9" w:rsidRDefault="00000000">
            <w:pPr>
              <w:spacing w:before="60" w:after="60"/>
            </w:pPr>
            <w:r>
              <w:rPr>
                <w:rFonts w:ascii="Calibri" w:eastAsia="Calibri" w:hAnsi="Calibri" w:cs="Calibri"/>
                <w:b/>
                <w:bCs/>
                <w:color w:val="1B2A4A"/>
                <w:sz w:val="18"/>
                <w:szCs w:val="18"/>
              </w:rPr>
              <w:t>Discovery</w:t>
            </w:r>
          </w:p>
        </w:tc>
        <w:tc>
          <w:tcPr>
            <w:tcW w:w="3860" w:type="dxa"/>
            <w:shd w:val="clear" w:color="F8FAFC" w:fill="F8FAFC"/>
            <w:tcMar>
              <w:top w:w="80" w:type="dxa"/>
              <w:left w:w="120" w:type="dxa"/>
              <w:bottom w:w="80" w:type="dxa"/>
              <w:right w:w="120" w:type="dxa"/>
            </w:tcMar>
          </w:tcPr>
          <w:p w14:paraId="1274A015" w14:textId="77777777" w:rsidR="00392AF9" w:rsidRDefault="00000000">
            <w:pPr>
              <w:spacing w:before="60" w:after="60"/>
            </w:pPr>
            <w:r>
              <w:rPr>
                <w:rFonts w:ascii="Calibri" w:eastAsia="Calibri" w:hAnsi="Calibri" w:cs="Calibri"/>
                <w:color w:val="1E293B"/>
                <w:sz w:val="18"/>
                <w:szCs w:val="18"/>
              </w:rPr>
              <w:t>Gold layer data dictionary hardening, dataset grouping, Power BI reverse engineering, question bank kickoff</w:t>
            </w:r>
          </w:p>
        </w:tc>
        <w:tc>
          <w:tcPr>
            <w:tcW w:w="3860" w:type="dxa"/>
            <w:shd w:val="clear" w:color="F8FAFC" w:fill="F8FAFC"/>
            <w:tcMar>
              <w:top w:w="80" w:type="dxa"/>
              <w:left w:w="120" w:type="dxa"/>
              <w:bottom w:w="80" w:type="dxa"/>
              <w:right w:w="120" w:type="dxa"/>
            </w:tcMar>
          </w:tcPr>
          <w:p w14:paraId="1F2E07CB" w14:textId="7EDDA761" w:rsidR="00392AF9" w:rsidRDefault="00000000">
            <w:pPr>
              <w:spacing w:before="60" w:after="60"/>
            </w:pPr>
            <w:r>
              <w:rPr>
                <w:rFonts w:ascii="Calibri" w:eastAsia="Calibri" w:hAnsi="Calibri" w:cs="Calibri"/>
                <w:color w:val="1E293B"/>
                <w:sz w:val="18"/>
                <w:szCs w:val="18"/>
              </w:rPr>
              <w:t xml:space="preserve">Shared understanding of </w:t>
            </w:r>
            <w:proofErr w:type="gramStart"/>
            <w:r>
              <w:rPr>
                <w:rFonts w:ascii="Calibri" w:eastAsia="Calibri" w:hAnsi="Calibri" w:cs="Calibri"/>
                <w:color w:val="1E293B"/>
                <w:sz w:val="18"/>
                <w:szCs w:val="18"/>
              </w:rPr>
              <w:t>Gold</w:t>
            </w:r>
            <w:proofErr w:type="gramEnd"/>
            <w:r>
              <w:rPr>
                <w:rFonts w:ascii="Calibri" w:eastAsia="Calibri" w:hAnsi="Calibri" w:cs="Calibri"/>
                <w:color w:val="1E293B"/>
                <w:sz w:val="18"/>
                <w:szCs w:val="18"/>
              </w:rPr>
              <w:t xml:space="preserve"> layer scope </w:t>
            </w:r>
            <w:r w:rsidR="00106FC9">
              <w:rPr>
                <w:rFonts w:ascii="Calibri" w:eastAsia="Calibri" w:hAnsi="Calibri" w:cs="Calibri"/>
                <w:color w:val="1E293B"/>
                <w:sz w:val="18"/>
                <w:szCs w:val="18"/>
              </w:rPr>
              <w:t>with no</w:t>
            </w:r>
            <w:r>
              <w:rPr>
                <w:rFonts w:ascii="Calibri" w:eastAsia="Calibri" w:hAnsi="Calibri" w:cs="Calibri"/>
                <w:color w:val="1E293B"/>
                <w:sz w:val="18"/>
                <w:szCs w:val="18"/>
              </w:rPr>
              <w:t xml:space="preserve"> surprises entering Build</w:t>
            </w:r>
          </w:p>
        </w:tc>
      </w:tr>
      <w:tr w:rsidR="00392AF9" w14:paraId="1780A0BE" w14:textId="77777777">
        <w:tblPrEx>
          <w:tblCellMar>
            <w:top w:w="0" w:type="dxa"/>
            <w:bottom w:w="0" w:type="dxa"/>
          </w:tblCellMar>
        </w:tblPrEx>
        <w:tc>
          <w:tcPr>
            <w:tcW w:w="2000" w:type="dxa"/>
            <w:shd w:val="clear" w:color="FFFFFF" w:fill="FFFFFF"/>
            <w:tcMar>
              <w:top w:w="80" w:type="dxa"/>
              <w:left w:w="120" w:type="dxa"/>
              <w:bottom w:w="80" w:type="dxa"/>
              <w:right w:w="120" w:type="dxa"/>
            </w:tcMar>
          </w:tcPr>
          <w:p w14:paraId="11E424A5" w14:textId="77777777" w:rsidR="00392AF9" w:rsidRDefault="00000000">
            <w:pPr>
              <w:spacing w:before="60" w:after="60"/>
            </w:pPr>
            <w:r>
              <w:rPr>
                <w:rFonts w:ascii="Calibri" w:eastAsia="Calibri" w:hAnsi="Calibri" w:cs="Calibri"/>
                <w:b/>
                <w:bCs/>
                <w:color w:val="1B2A4A"/>
                <w:sz w:val="18"/>
                <w:szCs w:val="18"/>
              </w:rPr>
              <w:t>Build</w:t>
            </w:r>
          </w:p>
        </w:tc>
        <w:tc>
          <w:tcPr>
            <w:tcW w:w="3860" w:type="dxa"/>
            <w:shd w:val="clear" w:color="FFFFFF" w:fill="FFFFFF"/>
            <w:tcMar>
              <w:top w:w="80" w:type="dxa"/>
              <w:left w:w="120" w:type="dxa"/>
              <w:bottom w:w="80" w:type="dxa"/>
              <w:right w:w="120" w:type="dxa"/>
            </w:tcMar>
          </w:tcPr>
          <w:p w14:paraId="785E98DE" w14:textId="77777777" w:rsidR="00392AF9" w:rsidRDefault="00000000">
            <w:pPr>
              <w:spacing w:before="60" w:after="60"/>
            </w:pPr>
            <w:r>
              <w:rPr>
                <w:rFonts w:ascii="Calibri" w:eastAsia="Calibri" w:hAnsi="Calibri" w:cs="Calibri"/>
                <w:color w:val="1E293B"/>
                <w:sz w:val="18"/>
                <w:szCs w:val="18"/>
              </w:rPr>
              <w:t>NLQ agent, RBAC enforcement, trend/variance/predictive analytics, model routing engine, admin console, Slack integration, voice interface</w:t>
            </w:r>
          </w:p>
        </w:tc>
        <w:tc>
          <w:tcPr>
            <w:tcW w:w="3860" w:type="dxa"/>
            <w:shd w:val="clear" w:color="FFFFFF" w:fill="FFFFFF"/>
            <w:tcMar>
              <w:top w:w="80" w:type="dxa"/>
              <w:left w:w="120" w:type="dxa"/>
              <w:bottom w:w="80" w:type="dxa"/>
              <w:right w:w="120" w:type="dxa"/>
            </w:tcMar>
          </w:tcPr>
          <w:p w14:paraId="601B6F10" w14:textId="10769296" w:rsidR="00392AF9" w:rsidRDefault="00000000">
            <w:pPr>
              <w:spacing w:before="60" w:after="60"/>
            </w:pPr>
            <w:r>
              <w:rPr>
                <w:rFonts w:ascii="Calibri" w:eastAsia="Calibri" w:hAnsi="Calibri" w:cs="Calibri"/>
                <w:color w:val="1E293B"/>
                <w:sz w:val="18"/>
                <w:szCs w:val="18"/>
              </w:rPr>
              <w:t xml:space="preserve">Working agent answering real business questions in a development environment </w:t>
            </w:r>
            <w:r w:rsidR="00106FC9">
              <w:rPr>
                <w:rFonts w:ascii="Calibri" w:eastAsia="Calibri" w:hAnsi="Calibri" w:cs="Calibri"/>
                <w:color w:val="1E293B"/>
                <w:sz w:val="18"/>
                <w:szCs w:val="18"/>
              </w:rPr>
              <w:t>with</w:t>
            </w:r>
            <w:r>
              <w:rPr>
                <w:rFonts w:ascii="Calibri" w:eastAsia="Calibri" w:hAnsi="Calibri" w:cs="Calibri"/>
                <w:color w:val="1E293B"/>
                <w:sz w:val="18"/>
                <w:szCs w:val="18"/>
              </w:rPr>
              <w:t xml:space="preserve"> tangible progress every sprint</w:t>
            </w:r>
          </w:p>
        </w:tc>
      </w:tr>
      <w:tr w:rsidR="00392AF9" w14:paraId="39CB6369" w14:textId="77777777">
        <w:tblPrEx>
          <w:tblCellMar>
            <w:top w:w="0" w:type="dxa"/>
            <w:bottom w:w="0" w:type="dxa"/>
          </w:tblCellMar>
        </w:tblPrEx>
        <w:tc>
          <w:tcPr>
            <w:tcW w:w="2000" w:type="dxa"/>
            <w:shd w:val="clear" w:color="F8FAFC" w:fill="F8FAFC"/>
            <w:tcMar>
              <w:top w:w="80" w:type="dxa"/>
              <w:left w:w="120" w:type="dxa"/>
              <w:bottom w:w="80" w:type="dxa"/>
              <w:right w:w="120" w:type="dxa"/>
            </w:tcMar>
          </w:tcPr>
          <w:p w14:paraId="3CA34A07" w14:textId="77777777" w:rsidR="00392AF9" w:rsidRDefault="00000000">
            <w:pPr>
              <w:spacing w:before="60" w:after="60"/>
            </w:pPr>
            <w:r>
              <w:rPr>
                <w:rFonts w:ascii="Calibri" w:eastAsia="Calibri" w:hAnsi="Calibri" w:cs="Calibri"/>
                <w:b/>
                <w:bCs/>
                <w:color w:val="1B2A4A"/>
                <w:sz w:val="18"/>
                <w:szCs w:val="18"/>
              </w:rPr>
              <w:t>QA</w:t>
            </w:r>
          </w:p>
        </w:tc>
        <w:tc>
          <w:tcPr>
            <w:tcW w:w="3860" w:type="dxa"/>
            <w:shd w:val="clear" w:color="F8FAFC" w:fill="F8FAFC"/>
            <w:tcMar>
              <w:top w:w="80" w:type="dxa"/>
              <w:left w:w="120" w:type="dxa"/>
              <w:bottom w:w="80" w:type="dxa"/>
              <w:right w:w="120" w:type="dxa"/>
            </w:tcMar>
          </w:tcPr>
          <w:p w14:paraId="5F5BC070" w14:textId="2D8C6C75" w:rsidR="00392AF9" w:rsidRDefault="00000000">
            <w:pPr>
              <w:spacing w:before="60" w:after="60"/>
            </w:pPr>
            <w:r>
              <w:rPr>
                <w:rFonts w:ascii="Calibri" w:eastAsia="Calibri" w:hAnsi="Calibri" w:cs="Calibri"/>
                <w:color w:val="1E293B"/>
                <w:sz w:val="18"/>
                <w:szCs w:val="18"/>
              </w:rPr>
              <w:t xml:space="preserve">Validation against Power BI baseline, agentic what-if scenario testing, voice interface testing </w:t>
            </w:r>
            <w:r w:rsidR="000625D1">
              <w:rPr>
                <w:rFonts w:ascii="Calibri" w:eastAsia="Calibri" w:hAnsi="Calibri" w:cs="Calibri"/>
                <w:color w:val="1E293B"/>
                <w:sz w:val="18"/>
                <w:szCs w:val="18"/>
              </w:rPr>
              <w:t>and</w:t>
            </w:r>
            <w:r>
              <w:rPr>
                <w:rFonts w:ascii="Calibri" w:eastAsia="Calibri" w:hAnsi="Calibri" w:cs="Calibri"/>
                <w:color w:val="1E293B"/>
                <w:sz w:val="18"/>
                <w:szCs w:val="18"/>
              </w:rPr>
              <w:t xml:space="preserve"> overlapping with Build</w:t>
            </w:r>
          </w:p>
        </w:tc>
        <w:tc>
          <w:tcPr>
            <w:tcW w:w="3860" w:type="dxa"/>
            <w:shd w:val="clear" w:color="F8FAFC" w:fill="F8FAFC"/>
            <w:tcMar>
              <w:top w:w="80" w:type="dxa"/>
              <w:left w:w="120" w:type="dxa"/>
              <w:bottom w:w="80" w:type="dxa"/>
              <w:right w:w="120" w:type="dxa"/>
            </w:tcMar>
          </w:tcPr>
          <w:p w14:paraId="5DF276FB" w14:textId="77777777" w:rsidR="00392AF9" w:rsidRDefault="00000000">
            <w:pPr>
              <w:spacing w:before="60" w:after="60"/>
            </w:pPr>
            <w:r>
              <w:rPr>
                <w:rFonts w:ascii="Calibri" w:eastAsia="Calibri" w:hAnsi="Calibri" w:cs="Calibri"/>
                <w:color w:val="1E293B"/>
                <w:sz w:val="18"/>
                <w:szCs w:val="18"/>
              </w:rPr>
              <w:t>Confidence that agent answers match the business baseline before UAT begins</w:t>
            </w:r>
          </w:p>
        </w:tc>
      </w:tr>
      <w:tr w:rsidR="00392AF9" w14:paraId="4AEBA971" w14:textId="77777777">
        <w:tblPrEx>
          <w:tblCellMar>
            <w:top w:w="0" w:type="dxa"/>
            <w:bottom w:w="0" w:type="dxa"/>
          </w:tblCellMar>
        </w:tblPrEx>
        <w:tc>
          <w:tcPr>
            <w:tcW w:w="2000" w:type="dxa"/>
            <w:shd w:val="clear" w:color="FFFFFF" w:fill="FFFFFF"/>
            <w:tcMar>
              <w:top w:w="80" w:type="dxa"/>
              <w:left w:w="120" w:type="dxa"/>
              <w:bottom w:w="80" w:type="dxa"/>
              <w:right w:w="120" w:type="dxa"/>
            </w:tcMar>
          </w:tcPr>
          <w:p w14:paraId="4AB18005" w14:textId="77777777" w:rsidR="00392AF9" w:rsidRDefault="00000000">
            <w:pPr>
              <w:spacing w:before="60" w:after="60"/>
            </w:pPr>
            <w:r>
              <w:rPr>
                <w:rFonts w:ascii="Calibri" w:eastAsia="Calibri" w:hAnsi="Calibri" w:cs="Calibri"/>
                <w:b/>
                <w:bCs/>
                <w:color w:val="1B2A4A"/>
                <w:sz w:val="18"/>
                <w:szCs w:val="18"/>
              </w:rPr>
              <w:t>UAT &amp; Hardening</w:t>
            </w:r>
          </w:p>
        </w:tc>
        <w:tc>
          <w:tcPr>
            <w:tcW w:w="3860" w:type="dxa"/>
            <w:shd w:val="clear" w:color="FFFFFF" w:fill="FFFFFF"/>
            <w:tcMar>
              <w:top w:w="80" w:type="dxa"/>
              <w:left w:w="120" w:type="dxa"/>
              <w:bottom w:w="80" w:type="dxa"/>
              <w:right w:w="120" w:type="dxa"/>
            </w:tcMar>
          </w:tcPr>
          <w:p w14:paraId="16892798" w14:textId="77777777" w:rsidR="00392AF9" w:rsidRDefault="00000000">
            <w:pPr>
              <w:spacing w:before="60" w:after="60"/>
            </w:pPr>
            <w:r>
              <w:rPr>
                <w:rFonts w:ascii="Calibri" w:eastAsia="Calibri" w:hAnsi="Calibri" w:cs="Calibri"/>
                <w:color w:val="1E293B"/>
                <w:sz w:val="18"/>
                <w:szCs w:val="18"/>
              </w:rPr>
              <w:t>User acceptance across all three roles (executive, manager, agent), guardrail and governance tuning</w:t>
            </w:r>
          </w:p>
        </w:tc>
        <w:tc>
          <w:tcPr>
            <w:tcW w:w="3860" w:type="dxa"/>
            <w:shd w:val="clear" w:color="FFFFFF" w:fill="FFFFFF"/>
            <w:tcMar>
              <w:top w:w="80" w:type="dxa"/>
              <w:left w:w="120" w:type="dxa"/>
              <w:bottom w:w="80" w:type="dxa"/>
              <w:right w:w="120" w:type="dxa"/>
            </w:tcMar>
          </w:tcPr>
          <w:p w14:paraId="26C0BBA6" w14:textId="1F55363B" w:rsidR="00392AF9" w:rsidRDefault="00000000">
            <w:pPr>
              <w:spacing w:before="60" w:after="60"/>
            </w:pPr>
            <w:r>
              <w:rPr>
                <w:rFonts w:ascii="Calibri" w:eastAsia="Calibri" w:hAnsi="Calibri" w:cs="Calibri"/>
                <w:color w:val="1E293B"/>
                <w:sz w:val="18"/>
                <w:szCs w:val="18"/>
              </w:rPr>
              <w:t xml:space="preserve">Sign-off from real users across all three roles </w:t>
            </w:r>
            <w:r w:rsidR="00106FC9">
              <w:rPr>
                <w:rFonts w:ascii="Calibri" w:eastAsia="Calibri" w:hAnsi="Calibri" w:cs="Calibri"/>
                <w:color w:val="1E293B"/>
                <w:sz w:val="18"/>
                <w:szCs w:val="18"/>
              </w:rPr>
              <w:t>and adoption</w:t>
            </w:r>
            <w:r>
              <w:rPr>
                <w:rFonts w:ascii="Calibri" w:eastAsia="Calibri" w:hAnsi="Calibri" w:cs="Calibri"/>
                <w:color w:val="1E293B"/>
                <w:sz w:val="18"/>
                <w:szCs w:val="18"/>
              </w:rPr>
              <w:t xml:space="preserve"> risk retired before go-live</w:t>
            </w:r>
          </w:p>
        </w:tc>
      </w:tr>
      <w:tr w:rsidR="00392AF9" w14:paraId="656AA661" w14:textId="77777777">
        <w:tblPrEx>
          <w:tblCellMar>
            <w:top w:w="0" w:type="dxa"/>
            <w:bottom w:w="0" w:type="dxa"/>
          </w:tblCellMar>
        </w:tblPrEx>
        <w:tc>
          <w:tcPr>
            <w:tcW w:w="2000" w:type="dxa"/>
            <w:shd w:val="clear" w:color="F8FAFC" w:fill="F8FAFC"/>
            <w:tcMar>
              <w:top w:w="80" w:type="dxa"/>
              <w:left w:w="120" w:type="dxa"/>
              <w:bottom w:w="80" w:type="dxa"/>
              <w:right w:w="120" w:type="dxa"/>
            </w:tcMar>
          </w:tcPr>
          <w:p w14:paraId="4DD04198" w14:textId="77777777" w:rsidR="00392AF9" w:rsidRDefault="00000000">
            <w:pPr>
              <w:spacing w:before="60" w:after="60"/>
            </w:pPr>
            <w:r>
              <w:rPr>
                <w:rFonts w:ascii="Calibri" w:eastAsia="Calibri" w:hAnsi="Calibri" w:cs="Calibri"/>
                <w:b/>
                <w:bCs/>
                <w:color w:val="1B2A4A"/>
                <w:sz w:val="18"/>
                <w:szCs w:val="18"/>
              </w:rPr>
              <w:t>Production</w:t>
            </w:r>
          </w:p>
        </w:tc>
        <w:tc>
          <w:tcPr>
            <w:tcW w:w="3860" w:type="dxa"/>
            <w:shd w:val="clear" w:color="F8FAFC" w:fill="F8FAFC"/>
            <w:tcMar>
              <w:top w:w="80" w:type="dxa"/>
              <w:left w:w="120" w:type="dxa"/>
              <w:bottom w:w="80" w:type="dxa"/>
              <w:right w:w="120" w:type="dxa"/>
            </w:tcMar>
          </w:tcPr>
          <w:p w14:paraId="4971537D" w14:textId="373F9B93" w:rsidR="00392AF9" w:rsidRDefault="00000000">
            <w:pPr>
              <w:spacing w:before="60" w:after="60"/>
            </w:pPr>
            <w:r>
              <w:rPr>
                <w:rFonts w:ascii="Calibri" w:eastAsia="Calibri" w:hAnsi="Calibri" w:cs="Calibri"/>
                <w:color w:val="1E293B"/>
                <w:sz w:val="18"/>
                <w:szCs w:val="18"/>
              </w:rPr>
              <w:t>Go-live</w:t>
            </w:r>
            <w:r w:rsidR="00106FC9">
              <w:rPr>
                <w:rFonts w:ascii="Calibri" w:eastAsia="Calibri" w:hAnsi="Calibri" w:cs="Calibri"/>
                <w:color w:val="1E293B"/>
                <w:sz w:val="18"/>
                <w:szCs w:val="18"/>
              </w:rPr>
              <w:t xml:space="preserve">: </w:t>
            </w:r>
            <w:r>
              <w:rPr>
                <w:rFonts w:ascii="Calibri" w:eastAsia="Calibri" w:hAnsi="Calibri" w:cs="Calibri"/>
                <w:color w:val="1E293B"/>
                <w:sz w:val="18"/>
                <w:szCs w:val="18"/>
              </w:rPr>
              <w:t>Slack and admin UI in production, governed self-service in the hands of the business</w:t>
            </w:r>
          </w:p>
        </w:tc>
        <w:tc>
          <w:tcPr>
            <w:tcW w:w="3860" w:type="dxa"/>
            <w:shd w:val="clear" w:color="F8FAFC" w:fill="F8FAFC"/>
            <w:tcMar>
              <w:top w:w="80" w:type="dxa"/>
              <w:left w:w="120" w:type="dxa"/>
              <w:bottom w:w="80" w:type="dxa"/>
              <w:right w:w="120" w:type="dxa"/>
            </w:tcMar>
          </w:tcPr>
          <w:p w14:paraId="1B9CB223" w14:textId="77777777" w:rsidR="00392AF9" w:rsidRDefault="00000000">
            <w:pPr>
              <w:spacing w:before="60" w:after="60"/>
            </w:pPr>
            <w:r>
              <w:rPr>
                <w:rFonts w:ascii="Calibri" w:eastAsia="Calibri" w:hAnsi="Calibri" w:cs="Calibri"/>
                <w:color w:val="1E293B"/>
                <w:sz w:val="18"/>
                <w:szCs w:val="18"/>
              </w:rPr>
              <w:t>Live, production-grade AI capability delivered to end users</w:t>
            </w:r>
          </w:p>
        </w:tc>
      </w:tr>
    </w:tbl>
    <w:p w14:paraId="477DC3E2" w14:textId="77777777" w:rsidR="00392AF9" w:rsidRDefault="00392AF9">
      <w:pPr>
        <w:spacing w:after="160"/>
      </w:pPr>
    </w:p>
    <w:p w14:paraId="3ED09D7A"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t>5.2  Governance</w:t>
      </w:r>
      <w:proofErr w:type="gramEnd"/>
      <w:r>
        <w:rPr>
          <w:rFonts w:ascii="Calibri" w:eastAsia="Calibri" w:hAnsi="Calibri" w:cs="Calibri"/>
          <w:b/>
          <w:bCs/>
          <w:color w:val="1B2A4A"/>
          <w:sz w:val="22"/>
          <w:szCs w:val="22"/>
        </w:rPr>
        <w:t xml:space="preserve"> &amp; Cadence Requirements</w:t>
      </w:r>
    </w:p>
    <w:p w14:paraId="64362C22" w14:textId="77777777" w:rsidR="00392AF9" w:rsidRDefault="00000000">
      <w:pPr>
        <w:spacing w:before="80" w:after="80"/>
      </w:pPr>
      <w:r>
        <w:rPr>
          <w:rFonts w:ascii="Calibri" w:eastAsia="Calibri" w:hAnsi="Calibri" w:cs="Calibri"/>
          <w:color w:val="1E293B"/>
        </w:rPr>
        <w:t>The selected vendor must commit to the following operating cadences:</w:t>
      </w:r>
    </w:p>
    <w:p w14:paraId="0D47F3E3"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Weekly steering review with executive sponsors from both organizations</w:t>
      </w:r>
    </w:p>
    <w:p w14:paraId="1C6415A5"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Phase gate reviews at the conclusion of each delivery phase, with formal sign-off before proceeding</w:t>
      </w:r>
    </w:p>
    <w:p w14:paraId="469F2E09"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Daily stand-up during Build and QA phases</w:t>
      </w:r>
    </w:p>
    <w:p w14:paraId="63B5F9F7"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A Statement of Work (SOW) with defined acceptance criteria must be agreed and signed before any work begins</w:t>
      </w:r>
    </w:p>
    <w:p w14:paraId="57436BBF" w14:textId="77777777" w:rsidR="00392AF9" w:rsidRDefault="00392AF9">
      <w:pPr>
        <w:spacing w:after="80"/>
      </w:pPr>
    </w:p>
    <w:p w14:paraId="50895142"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t>5.3  Compliance</w:t>
      </w:r>
      <w:proofErr w:type="gramEnd"/>
      <w:r>
        <w:rPr>
          <w:rFonts w:ascii="Calibri" w:eastAsia="Calibri" w:hAnsi="Calibri" w:cs="Calibri"/>
          <w:b/>
          <w:bCs/>
          <w:color w:val="1B2A4A"/>
          <w:sz w:val="22"/>
          <w:szCs w:val="22"/>
        </w:rPr>
        <w:t xml:space="preserve"> Requirements</w:t>
      </w:r>
    </w:p>
    <w:p w14:paraId="3EFF26C5" w14:textId="77777777" w:rsidR="00392AF9" w:rsidRDefault="00000000">
      <w:pPr>
        <w:spacing w:before="80" w:after="80"/>
      </w:pPr>
      <w:r>
        <w:rPr>
          <w:rFonts w:ascii="Calibri" w:eastAsia="Calibri" w:hAnsi="Calibri" w:cs="Calibri"/>
          <w:color w:val="1E293B"/>
        </w:rPr>
        <w:t>All AI outputs, data handling, and system design must comply with:</w:t>
      </w:r>
    </w:p>
    <w:p w14:paraId="5D7F2C94" w14:textId="73ED85AA" w:rsidR="00392AF9" w:rsidRDefault="00000000">
      <w:pPr>
        <w:pStyle w:val="ListParagraph"/>
        <w:numPr>
          <w:ilvl w:val="0"/>
          <w:numId w:val="1"/>
        </w:numPr>
        <w:spacing w:before="60" w:after="60"/>
        <w:ind w:left="360" w:hanging="260"/>
      </w:pPr>
      <w:r>
        <w:rPr>
          <w:rFonts w:ascii="Calibri" w:eastAsia="Calibri" w:hAnsi="Calibri" w:cs="Calibri"/>
          <w:color w:val="1E293B"/>
        </w:rPr>
        <w:t>TCPA (Telephone Consumer Protection Act) restrictions on call data usage and customer contact records</w:t>
      </w:r>
    </w:p>
    <w:p w14:paraId="72DE21DF" w14:textId="471B505B" w:rsidR="00392AF9" w:rsidRDefault="00000000">
      <w:pPr>
        <w:pStyle w:val="ListParagraph"/>
        <w:numPr>
          <w:ilvl w:val="0"/>
          <w:numId w:val="1"/>
        </w:numPr>
        <w:spacing w:before="60" w:after="60"/>
        <w:ind w:left="360" w:hanging="260"/>
      </w:pPr>
      <w:r>
        <w:rPr>
          <w:rFonts w:ascii="Calibri" w:eastAsia="Calibri" w:hAnsi="Calibri" w:cs="Calibri"/>
          <w:color w:val="1E293B"/>
        </w:rPr>
        <w:t>FCRA (Fair Credit Reporting Act) handling of consumer credit and financial data</w:t>
      </w:r>
    </w:p>
    <w:p w14:paraId="4EC66EBB" w14:textId="121C9531" w:rsidR="00392AF9" w:rsidRDefault="00000000">
      <w:pPr>
        <w:pStyle w:val="ListParagraph"/>
        <w:numPr>
          <w:ilvl w:val="0"/>
          <w:numId w:val="1"/>
        </w:numPr>
        <w:spacing w:before="60" w:after="60"/>
        <w:ind w:left="360" w:hanging="260"/>
      </w:pPr>
      <w:r>
        <w:rPr>
          <w:rFonts w:ascii="Calibri" w:eastAsia="Calibri" w:hAnsi="Calibri" w:cs="Calibri"/>
          <w:color w:val="1E293B"/>
        </w:rPr>
        <w:t>FDCPA (Fair Debt Collection Practices Act) restrictions on how debt-related customer information is used and surfaced</w:t>
      </w:r>
    </w:p>
    <w:p w14:paraId="2D92EC8D" w14:textId="77777777" w:rsidR="00392AF9" w:rsidRDefault="00000000">
      <w:pPr>
        <w:spacing w:before="80" w:after="80"/>
      </w:pPr>
      <w:r>
        <w:rPr>
          <w:rFonts w:ascii="Calibri" w:eastAsia="Calibri" w:hAnsi="Calibri" w:cs="Calibri"/>
          <w:color w:val="1E293B"/>
        </w:rPr>
        <w:t>Vendors must describe their approach to compliance guardrails in their proposal. PII fields (including SSN, date of birth, phone numbers, and account balances) must never flow unmasked into any AI prompt or response.</w:t>
      </w:r>
    </w:p>
    <w:p w14:paraId="55DF562F" w14:textId="77777777" w:rsidR="00392AF9" w:rsidRDefault="00000000">
      <w:pPr>
        <w:shd w:val="clear" w:color="1B2A4A" w:fill="1B2A4A"/>
        <w:spacing w:before="320" w:after="160"/>
        <w:ind w:left="120" w:right="120"/>
      </w:pPr>
      <w:r>
        <w:rPr>
          <w:rFonts w:ascii="Calibri" w:eastAsia="Calibri" w:hAnsi="Calibri" w:cs="Calibri"/>
          <w:b/>
          <w:bCs/>
          <w:color w:val="FFFFFF"/>
          <w:sz w:val="22"/>
          <w:szCs w:val="22"/>
        </w:rPr>
        <w:t>6</w:t>
      </w:r>
      <w:proofErr w:type="gramStart"/>
      <w:r>
        <w:rPr>
          <w:rFonts w:ascii="Calibri" w:eastAsia="Calibri" w:hAnsi="Calibri" w:cs="Calibri"/>
          <w:b/>
          <w:bCs/>
          <w:color w:val="FFFFFF"/>
          <w:sz w:val="22"/>
          <w:szCs w:val="22"/>
        </w:rPr>
        <w:t>.  PROPOSAL</w:t>
      </w:r>
      <w:proofErr w:type="gramEnd"/>
      <w:r>
        <w:rPr>
          <w:rFonts w:ascii="Calibri" w:eastAsia="Calibri" w:hAnsi="Calibri" w:cs="Calibri"/>
          <w:b/>
          <w:bCs/>
          <w:color w:val="FFFFFF"/>
          <w:sz w:val="22"/>
          <w:szCs w:val="22"/>
        </w:rPr>
        <w:t xml:space="preserve"> REQUIREMENTS</w:t>
      </w:r>
    </w:p>
    <w:p w14:paraId="73FA1F64" w14:textId="77777777" w:rsidR="00392AF9" w:rsidRDefault="00392AF9">
      <w:pPr>
        <w:spacing w:after="80"/>
      </w:pPr>
    </w:p>
    <w:p w14:paraId="5D9322C2" w14:textId="77777777" w:rsidR="00392AF9" w:rsidRDefault="00000000">
      <w:pPr>
        <w:spacing w:before="80" w:after="80"/>
      </w:pPr>
      <w:r>
        <w:rPr>
          <w:rFonts w:ascii="Calibri" w:eastAsia="Calibri" w:hAnsi="Calibri" w:cs="Calibri"/>
          <w:color w:val="1E293B"/>
        </w:rPr>
        <w:t>Vendors must structure their response to address each of the following sections clearly. Proposals that do not address all required sections may be disqualified from evaluation.</w:t>
      </w:r>
    </w:p>
    <w:p w14:paraId="2934E083"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lastRenderedPageBreak/>
        <w:t>6.1  Executive</w:t>
      </w:r>
      <w:proofErr w:type="gramEnd"/>
      <w:r>
        <w:rPr>
          <w:rFonts w:ascii="Calibri" w:eastAsia="Calibri" w:hAnsi="Calibri" w:cs="Calibri"/>
          <w:b/>
          <w:bCs/>
          <w:color w:val="1B2A4A"/>
          <w:sz w:val="22"/>
          <w:szCs w:val="22"/>
        </w:rPr>
        <w:t xml:space="preserve"> Summary</w:t>
      </w:r>
    </w:p>
    <w:p w14:paraId="6C95D56F" w14:textId="77777777" w:rsidR="00392AF9" w:rsidRDefault="00000000">
      <w:pPr>
        <w:spacing w:before="80" w:after="80"/>
      </w:pPr>
      <w:r>
        <w:rPr>
          <w:rFonts w:ascii="Calibri" w:eastAsia="Calibri" w:hAnsi="Calibri" w:cs="Calibri"/>
          <w:color w:val="1E293B"/>
        </w:rPr>
        <w:t>A concise summary (maximum two pages) of the vendor's proposed approach, their understanding of Better Companies' objectives, and the key differentiators of their solution.</w:t>
      </w:r>
    </w:p>
    <w:p w14:paraId="4B29E6FA" w14:textId="77777777" w:rsidR="00392AF9" w:rsidRDefault="00392AF9">
      <w:pPr>
        <w:spacing w:after="80"/>
      </w:pPr>
    </w:p>
    <w:p w14:paraId="218EF524"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t>6.2  Technical</w:t>
      </w:r>
      <w:proofErr w:type="gramEnd"/>
      <w:r>
        <w:rPr>
          <w:rFonts w:ascii="Calibri" w:eastAsia="Calibri" w:hAnsi="Calibri" w:cs="Calibri"/>
          <w:b/>
          <w:bCs/>
          <w:color w:val="1B2A4A"/>
          <w:sz w:val="22"/>
          <w:szCs w:val="22"/>
        </w:rPr>
        <w:t xml:space="preserve"> Architecture &amp; Solution Design</w:t>
      </w:r>
    </w:p>
    <w:p w14:paraId="045F2446" w14:textId="77777777" w:rsidR="00392AF9" w:rsidRDefault="00000000">
      <w:pPr>
        <w:spacing w:before="80" w:after="80"/>
      </w:pPr>
      <w:r>
        <w:rPr>
          <w:rFonts w:ascii="Calibri" w:eastAsia="Calibri" w:hAnsi="Calibri" w:cs="Calibri"/>
          <w:color w:val="1E293B"/>
        </w:rPr>
        <w:t>Vendors must provide a detailed technical architecture describing:</w:t>
      </w:r>
    </w:p>
    <w:p w14:paraId="50FF3BC3"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How the proposed solution connects to and reads from the Microsoft Fabric Gold layer</w:t>
      </w:r>
    </w:p>
    <w:p w14:paraId="6AA499BB" w14:textId="7DC0168D"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The NLQ agent design </w:t>
      </w:r>
      <w:r w:rsidR="00106FC9">
        <w:rPr>
          <w:rFonts w:ascii="Calibri" w:eastAsia="Calibri" w:hAnsi="Calibri" w:cs="Calibri"/>
          <w:color w:val="1E293B"/>
        </w:rPr>
        <w:t>on</w:t>
      </w:r>
      <w:r>
        <w:rPr>
          <w:rFonts w:ascii="Calibri" w:eastAsia="Calibri" w:hAnsi="Calibri" w:cs="Calibri"/>
          <w:color w:val="1E293B"/>
        </w:rPr>
        <w:t xml:space="preserve"> how natural language questions are translated into data queries, and how answers are generated and returned</w:t>
      </w:r>
    </w:p>
    <w:p w14:paraId="47AA785E" w14:textId="3070EBB2"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The approach to trend, variance, and predictive analytics </w:t>
      </w:r>
      <w:r w:rsidR="000F1AFB">
        <w:rPr>
          <w:rFonts w:ascii="Calibri" w:eastAsia="Calibri" w:hAnsi="Calibri" w:cs="Calibri"/>
          <w:color w:val="1E293B"/>
        </w:rPr>
        <w:t xml:space="preserve">and </w:t>
      </w:r>
      <w:r>
        <w:rPr>
          <w:rFonts w:ascii="Calibri" w:eastAsia="Calibri" w:hAnsi="Calibri" w:cs="Calibri"/>
          <w:color w:val="1E293B"/>
        </w:rPr>
        <w:t>specifically how these are built as reasoning capabilities rather than canned reports</w:t>
      </w:r>
    </w:p>
    <w:p w14:paraId="71D89B64" w14:textId="0D0F4B03"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The voice interface design </w:t>
      </w:r>
      <w:r w:rsidR="000F1AFB">
        <w:rPr>
          <w:rFonts w:ascii="Calibri" w:eastAsia="Calibri" w:hAnsi="Calibri" w:cs="Calibri"/>
          <w:color w:val="1E293B"/>
        </w:rPr>
        <w:t>-</w:t>
      </w:r>
      <w:r>
        <w:rPr>
          <w:rFonts w:ascii="Calibri" w:eastAsia="Calibri" w:hAnsi="Calibri" w:cs="Calibri"/>
          <w:color w:val="1E293B"/>
        </w:rPr>
        <w:t xml:space="preserve"> how voice input is captured, processed, and how voice output is returned (not just voice-to-text)</w:t>
      </w:r>
    </w:p>
    <w:p w14:paraId="1DCE4517" w14:textId="1F3C1787"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The model routing architecture </w:t>
      </w:r>
      <w:r w:rsidR="000F1AFB">
        <w:rPr>
          <w:rFonts w:ascii="Calibri" w:eastAsia="Calibri" w:hAnsi="Calibri" w:cs="Calibri"/>
          <w:color w:val="1E293B"/>
        </w:rPr>
        <w:t>to show</w:t>
      </w:r>
      <w:r>
        <w:rPr>
          <w:rFonts w:ascii="Calibri" w:eastAsia="Calibri" w:hAnsi="Calibri" w:cs="Calibri"/>
          <w:color w:val="1E293B"/>
        </w:rPr>
        <w:t xml:space="preserve"> how the system selects between LLMs and Copilot based on query type, token threshold, and cost</w:t>
      </w:r>
    </w:p>
    <w:p w14:paraId="0D3D3D47"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How the Slack integration is implemented and how shared learning compounds across users</w:t>
      </w:r>
    </w:p>
    <w:p w14:paraId="01648FEF" w14:textId="3A66F8EC"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The admin console design </w:t>
      </w:r>
      <w:r w:rsidR="000F1AFB">
        <w:rPr>
          <w:rFonts w:ascii="Calibri" w:eastAsia="Calibri" w:hAnsi="Calibri" w:cs="Calibri"/>
          <w:color w:val="1E293B"/>
        </w:rPr>
        <w:t>with</w:t>
      </w:r>
      <w:r>
        <w:rPr>
          <w:rFonts w:ascii="Calibri" w:eastAsia="Calibri" w:hAnsi="Calibri" w:cs="Calibri"/>
          <w:color w:val="1E293B"/>
        </w:rPr>
        <w:t xml:space="preserve"> what visibility and control it provides to Better Companies' operations team</w:t>
      </w:r>
    </w:p>
    <w:p w14:paraId="09F26DB6" w14:textId="77777777" w:rsidR="00392AF9" w:rsidRDefault="00392AF9">
      <w:pPr>
        <w:spacing w:after="80"/>
      </w:pPr>
    </w:p>
    <w:p w14:paraId="3467A733"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t>6.3  Governance</w:t>
      </w:r>
      <w:proofErr w:type="gramEnd"/>
      <w:r>
        <w:rPr>
          <w:rFonts w:ascii="Calibri" w:eastAsia="Calibri" w:hAnsi="Calibri" w:cs="Calibri"/>
          <w:b/>
          <w:bCs/>
          <w:color w:val="1B2A4A"/>
          <w:sz w:val="22"/>
          <w:szCs w:val="22"/>
        </w:rPr>
        <w:t xml:space="preserve"> &amp; Compliance Approach</w:t>
      </w:r>
    </w:p>
    <w:p w14:paraId="07862AD5" w14:textId="77777777" w:rsidR="00392AF9" w:rsidRDefault="00000000">
      <w:pPr>
        <w:spacing w:before="80" w:after="80"/>
      </w:pPr>
      <w:r>
        <w:rPr>
          <w:rFonts w:ascii="Calibri" w:eastAsia="Calibri" w:hAnsi="Calibri" w:cs="Calibri"/>
          <w:color w:val="1E293B"/>
        </w:rPr>
        <w:t>Vendors must describe:</w:t>
      </w:r>
    </w:p>
    <w:p w14:paraId="4125DA4C"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How the existing three-tier RBAC model (Agent / Manager / Executive) is preserved and enforced across all AI interactions</w:t>
      </w:r>
    </w:p>
    <w:p w14:paraId="64347E8B"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How guardrails against hallucination and out-of-scope data access are implemented and maintained</w:t>
      </w:r>
    </w:p>
    <w:p w14:paraId="4CE7966D"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How PII fields are identified, masked, and excluded from AI prompts and responses</w:t>
      </w:r>
    </w:p>
    <w:p w14:paraId="6B82BE12" w14:textId="571EDD8D"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The approach to audit trail and logging for AI interactions </w:t>
      </w:r>
      <w:r w:rsidR="000F1AFB">
        <w:rPr>
          <w:rFonts w:ascii="Calibri" w:eastAsia="Calibri" w:hAnsi="Calibri" w:cs="Calibri"/>
          <w:color w:val="1E293B"/>
        </w:rPr>
        <w:t>showing</w:t>
      </w:r>
      <w:r>
        <w:rPr>
          <w:rFonts w:ascii="Calibri" w:eastAsia="Calibri" w:hAnsi="Calibri" w:cs="Calibri"/>
          <w:color w:val="1E293B"/>
        </w:rPr>
        <w:t xml:space="preserve"> what is captured, where it is stored, and for how long</w:t>
      </w:r>
    </w:p>
    <w:p w14:paraId="11C296A7"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How compliance with TCPA, FCRA, and FDCPA is addressed in the solution design</w:t>
      </w:r>
    </w:p>
    <w:p w14:paraId="711A3D89" w14:textId="77777777" w:rsidR="00392AF9" w:rsidRDefault="00392AF9">
      <w:pPr>
        <w:spacing w:after="80"/>
      </w:pPr>
    </w:p>
    <w:p w14:paraId="16B7ABCE"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t>6.4  Delivery</w:t>
      </w:r>
      <w:proofErr w:type="gramEnd"/>
      <w:r>
        <w:rPr>
          <w:rFonts w:ascii="Calibri" w:eastAsia="Calibri" w:hAnsi="Calibri" w:cs="Calibri"/>
          <w:b/>
          <w:bCs/>
          <w:color w:val="1B2A4A"/>
          <w:sz w:val="22"/>
          <w:szCs w:val="22"/>
        </w:rPr>
        <w:t xml:space="preserve"> Plan &amp; Milestones</w:t>
      </w:r>
    </w:p>
    <w:p w14:paraId="1F46BB34" w14:textId="77777777" w:rsidR="00392AF9" w:rsidRDefault="00000000">
      <w:pPr>
        <w:spacing w:before="80" w:after="80"/>
      </w:pPr>
      <w:r>
        <w:rPr>
          <w:rFonts w:ascii="Calibri" w:eastAsia="Calibri" w:hAnsi="Calibri" w:cs="Calibri"/>
          <w:color w:val="1E293B"/>
        </w:rPr>
        <w:t>Vendors must provide a detailed delivery plan that includes:</w:t>
      </w:r>
    </w:p>
    <w:p w14:paraId="77888AA9"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A phase-by-phase breakdown covering Discovery, Build, QA, UAT &amp; Hardening, and Production</w:t>
      </w:r>
    </w:p>
    <w:p w14:paraId="4C3C6E41"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Specific deliverables and milestone outcomes for each phase, aligned to the requirements in Section 5.1</w:t>
      </w:r>
    </w:p>
    <w:p w14:paraId="455E8D01"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A description of how QA and Build phases will overlap to protect the production go-live date</w:t>
      </w:r>
    </w:p>
    <w:p w14:paraId="57542D96"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The proposed governance and steering cadence across the engagement</w:t>
      </w:r>
    </w:p>
    <w:p w14:paraId="5365C59B"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Explicit identification of risks, dependencies, and the vendor's mitigation approach for each</w:t>
      </w:r>
    </w:p>
    <w:p w14:paraId="025ABDA7" w14:textId="77777777" w:rsidR="00392AF9" w:rsidRDefault="00392AF9">
      <w:pPr>
        <w:spacing w:after="80"/>
      </w:pPr>
    </w:p>
    <w:p w14:paraId="6E2A6A2F"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t>6.5  Team</w:t>
      </w:r>
      <w:proofErr w:type="gramEnd"/>
      <w:r>
        <w:rPr>
          <w:rFonts w:ascii="Calibri" w:eastAsia="Calibri" w:hAnsi="Calibri" w:cs="Calibri"/>
          <w:b/>
          <w:bCs/>
          <w:color w:val="1B2A4A"/>
          <w:sz w:val="22"/>
          <w:szCs w:val="22"/>
        </w:rPr>
        <w:t xml:space="preserve"> Composition &amp; Expertise</w:t>
      </w:r>
    </w:p>
    <w:p w14:paraId="6C3887F5" w14:textId="77777777" w:rsidR="00392AF9" w:rsidRDefault="00000000">
      <w:pPr>
        <w:spacing w:before="80" w:after="80"/>
      </w:pPr>
      <w:r>
        <w:rPr>
          <w:rFonts w:ascii="Calibri" w:eastAsia="Calibri" w:hAnsi="Calibri" w:cs="Calibri"/>
          <w:color w:val="1E293B"/>
        </w:rPr>
        <w:t>Vendors must describe:</w:t>
      </w:r>
    </w:p>
    <w:p w14:paraId="4FC4AEB9"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The proposed team structure and the roles included in the engagement</w:t>
      </w:r>
    </w:p>
    <w:p w14:paraId="476FDEA0"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The relevant experience and qualifications of key personnel, including solution architects, AI engineers, data engineers, and QA leads</w:t>
      </w:r>
    </w:p>
    <w:p w14:paraId="29BC7DC9"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The onshore vs. offshore composition of the team and the implications for availability and communication</w:t>
      </w:r>
    </w:p>
    <w:p w14:paraId="3F3263CF" w14:textId="5F5C2822"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Named individuals for senior roles where possible, with brief biographies or </w:t>
      </w:r>
      <w:r w:rsidR="000F1AFB">
        <w:rPr>
          <w:rFonts w:ascii="Calibri" w:eastAsia="Calibri" w:hAnsi="Calibri" w:cs="Calibri"/>
          <w:color w:val="1E293B"/>
        </w:rPr>
        <w:t>resumes</w:t>
      </w:r>
      <w:r>
        <w:rPr>
          <w:rFonts w:ascii="Calibri" w:eastAsia="Calibri" w:hAnsi="Calibri" w:cs="Calibri"/>
          <w:color w:val="1E293B"/>
        </w:rPr>
        <w:t xml:space="preserve"> attached as an appendix</w:t>
      </w:r>
    </w:p>
    <w:p w14:paraId="0B2BC33C" w14:textId="77777777" w:rsidR="00392AF9" w:rsidRDefault="00392AF9">
      <w:pPr>
        <w:spacing w:after="80"/>
      </w:pPr>
    </w:p>
    <w:p w14:paraId="28ED8FC4"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t>6.6  Relevant</w:t>
      </w:r>
      <w:proofErr w:type="gramEnd"/>
      <w:r>
        <w:rPr>
          <w:rFonts w:ascii="Calibri" w:eastAsia="Calibri" w:hAnsi="Calibri" w:cs="Calibri"/>
          <w:b/>
          <w:bCs/>
          <w:color w:val="1B2A4A"/>
          <w:sz w:val="22"/>
          <w:szCs w:val="22"/>
        </w:rPr>
        <w:t xml:space="preserve"> Experience &amp; Case Studies</w:t>
      </w:r>
    </w:p>
    <w:p w14:paraId="3CB12A2B" w14:textId="77777777" w:rsidR="00392AF9" w:rsidRDefault="00000000">
      <w:pPr>
        <w:spacing w:before="80" w:after="80"/>
      </w:pPr>
      <w:r>
        <w:rPr>
          <w:rFonts w:ascii="Calibri" w:eastAsia="Calibri" w:hAnsi="Calibri" w:cs="Calibri"/>
          <w:color w:val="1E293B"/>
        </w:rPr>
        <w:t>Vendors must provide:</w:t>
      </w:r>
    </w:p>
    <w:p w14:paraId="73AB96E6"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A minimum of two case studies demonstrating delivery of comparable AI or NLQ capabilities on Microsoft Fabric or equivalent enterprise data platforms</w:t>
      </w:r>
    </w:p>
    <w:p w14:paraId="18C8E93F"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At least one case study from a regulated industry (financial services, healthcare, insurance, or similar)</w:t>
      </w:r>
    </w:p>
    <w:p w14:paraId="6EA8DABE" w14:textId="147551F4" w:rsidR="00392AF9" w:rsidRDefault="00000000">
      <w:pPr>
        <w:pStyle w:val="ListParagraph"/>
        <w:numPr>
          <w:ilvl w:val="0"/>
          <w:numId w:val="1"/>
        </w:numPr>
        <w:spacing w:before="60" w:after="60"/>
        <w:ind w:left="360" w:hanging="260"/>
      </w:pPr>
      <w:r>
        <w:rPr>
          <w:rFonts w:ascii="Calibri" w:eastAsia="Calibri" w:hAnsi="Calibri" w:cs="Calibri"/>
          <w:color w:val="1E293B"/>
        </w:rPr>
        <w:t>References available upon request</w:t>
      </w:r>
      <w:r w:rsidR="000F1AFB">
        <w:rPr>
          <w:rFonts w:ascii="Calibri" w:eastAsia="Calibri" w:hAnsi="Calibri" w:cs="Calibri"/>
          <w:color w:val="1E293B"/>
        </w:rPr>
        <w:t>:</w:t>
      </w:r>
      <w:r>
        <w:rPr>
          <w:rFonts w:ascii="Calibri" w:eastAsia="Calibri" w:hAnsi="Calibri" w:cs="Calibri"/>
          <w:color w:val="1E293B"/>
        </w:rPr>
        <w:t xml:space="preserve"> vendors should indicate willingness to provide reference contacts</w:t>
      </w:r>
    </w:p>
    <w:p w14:paraId="5EDCA874" w14:textId="77777777" w:rsidR="00392AF9" w:rsidRDefault="00392AF9">
      <w:pPr>
        <w:spacing w:after="80"/>
      </w:pPr>
    </w:p>
    <w:p w14:paraId="523746AD"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t>6.7  Commercial</w:t>
      </w:r>
      <w:proofErr w:type="gramEnd"/>
      <w:r>
        <w:rPr>
          <w:rFonts w:ascii="Calibri" w:eastAsia="Calibri" w:hAnsi="Calibri" w:cs="Calibri"/>
          <w:b/>
          <w:bCs/>
          <w:color w:val="1B2A4A"/>
          <w:sz w:val="22"/>
          <w:szCs w:val="22"/>
        </w:rPr>
        <w:t xml:space="preserve"> Proposal</w:t>
      </w:r>
    </w:p>
    <w:p w14:paraId="2D9F4133" w14:textId="77777777" w:rsidR="00392AF9" w:rsidRDefault="00000000">
      <w:pPr>
        <w:spacing w:before="80" w:after="80"/>
      </w:pPr>
      <w:r>
        <w:rPr>
          <w:rFonts w:ascii="Calibri" w:eastAsia="Calibri" w:hAnsi="Calibri" w:cs="Calibri"/>
          <w:color w:val="1E293B"/>
        </w:rPr>
        <w:t>Vendors must provide a clear commercial proposal that includes:</w:t>
      </w:r>
    </w:p>
    <w:p w14:paraId="51952003"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Fixed-price engagement cost for the full scope from Discovery through Production go-live</w:t>
      </w:r>
    </w:p>
    <w:p w14:paraId="60F9EECD"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Monthly billing schedule with payment terms</w:t>
      </w:r>
    </w:p>
    <w:p w14:paraId="6F4B14E6"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Any optional scope items priced separately</w:t>
      </w:r>
    </w:p>
    <w:p w14:paraId="2E6DA102" w14:textId="3B877D81"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Assumptions underlying the commercial proposal </w:t>
      </w:r>
      <w:r w:rsidR="000F1AFB">
        <w:rPr>
          <w:rFonts w:ascii="Calibri" w:eastAsia="Calibri" w:hAnsi="Calibri" w:cs="Calibri"/>
          <w:color w:val="1E293B"/>
        </w:rPr>
        <w:t xml:space="preserve">and </w:t>
      </w:r>
      <w:r>
        <w:rPr>
          <w:rFonts w:ascii="Calibri" w:eastAsia="Calibri" w:hAnsi="Calibri" w:cs="Calibri"/>
          <w:color w:val="1E293B"/>
        </w:rPr>
        <w:t>any assumption that, if incorrect, would change the price</w:t>
      </w:r>
    </w:p>
    <w:p w14:paraId="3EC6A178"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Post-engagement support and maintenance options, priced separately</w:t>
      </w:r>
    </w:p>
    <w:p w14:paraId="652D46F8" w14:textId="77777777" w:rsidR="00392AF9" w:rsidRDefault="00000000">
      <w:pPr>
        <w:spacing w:before="80" w:after="80"/>
      </w:pPr>
      <w:r>
        <w:rPr>
          <w:rFonts w:ascii="Calibri" w:eastAsia="Calibri" w:hAnsi="Calibri" w:cs="Calibri"/>
          <w:color w:val="1E293B"/>
        </w:rPr>
        <w:t xml:space="preserve">Note: Better Companies will not consider time-and-materials proposals for </w:t>
      </w:r>
      <w:proofErr w:type="gramStart"/>
      <w:r>
        <w:rPr>
          <w:rFonts w:ascii="Calibri" w:eastAsia="Calibri" w:hAnsi="Calibri" w:cs="Calibri"/>
          <w:color w:val="1E293B"/>
        </w:rPr>
        <w:t>the core</w:t>
      </w:r>
      <w:proofErr w:type="gramEnd"/>
      <w:r>
        <w:rPr>
          <w:rFonts w:ascii="Calibri" w:eastAsia="Calibri" w:hAnsi="Calibri" w:cs="Calibri"/>
          <w:color w:val="1E293B"/>
        </w:rPr>
        <w:t xml:space="preserve"> engagement. Fixed-price commitments are required.</w:t>
      </w:r>
    </w:p>
    <w:p w14:paraId="0001EFC2" w14:textId="77777777" w:rsidR="00392AF9" w:rsidRDefault="00000000">
      <w:pPr>
        <w:pBdr>
          <w:bottom w:val="single" w:sz="2" w:space="0" w:color="2563EB"/>
        </w:pBdr>
        <w:spacing w:before="240" w:after="100"/>
      </w:pPr>
      <w:proofErr w:type="gramStart"/>
      <w:r>
        <w:rPr>
          <w:rFonts w:ascii="Calibri" w:eastAsia="Calibri" w:hAnsi="Calibri" w:cs="Calibri"/>
          <w:b/>
          <w:bCs/>
          <w:color w:val="1B2A4A"/>
          <w:sz w:val="22"/>
          <w:szCs w:val="22"/>
        </w:rPr>
        <w:t>6.8  AI</w:t>
      </w:r>
      <w:proofErr w:type="gramEnd"/>
      <w:r>
        <w:rPr>
          <w:rFonts w:ascii="Calibri" w:eastAsia="Calibri" w:hAnsi="Calibri" w:cs="Calibri"/>
          <w:b/>
          <w:bCs/>
          <w:color w:val="1B2A4A"/>
          <w:sz w:val="22"/>
          <w:szCs w:val="22"/>
        </w:rPr>
        <w:t xml:space="preserve"> Cost Management Approach</w:t>
      </w:r>
    </w:p>
    <w:p w14:paraId="6557A0BE" w14:textId="77777777" w:rsidR="00392AF9" w:rsidRDefault="00000000">
      <w:pPr>
        <w:spacing w:before="80" w:after="80"/>
      </w:pPr>
      <w:r>
        <w:rPr>
          <w:rFonts w:ascii="Calibri" w:eastAsia="Calibri" w:hAnsi="Calibri" w:cs="Calibri"/>
          <w:color w:val="1E293B"/>
        </w:rPr>
        <w:t>Given the token-based cost structure of LLM usage at scale, vendors must describe:</w:t>
      </w:r>
    </w:p>
    <w:p w14:paraId="6DBE8CDD"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How the proposed model routing architecture minimizes AI operational spend</w:t>
      </w:r>
    </w:p>
    <w:p w14:paraId="422EDAF1"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Estimated token consumption by query type and tier (executive, manager, agent)</w:t>
      </w:r>
    </w:p>
    <w:p w14:paraId="1A9235AE"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How the admin console provides Better Companies with visibility into AI spend by model</w:t>
      </w:r>
    </w:p>
    <w:p w14:paraId="76221DCA"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The cost-per-query estimate at steady-state usage (assuming 500 queries per day across all user tiers)</w:t>
      </w:r>
    </w:p>
    <w:p w14:paraId="0943A9CC" w14:textId="2D5EA741" w:rsidR="00392AF9" w:rsidRDefault="000F1AFB">
      <w:pPr>
        <w:shd w:val="clear" w:color="1B2A4A" w:fill="1B2A4A"/>
        <w:spacing w:before="320" w:after="160"/>
        <w:ind w:left="120" w:right="120"/>
      </w:pPr>
      <w:r>
        <w:rPr>
          <w:rFonts w:ascii="Calibri" w:eastAsia="Calibri" w:hAnsi="Calibri" w:cs="Calibri"/>
          <w:b/>
          <w:bCs/>
          <w:color w:val="FFFFFF"/>
          <w:sz w:val="22"/>
          <w:szCs w:val="22"/>
        </w:rPr>
        <w:t>7</w:t>
      </w:r>
      <w:proofErr w:type="gramStart"/>
      <w:r w:rsidR="00000000">
        <w:rPr>
          <w:rFonts w:ascii="Calibri" w:eastAsia="Calibri" w:hAnsi="Calibri" w:cs="Calibri"/>
          <w:b/>
          <w:bCs/>
          <w:color w:val="FFFFFF"/>
          <w:sz w:val="22"/>
          <w:szCs w:val="22"/>
        </w:rPr>
        <w:t>.  SUBMISSION</w:t>
      </w:r>
      <w:proofErr w:type="gramEnd"/>
      <w:r w:rsidR="00000000">
        <w:rPr>
          <w:rFonts w:ascii="Calibri" w:eastAsia="Calibri" w:hAnsi="Calibri" w:cs="Calibri"/>
          <w:b/>
          <w:bCs/>
          <w:color w:val="FFFFFF"/>
          <w:sz w:val="22"/>
          <w:szCs w:val="22"/>
        </w:rPr>
        <w:t xml:space="preserve"> REQUIREMENTS &amp; PROCESS</w:t>
      </w:r>
    </w:p>
    <w:p w14:paraId="38513EE8" w14:textId="18841E74" w:rsidR="00392AF9" w:rsidRDefault="000F1AFB">
      <w:pPr>
        <w:pBdr>
          <w:bottom w:val="single" w:sz="2" w:space="0" w:color="2563EB"/>
        </w:pBdr>
        <w:spacing w:before="240" w:after="100"/>
      </w:pPr>
      <w:r>
        <w:rPr>
          <w:rFonts w:ascii="Calibri" w:eastAsia="Calibri" w:hAnsi="Calibri" w:cs="Calibri"/>
          <w:b/>
          <w:bCs/>
          <w:color w:val="1B2A4A"/>
          <w:sz w:val="22"/>
          <w:szCs w:val="22"/>
        </w:rPr>
        <w:t>7.1 Submission</w:t>
      </w:r>
      <w:r w:rsidR="00000000">
        <w:rPr>
          <w:rFonts w:ascii="Calibri" w:eastAsia="Calibri" w:hAnsi="Calibri" w:cs="Calibri"/>
          <w:b/>
          <w:bCs/>
          <w:color w:val="1B2A4A"/>
          <w:sz w:val="22"/>
          <w:szCs w:val="22"/>
        </w:rPr>
        <w:t xml:space="preserve"> </w:t>
      </w:r>
    </w:p>
    <w:p w14:paraId="1FE709BF" w14:textId="3A7BA065"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Proposals must be submitted </w:t>
      </w:r>
      <w:r w:rsidR="000625D1">
        <w:rPr>
          <w:rFonts w:ascii="Calibri" w:eastAsia="Calibri" w:hAnsi="Calibri" w:cs="Calibri"/>
          <w:color w:val="1E293B"/>
        </w:rPr>
        <w:t>by 07/17/2026</w:t>
      </w:r>
    </w:p>
    <w:p w14:paraId="3A87E0E8" w14:textId="65238F69" w:rsidR="00392AF9" w:rsidRDefault="00000000">
      <w:pPr>
        <w:pStyle w:val="ListParagraph"/>
        <w:numPr>
          <w:ilvl w:val="0"/>
          <w:numId w:val="1"/>
        </w:numPr>
        <w:spacing w:before="60" w:after="60"/>
        <w:ind w:left="360" w:hanging="260"/>
      </w:pPr>
      <w:r>
        <w:rPr>
          <w:rFonts w:ascii="Calibri" w:eastAsia="Calibri" w:hAnsi="Calibri" w:cs="Calibri"/>
          <w:color w:val="1E293B"/>
        </w:rPr>
        <w:t xml:space="preserve">Appendices may include team </w:t>
      </w:r>
      <w:r w:rsidR="000625D1">
        <w:rPr>
          <w:rFonts w:ascii="Calibri" w:eastAsia="Calibri" w:hAnsi="Calibri" w:cs="Calibri"/>
          <w:color w:val="1E293B"/>
        </w:rPr>
        <w:t>resumes</w:t>
      </w:r>
      <w:r>
        <w:rPr>
          <w:rFonts w:ascii="Calibri" w:eastAsia="Calibri" w:hAnsi="Calibri" w:cs="Calibri"/>
          <w:color w:val="1E293B"/>
        </w:rPr>
        <w:t xml:space="preserve">, case study </w:t>
      </w:r>
      <w:r w:rsidR="000625D1">
        <w:rPr>
          <w:rFonts w:ascii="Calibri" w:eastAsia="Calibri" w:hAnsi="Calibri" w:cs="Calibri"/>
          <w:color w:val="1E293B"/>
        </w:rPr>
        <w:t>details</w:t>
      </w:r>
      <w:r>
        <w:rPr>
          <w:rFonts w:ascii="Calibri" w:eastAsia="Calibri" w:hAnsi="Calibri" w:cs="Calibri"/>
          <w:color w:val="1E293B"/>
        </w:rPr>
        <w:t xml:space="preserve">, and architecture diagrams </w:t>
      </w:r>
    </w:p>
    <w:p w14:paraId="162F4EC2" w14:textId="2859D2B5" w:rsidR="00392AF9" w:rsidRDefault="000625D1">
      <w:pPr>
        <w:pBdr>
          <w:bottom w:val="single" w:sz="2" w:space="0" w:color="2563EB"/>
        </w:pBdr>
        <w:spacing w:before="240" w:after="100"/>
      </w:pPr>
      <w:proofErr w:type="gramStart"/>
      <w:r>
        <w:rPr>
          <w:rFonts w:ascii="Calibri" w:eastAsia="Calibri" w:hAnsi="Calibri" w:cs="Calibri"/>
          <w:b/>
          <w:bCs/>
          <w:color w:val="1B2A4A"/>
          <w:sz w:val="22"/>
          <w:szCs w:val="22"/>
        </w:rPr>
        <w:t>7</w:t>
      </w:r>
      <w:r w:rsidR="00000000">
        <w:rPr>
          <w:rFonts w:ascii="Calibri" w:eastAsia="Calibri" w:hAnsi="Calibri" w:cs="Calibri"/>
          <w:b/>
          <w:bCs/>
          <w:color w:val="1B2A4A"/>
          <w:sz w:val="22"/>
          <w:szCs w:val="22"/>
        </w:rPr>
        <w:t>.</w:t>
      </w:r>
      <w:r>
        <w:rPr>
          <w:rFonts w:ascii="Calibri" w:eastAsia="Calibri" w:hAnsi="Calibri" w:cs="Calibri"/>
          <w:b/>
          <w:bCs/>
          <w:color w:val="1B2A4A"/>
          <w:sz w:val="22"/>
          <w:szCs w:val="22"/>
        </w:rPr>
        <w:t>2</w:t>
      </w:r>
      <w:r w:rsidR="00000000">
        <w:rPr>
          <w:rFonts w:ascii="Calibri" w:eastAsia="Calibri" w:hAnsi="Calibri" w:cs="Calibri"/>
          <w:b/>
          <w:bCs/>
          <w:color w:val="1B2A4A"/>
          <w:sz w:val="22"/>
          <w:szCs w:val="22"/>
        </w:rPr>
        <w:t xml:space="preserve">  Conditions</w:t>
      </w:r>
      <w:proofErr w:type="gramEnd"/>
      <w:r w:rsidR="00000000">
        <w:rPr>
          <w:rFonts w:ascii="Calibri" w:eastAsia="Calibri" w:hAnsi="Calibri" w:cs="Calibri"/>
          <w:b/>
          <w:bCs/>
          <w:color w:val="1B2A4A"/>
          <w:sz w:val="22"/>
          <w:szCs w:val="22"/>
        </w:rPr>
        <w:t xml:space="preserve"> of Response</w:t>
      </w:r>
    </w:p>
    <w:p w14:paraId="2FED14B0"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Submission of a proposal does not guarantee selection or the award of a contract</w:t>
      </w:r>
    </w:p>
    <w:p w14:paraId="353F5DDC"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Better Companies reserves the right to accept or reject any proposal, to negotiate with multiple vendors simultaneously, and to cancel this RFP at any time without obligation</w:t>
      </w:r>
    </w:p>
    <w:p w14:paraId="5B00840E"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All proposal content will be treated as confidential by Better Companies</w:t>
      </w:r>
    </w:p>
    <w:p w14:paraId="3DD703B3"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Vendors must treat this RFP and all related materials as confidential and must not disclose its contents to any third party</w:t>
      </w:r>
    </w:p>
    <w:p w14:paraId="7CB5B21B" w14:textId="77777777" w:rsidR="00392AF9" w:rsidRDefault="00000000">
      <w:pPr>
        <w:pStyle w:val="ListParagraph"/>
        <w:numPr>
          <w:ilvl w:val="0"/>
          <w:numId w:val="1"/>
        </w:numPr>
        <w:spacing w:before="60" w:after="60"/>
        <w:ind w:left="360" w:hanging="260"/>
      </w:pPr>
      <w:r>
        <w:rPr>
          <w:rFonts w:ascii="Calibri" w:eastAsia="Calibri" w:hAnsi="Calibri" w:cs="Calibri"/>
          <w:color w:val="1E293B"/>
        </w:rPr>
        <w:t>Proposals become the property of Better Companies upon submission</w:t>
      </w:r>
    </w:p>
    <w:p w14:paraId="114F1100" w14:textId="77777777" w:rsidR="000625D1" w:rsidRDefault="000625D1">
      <w:pPr>
        <w:spacing w:before="80" w:after="80"/>
        <w:rPr>
          <w:rFonts w:ascii="Calibri" w:eastAsia="Calibri" w:hAnsi="Calibri" w:cs="Calibri"/>
          <w:color w:val="1E293B"/>
        </w:rPr>
      </w:pPr>
    </w:p>
    <w:p w14:paraId="47D16504" w14:textId="18F5306A" w:rsidR="00392AF9" w:rsidRPr="000625D1" w:rsidRDefault="00000000">
      <w:pPr>
        <w:spacing w:before="80" w:after="80"/>
        <w:rPr>
          <w:b/>
          <w:bCs/>
        </w:rPr>
      </w:pPr>
      <w:r w:rsidRPr="000625D1">
        <w:rPr>
          <w:rFonts w:ascii="Calibri" w:eastAsia="Calibri" w:hAnsi="Calibri" w:cs="Calibri"/>
          <w:b/>
          <w:bCs/>
          <w:color w:val="1E293B"/>
        </w:rPr>
        <w:t>Better Companies LLC</w:t>
      </w:r>
    </w:p>
    <w:p w14:paraId="471D27F7" w14:textId="77777777" w:rsidR="00392AF9" w:rsidRPr="000625D1" w:rsidRDefault="00000000">
      <w:pPr>
        <w:spacing w:before="80" w:after="80"/>
        <w:rPr>
          <w:b/>
          <w:bCs/>
        </w:rPr>
      </w:pPr>
      <w:r w:rsidRPr="000625D1">
        <w:rPr>
          <w:rFonts w:ascii="Calibri" w:eastAsia="Calibri" w:hAnsi="Calibri" w:cs="Calibri"/>
          <w:b/>
          <w:bCs/>
          <w:color w:val="1E293B"/>
        </w:rPr>
        <w:t>July 2026</w:t>
      </w:r>
    </w:p>
    <w:sectPr w:rsidR="00392AF9" w:rsidRPr="000625D1">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C7CA9" w14:textId="77777777" w:rsidR="00C85FBB" w:rsidRDefault="00C85FBB">
      <w:r>
        <w:separator/>
      </w:r>
    </w:p>
  </w:endnote>
  <w:endnote w:type="continuationSeparator" w:id="0">
    <w:p w14:paraId="40666677" w14:textId="77777777" w:rsidR="00C85FBB" w:rsidRDefault="00C85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6459A" w14:textId="77777777" w:rsidR="00392AF9" w:rsidRDefault="00000000">
    <w:pPr>
      <w:pBdr>
        <w:top w:val="single" w:sz="2" w:space="0" w:color="2563EB"/>
      </w:pBdr>
      <w:jc w:val="center"/>
    </w:pPr>
    <w:r>
      <w:rPr>
        <w:rFonts w:ascii="Calibri" w:eastAsia="Calibri" w:hAnsi="Calibri" w:cs="Calibri"/>
        <w:color w:val="94A3B8"/>
        <w:sz w:val="16"/>
        <w:szCs w:val="16"/>
      </w:rPr>
      <w:t xml:space="preserve">Better Companies </w:t>
    </w:r>
    <w:proofErr w:type="gramStart"/>
    <w:r>
      <w:rPr>
        <w:rFonts w:ascii="Calibri" w:eastAsia="Calibri" w:hAnsi="Calibri" w:cs="Calibri"/>
        <w:color w:val="94A3B8"/>
        <w:sz w:val="16"/>
        <w:szCs w:val="16"/>
      </w:rPr>
      <w:t>LLC  ·</w:t>
    </w:r>
    <w:proofErr w:type="gramEnd"/>
    <w:r>
      <w:rPr>
        <w:rFonts w:ascii="Calibri" w:eastAsia="Calibri" w:hAnsi="Calibri" w:cs="Calibri"/>
        <w:color w:val="94A3B8"/>
        <w:sz w:val="16"/>
        <w:szCs w:val="16"/>
      </w:rPr>
      <w:t xml:space="preserve">  Project ELEVATE AI Capabilities </w:t>
    </w:r>
    <w:proofErr w:type="gramStart"/>
    <w:r>
      <w:rPr>
        <w:rFonts w:ascii="Calibri" w:eastAsia="Calibri" w:hAnsi="Calibri" w:cs="Calibri"/>
        <w:color w:val="94A3B8"/>
        <w:sz w:val="16"/>
        <w:szCs w:val="16"/>
      </w:rPr>
      <w:t>RFP  ·</w:t>
    </w:r>
    <w:proofErr w:type="gramEnd"/>
    <w:r>
      <w:rPr>
        <w:rFonts w:ascii="Calibri" w:eastAsia="Calibri" w:hAnsi="Calibri" w:cs="Calibri"/>
        <w:color w:val="94A3B8"/>
        <w:sz w:val="16"/>
        <w:szCs w:val="16"/>
      </w:rPr>
      <w:t xml:space="preserve">  July </w:t>
    </w:r>
    <w:proofErr w:type="gramStart"/>
    <w:r>
      <w:rPr>
        <w:rFonts w:ascii="Calibri" w:eastAsia="Calibri" w:hAnsi="Calibri" w:cs="Calibri"/>
        <w:color w:val="94A3B8"/>
        <w:sz w:val="16"/>
        <w:szCs w:val="16"/>
      </w:rPr>
      <w:t>2026  ·</w:t>
    </w:r>
    <w:proofErr w:type="gramEnd"/>
    <w:r>
      <w:rPr>
        <w:rFonts w:ascii="Calibri" w:eastAsia="Calibri" w:hAnsi="Calibri" w:cs="Calibri"/>
        <w:color w:val="94A3B8"/>
        <w:sz w:val="16"/>
        <w:szCs w:val="16"/>
      </w:rPr>
      <w:t xml:space="preserve">  Page </w:t>
    </w:r>
    <w:r>
      <w:rPr>
        <w:rFonts w:ascii="Calibri" w:eastAsia="Calibri" w:hAnsi="Calibri" w:cs="Calibri"/>
        <w:color w:val="94A3B8"/>
        <w:sz w:val="16"/>
        <w:szCs w:val="16"/>
      </w:rPr>
      <w:fldChar w:fldCharType="begin"/>
    </w:r>
    <w:r>
      <w:rPr>
        <w:rFonts w:ascii="Calibri" w:eastAsia="Calibri" w:hAnsi="Calibri" w:cs="Calibri"/>
        <w:color w:val="94A3B8"/>
        <w:sz w:val="16"/>
        <w:szCs w:val="16"/>
      </w:rPr>
      <w:instrText>PAGE</w:instrText>
    </w:r>
    <w:r>
      <w:rPr>
        <w:rFonts w:ascii="Calibri" w:eastAsia="Calibri" w:hAnsi="Calibri" w:cs="Calibri"/>
        <w:color w:val="94A3B8"/>
        <w:sz w:val="16"/>
        <w:szCs w:val="16"/>
      </w:rPr>
      <w:fldChar w:fldCharType="separate"/>
    </w:r>
    <w:r w:rsidR="00106FC9">
      <w:rPr>
        <w:rFonts w:ascii="Calibri" w:eastAsia="Calibri" w:hAnsi="Calibri" w:cs="Calibri"/>
        <w:noProof/>
        <w:color w:val="94A3B8"/>
        <w:sz w:val="16"/>
        <w:szCs w:val="16"/>
      </w:rPr>
      <w:t>1</w:t>
    </w:r>
    <w:r>
      <w:rPr>
        <w:rFonts w:ascii="Calibri" w:eastAsia="Calibri" w:hAnsi="Calibri" w:cs="Calibri"/>
        <w:color w:val="94A3B8"/>
        <w:sz w:val="16"/>
        <w:szCs w:val="16"/>
      </w:rPr>
      <w:fldChar w:fldCharType="end"/>
    </w:r>
    <w:r>
      <w:rPr>
        <w:rFonts w:ascii="Calibri" w:eastAsia="Calibri" w:hAnsi="Calibri" w:cs="Calibri"/>
        <w:color w:val="94A3B8"/>
        <w:sz w:val="16"/>
        <w:szCs w:val="16"/>
      </w:rPr>
      <w:t xml:space="preserve"> of </w:t>
    </w:r>
    <w:r>
      <w:rPr>
        <w:rFonts w:ascii="Calibri" w:eastAsia="Calibri" w:hAnsi="Calibri" w:cs="Calibri"/>
        <w:color w:val="94A3B8"/>
        <w:sz w:val="16"/>
        <w:szCs w:val="16"/>
      </w:rPr>
      <w:fldChar w:fldCharType="begin"/>
    </w:r>
    <w:r>
      <w:rPr>
        <w:rFonts w:ascii="Calibri" w:eastAsia="Calibri" w:hAnsi="Calibri" w:cs="Calibri"/>
        <w:color w:val="94A3B8"/>
        <w:sz w:val="16"/>
        <w:szCs w:val="16"/>
      </w:rPr>
      <w:instrText>NUMPAGES</w:instrText>
    </w:r>
    <w:r>
      <w:rPr>
        <w:rFonts w:ascii="Calibri" w:eastAsia="Calibri" w:hAnsi="Calibri" w:cs="Calibri"/>
        <w:color w:val="94A3B8"/>
        <w:sz w:val="16"/>
        <w:szCs w:val="16"/>
      </w:rPr>
      <w:fldChar w:fldCharType="separate"/>
    </w:r>
    <w:r w:rsidR="00106FC9">
      <w:rPr>
        <w:rFonts w:ascii="Calibri" w:eastAsia="Calibri" w:hAnsi="Calibri" w:cs="Calibri"/>
        <w:noProof/>
        <w:color w:val="94A3B8"/>
        <w:sz w:val="16"/>
        <w:szCs w:val="16"/>
      </w:rPr>
      <w:t>2</w:t>
    </w:r>
    <w:r>
      <w:rPr>
        <w:rFonts w:ascii="Calibri" w:eastAsia="Calibri" w:hAnsi="Calibri" w:cs="Calibri"/>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0D5B6" w14:textId="77777777" w:rsidR="00C85FBB" w:rsidRDefault="00C85FBB">
      <w:r>
        <w:separator/>
      </w:r>
    </w:p>
  </w:footnote>
  <w:footnote w:type="continuationSeparator" w:id="0">
    <w:p w14:paraId="3A367BBE" w14:textId="77777777" w:rsidR="00C85FBB" w:rsidRDefault="00C85F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bottom w:val="single" w:sz="4" w:space="0" w:color="2563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20"/>
      <w:gridCol w:w="2000"/>
    </w:tblGrid>
    <w:tr w:rsidR="00392AF9" w14:paraId="3F7ECB0F" w14:textId="77777777">
      <w:tblPrEx>
        <w:tblCellMar>
          <w:top w:w="0" w:type="dxa"/>
          <w:bottom w:w="0" w:type="dxa"/>
        </w:tblCellMar>
      </w:tblPrEx>
      <w:tc>
        <w:tcPr>
          <w:tcW w:w="7720" w:type="dxa"/>
        </w:tcPr>
        <w:p w14:paraId="49ACD1CA" w14:textId="77777777" w:rsidR="00392AF9" w:rsidRDefault="00000000">
          <w:r>
            <w:rPr>
              <w:rFonts w:ascii="Calibri" w:eastAsia="Calibri" w:hAnsi="Calibri" w:cs="Calibri"/>
              <w:b/>
              <w:bCs/>
              <w:color w:val="1B2A4A"/>
              <w:sz w:val="16"/>
              <w:szCs w:val="16"/>
            </w:rPr>
            <w:t>BETTER COMPANIES LLC  |  REQUEST FOR PROPOSAL</w:t>
          </w:r>
        </w:p>
      </w:tc>
      <w:tc>
        <w:tcPr>
          <w:tcW w:w="2000" w:type="dxa"/>
        </w:tcPr>
        <w:p w14:paraId="05F913F1" w14:textId="77777777" w:rsidR="00392AF9" w:rsidRDefault="00000000">
          <w:pPr>
            <w:jc w:val="right"/>
          </w:pPr>
          <w:r>
            <w:rPr>
              <w:rFonts w:ascii="Calibri" w:eastAsia="Calibri" w:hAnsi="Calibri" w:cs="Calibri"/>
              <w:color w:val="94A3B8"/>
              <w:sz w:val="16"/>
              <w:szCs w:val="16"/>
            </w:rPr>
            <w:t>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9E36A9"/>
    <w:multiLevelType w:val="hybridMultilevel"/>
    <w:tmpl w:val="7EF6247A"/>
    <w:lvl w:ilvl="0" w:tplc="9F96E964">
      <w:start w:val="1"/>
      <w:numFmt w:val="bullet"/>
      <w:lvlText w:val="●"/>
      <w:lvlJc w:val="left"/>
      <w:pPr>
        <w:ind w:left="720" w:hanging="360"/>
      </w:pPr>
    </w:lvl>
    <w:lvl w:ilvl="1" w:tplc="606CA336">
      <w:start w:val="1"/>
      <w:numFmt w:val="bullet"/>
      <w:lvlText w:val="○"/>
      <w:lvlJc w:val="left"/>
      <w:pPr>
        <w:ind w:left="1440" w:hanging="360"/>
      </w:pPr>
    </w:lvl>
    <w:lvl w:ilvl="2" w:tplc="D520C22E">
      <w:start w:val="1"/>
      <w:numFmt w:val="bullet"/>
      <w:lvlText w:val="■"/>
      <w:lvlJc w:val="left"/>
      <w:pPr>
        <w:ind w:left="2160" w:hanging="360"/>
      </w:pPr>
    </w:lvl>
    <w:lvl w:ilvl="3" w:tplc="ECC844C0">
      <w:start w:val="1"/>
      <w:numFmt w:val="bullet"/>
      <w:lvlText w:val="●"/>
      <w:lvlJc w:val="left"/>
      <w:pPr>
        <w:ind w:left="2880" w:hanging="360"/>
      </w:pPr>
    </w:lvl>
    <w:lvl w:ilvl="4" w:tplc="10387A30">
      <w:start w:val="1"/>
      <w:numFmt w:val="bullet"/>
      <w:lvlText w:val="○"/>
      <w:lvlJc w:val="left"/>
      <w:pPr>
        <w:ind w:left="3600" w:hanging="360"/>
      </w:pPr>
    </w:lvl>
    <w:lvl w:ilvl="5" w:tplc="0E6C9DB0">
      <w:start w:val="1"/>
      <w:numFmt w:val="bullet"/>
      <w:lvlText w:val="■"/>
      <w:lvlJc w:val="left"/>
      <w:pPr>
        <w:ind w:left="4320" w:hanging="360"/>
      </w:pPr>
    </w:lvl>
    <w:lvl w:ilvl="6" w:tplc="D0F86FC8">
      <w:start w:val="1"/>
      <w:numFmt w:val="bullet"/>
      <w:lvlText w:val="●"/>
      <w:lvlJc w:val="left"/>
      <w:pPr>
        <w:ind w:left="5040" w:hanging="360"/>
      </w:pPr>
    </w:lvl>
    <w:lvl w:ilvl="7" w:tplc="EDAA1BC8">
      <w:start w:val="1"/>
      <w:numFmt w:val="bullet"/>
      <w:lvlText w:val="●"/>
      <w:lvlJc w:val="left"/>
      <w:pPr>
        <w:ind w:left="5760" w:hanging="360"/>
      </w:pPr>
    </w:lvl>
    <w:lvl w:ilvl="8" w:tplc="27F67DB0">
      <w:start w:val="1"/>
      <w:numFmt w:val="bullet"/>
      <w:lvlText w:val="●"/>
      <w:lvlJc w:val="left"/>
      <w:pPr>
        <w:ind w:left="6480" w:hanging="360"/>
      </w:pPr>
    </w:lvl>
  </w:abstractNum>
  <w:abstractNum w:abstractNumId="1" w15:restartNumberingAfterBreak="0">
    <w:nsid w:val="62CE3D02"/>
    <w:multiLevelType w:val="hybridMultilevel"/>
    <w:tmpl w:val="649AD1F8"/>
    <w:lvl w:ilvl="0" w:tplc="A97A526E">
      <w:start w:val="1"/>
      <w:numFmt w:val="bullet"/>
      <w:lvlText w:val="•"/>
      <w:lvlJc w:val="left"/>
      <w:pPr>
        <w:ind w:left="360" w:hanging="260"/>
      </w:pPr>
    </w:lvl>
    <w:lvl w:ilvl="1" w:tplc="AE9C3ABA">
      <w:numFmt w:val="decimal"/>
      <w:lvlText w:val=""/>
      <w:lvlJc w:val="left"/>
    </w:lvl>
    <w:lvl w:ilvl="2" w:tplc="5D58852C">
      <w:numFmt w:val="decimal"/>
      <w:lvlText w:val=""/>
      <w:lvlJc w:val="left"/>
    </w:lvl>
    <w:lvl w:ilvl="3" w:tplc="4C34C588">
      <w:numFmt w:val="decimal"/>
      <w:lvlText w:val=""/>
      <w:lvlJc w:val="left"/>
    </w:lvl>
    <w:lvl w:ilvl="4" w:tplc="8E607C32">
      <w:numFmt w:val="decimal"/>
      <w:lvlText w:val=""/>
      <w:lvlJc w:val="left"/>
    </w:lvl>
    <w:lvl w:ilvl="5" w:tplc="F00A5316">
      <w:numFmt w:val="decimal"/>
      <w:lvlText w:val=""/>
      <w:lvlJc w:val="left"/>
    </w:lvl>
    <w:lvl w:ilvl="6" w:tplc="CAF6E632">
      <w:numFmt w:val="decimal"/>
      <w:lvlText w:val=""/>
      <w:lvlJc w:val="left"/>
    </w:lvl>
    <w:lvl w:ilvl="7" w:tplc="ACB05B7C">
      <w:numFmt w:val="decimal"/>
      <w:lvlText w:val=""/>
      <w:lvlJc w:val="left"/>
    </w:lvl>
    <w:lvl w:ilvl="8" w:tplc="10107122">
      <w:numFmt w:val="decimal"/>
      <w:lvlText w:val=""/>
      <w:lvlJc w:val="left"/>
    </w:lvl>
  </w:abstractNum>
  <w:num w:numId="1" w16cid:durableId="1020745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AF9"/>
    <w:rsid w:val="000625D1"/>
    <w:rsid w:val="000F1AFB"/>
    <w:rsid w:val="00106FC9"/>
    <w:rsid w:val="001C2CA5"/>
    <w:rsid w:val="00392AF9"/>
    <w:rsid w:val="005D25B7"/>
    <w:rsid w:val="00AB42CB"/>
    <w:rsid w:val="00C85FBB"/>
    <w:rsid w:val="00D03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EA85E"/>
  <w15:docId w15:val="{3F607703-C2C7-4998-BE12-39B4EB38A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25D1"/>
    <w:pPr>
      <w:tabs>
        <w:tab w:val="center" w:pos="4680"/>
        <w:tab w:val="right" w:pos="9360"/>
      </w:tabs>
    </w:pPr>
  </w:style>
  <w:style w:type="character" w:customStyle="1" w:styleId="HeaderChar">
    <w:name w:val="Header Char"/>
    <w:basedOn w:val="DefaultParagraphFont"/>
    <w:link w:val="Header"/>
    <w:uiPriority w:val="99"/>
    <w:rsid w:val="000625D1"/>
  </w:style>
  <w:style w:type="paragraph" w:styleId="Footer">
    <w:name w:val="footer"/>
    <w:basedOn w:val="Normal"/>
    <w:link w:val="FooterChar"/>
    <w:uiPriority w:val="99"/>
    <w:unhideWhenUsed/>
    <w:rsid w:val="000625D1"/>
    <w:pPr>
      <w:tabs>
        <w:tab w:val="center" w:pos="4680"/>
        <w:tab w:val="right" w:pos="9360"/>
      </w:tabs>
    </w:pPr>
  </w:style>
  <w:style w:type="character" w:customStyle="1" w:styleId="FooterChar">
    <w:name w:val="Footer Char"/>
    <w:basedOn w:val="DefaultParagraphFont"/>
    <w:link w:val="Footer"/>
    <w:uiPriority w:val="99"/>
    <w:rsid w:val="000625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2269</Words>
  <Characters>12936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Krishnan Iyer</cp:lastModifiedBy>
  <cp:revision>5</cp:revision>
  <dcterms:created xsi:type="dcterms:W3CDTF">2026-07-10T16:00:00Z</dcterms:created>
  <dcterms:modified xsi:type="dcterms:W3CDTF">2026-07-10T16:50:00Z</dcterms:modified>
</cp:coreProperties>
</file>