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4qapjp33ww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Smart Waste Sorting and Recycling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contains the code and resources for a Smart Waste Sorting and Recycling System using deep learning. The project aims to classify waste images into organic and recyclable categories to improve waste management and recycling processes.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09xmtexwk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Efficient waste management is crucial for environmental sustainability. This project leverages convolutional neural networks (CNNs) to develop an automated waste sorting system. The model is trained on a dataset of 22,500 images of organic and recyclable waste, utilizing data augmentation techniques to improve robustness.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7sx4oo8d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Dataset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consists of 22,500 images, split into training and validation sets.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images are categorized into two classes: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Recyclable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g340nmnvx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Model Architecture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CNN model is designed with several convolutional and pooling layers, followed by fully connected layers and a dropout layer to prevent overfitting. The model is compiled using binary cross-entropy loss and the Adam optimizer.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9fbnqsekk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achieves approximately 90% accuracy on the validation set. Detailed performance metrics, including confusion matrix and classification report, are provided in the results directory.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