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2E4057"/>
          <w:sz w:val="56"/>
          <w:szCs w:val="56"/>
        </w:rPr>
        <w:t xml:space="preserve">NimbusCart Order Intelligence</w:t>
      </w:r>
    </w:p>
    <w:p>
      <w:pPr>
        <w:spacing w:after="600"/>
        <w:jc w:val="center"/>
      </w:pPr>
      <w:r>
        <w:rPr>
          <w:color w:val="555555"/>
          <w:sz w:val="30"/>
          <w:szCs w:val="30"/>
        </w:rPr>
        <w:t xml:space="preserve">A Spark-Based Order Processing &amp; Analytics Pipeline</w:t>
      </w:r>
    </w:p>
    <w:p>
      <w:pPr>
        <w:spacing w:after="100"/>
        <w:jc w:val="center"/>
      </w:pPr>
      <w:r>
        <w:rPr>
          <w:sz w:val="26"/>
          <w:szCs w:val="26"/>
        </w:rPr>
        <w:t xml:space="preserve">Technical Implementation Report — Week 6</w:t>
      </w:r>
    </w:p>
    <w:p>
      <w:pPr>
        <w:spacing w:after="800"/>
        <w:jc w:val="center"/>
      </w:pPr>
      <w:r>
        <w:rPr>
          <w:color w:val="777777"/>
          <w:sz w:val="24"/>
          <w:szCs w:val="24"/>
        </w:rPr>
        <w:t xml:space="preserve">Celebal Excellence Internship (CEI) 2026</w:t>
      </w:r>
    </w:p>
    <w:p>
      <w:pPr>
        <w:jc w:val="center"/>
      </w:pPr>
      <w:r>
        <w:rPr>
          <w:i/>
          <w:iCs/>
          <w:sz w:val="22"/>
          <w:szCs w:val="22"/>
        </w:rPr>
        <w:t xml:space="preserve">Engine: Apache Spark 3.5.1 (PySpark, local execution)</w:t>
      </w:r>
    </w:p>
    <w:p>
      <w:r>
        <w:br w:type="page"/>
      </w:r>
    </w:p>
    <w:p>
      <w:pPr>
        <w:pStyle w:val="Heading1"/>
        <w:spacing w:after="150" w:before="300"/>
      </w:pPr>
      <w:r>
        <w:t xml:space="preserve">1. Project Objective</w:t>
      </w:r>
    </w:p>
    <w:p>
      <w:pPr>
        <w:spacing w:after="120"/>
      </w:pPr>
      <w:r>
        <w:t xml:space="preserve">This report documents the design and execution of a PySpark data pipeline built for NimbusCart, a fictional online marketplace, to clean, enrich, and analyze order data flowing out of its order-management system. The objective was not to produce a set of answers to a worksheet, but to build a small pipeline that behaves the way a real analytics job would: it ingests a raw export, handles the messiness that raw exports actually contain, derives the fields the business needs, answers concrete operational questions, and persists results in a format suited to repeated downstream reads.</w:t>
      </w:r>
    </w:p>
    <w:p>
      <w:pPr>
        <w:spacing w:after="120"/>
      </w:pPr>
      <w:r>
        <w:t xml:space="preserve">Every figure and table in this report was produced by executing the accompanying notebook, Week6_Spark_Assignment.ipynb, against the included dataset — none of the outputs below were written by hand.</w:t>
      </w:r>
    </w:p>
    <w:p>
      <w:pPr>
        <w:pStyle w:val="Heading1"/>
        <w:spacing w:after="150" w:before="300"/>
      </w:pPr>
      <w:r>
        <w:t xml:space="preserve">2. Business Scenario</w:t>
      </w:r>
    </w:p>
    <w:p>
      <w:pPr>
        <w:spacing w:after="120"/>
      </w:pPr>
      <w:r>
        <w:t xml:space="preserve">NimbusCart routes every order through one of five regional fulfillment centers. Operations currently reconciles performance by hand in spreadsheets, which does not scale and leaves no audit trail. The pipeline in this project was built to answer five questions operations and finance actually asked:</w:t>
      </w:r>
    </w:p>
    <w:p>
      <w:pPr>
        <w:pStyle w:val="ListParagraph"/>
        <w:numPr>
          <w:ilvl w:val="0"/>
          <w:numId w:val="1"/>
        </w:numPr>
        <w:spacing w:after="60"/>
      </w:pPr>
      <w:r>
        <w:t xml:space="preserve">Which product category generates the most net revenue after discounts?</w:t>
      </w:r>
    </w:p>
    <w:p>
      <w:pPr>
        <w:pStyle w:val="ListParagraph"/>
        <w:numPr>
          <w:ilvl w:val="0"/>
          <w:numId w:val="1"/>
        </w:numPr>
        <w:spacing w:after="60"/>
      </w:pPr>
      <w:r>
        <w:t xml:space="preserve">How does order volume split across fulfillment centers and regions?</w:t>
      </w:r>
    </w:p>
    <w:p>
      <w:pPr>
        <w:pStyle w:val="ListParagraph"/>
        <w:numPr>
          <w:ilvl w:val="0"/>
          <w:numId w:val="1"/>
        </w:numPr>
        <w:spacing w:after="60"/>
      </w:pPr>
      <w:r>
        <w:t xml:space="preserve">What share of orders are cancelled or returned, and where does that concentrate?</w:t>
      </w:r>
    </w:p>
    <w:p>
      <w:pPr>
        <w:pStyle w:val="ListParagraph"/>
        <w:numPr>
          <w:ilvl w:val="0"/>
          <w:numId w:val="1"/>
        </w:numPr>
        <w:spacing w:after="60"/>
      </w:pPr>
      <w:r>
        <w:t xml:space="preserve">Which payment channel dominates, and does that vary by region?</w:t>
      </w:r>
    </w:p>
    <w:p>
      <w:pPr>
        <w:pStyle w:val="ListParagraph"/>
        <w:numPr>
          <w:ilvl w:val="0"/>
          <w:numId w:val="1"/>
        </w:numPr>
        <w:spacing w:after="60"/>
      </w:pPr>
      <w:r>
        <w:t xml:space="preserve">Can the raw CSV export be converted into a format that's cheaper to scan repeatedly?</w:t>
      </w:r>
    </w:p>
    <w:p>
      <w:pPr>
        <w:pStyle w:val="Heading1"/>
        <w:spacing w:after="150" w:before="300"/>
      </w:pPr>
      <w:r>
        <w:t xml:space="preserve">3. Dataset Description</w:t>
      </w:r>
    </w:p>
    <w:p>
      <w:pPr>
        <w:spacing w:after="120"/>
      </w:pPr>
      <w:r>
        <w:t xml:space="preserve">ecommerce_orders.csv contains 60 synthetic orders modeled on NimbusCart's real order schema, placed between January and July 2026. Two fields — discount_pct and payment_channel — contain intentional blank values, mirroring the kind of gaps that show up in real production exports and giving the cleaning stage a genuine problem to solve rather than a staged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4057" w:color="auto" w:val="clear"/>
          </w:tcPr>
          <w:p>
            <w:r>
              <w:rPr>
                <w:b/>
                <w:bCs/>
                <w:color w:val="FFFFFF"/>
              </w:rPr>
              <w:t xml:space="preserve">Column</w:t>
            </w:r>
          </w:p>
        </w:tc>
        <w:tc>
          <w:tcPr>
            <w:tcW w:type="dxa" w:w="6000"/>
            <w:shd w:fill="2E4057" w:color="auto" w:val="clear"/>
          </w:tcPr>
          <w:p>
            <w:r>
              <w:rPr>
                <w:b/>
                <w:bCs/>
                <w:color w:val="FFFFFF"/>
              </w:rPr>
              <w:t xml:space="preserve">Description</w:t>
            </w:r>
          </w:p>
        </w:tc>
      </w:tr>
      <w:tr>
        <w:tc>
          <w:tcPr>
            <w:tcW w:type="dxa" w:w="3000"/>
          </w:tcPr>
          <w:p>
            <w:r>
              <w:t xml:space="preserve">order_id</w:t>
            </w:r>
          </w:p>
        </w:tc>
        <w:tc>
          <w:tcPr>
            <w:tcW w:type="dxa" w:w="6000"/>
          </w:tcPr>
          <w:p>
            <w:r>
              <w:t xml:space="preserve">Unique order identifier</w:t>
            </w:r>
          </w:p>
        </w:tc>
      </w:tr>
      <w:tr>
        <w:tc>
          <w:tcPr>
            <w:tcW w:type="dxa" w:w="3000"/>
          </w:tcPr>
          <w:p>
            <w:r>
              <w:t xml:space="preserve">customer_id</w:t>
            </w:r>
          </w:p>
        </w:tc>
        <w:tc>
          <w:tcPr>
            <w:tcW w:type="dxa" w:w="6000"/>
          </w:tcPr>
          <w:p>
            <w:r>
              <w:t xml:space="preserve">Unique customer identifier</w:t>
            </w:r>
          </w:p>
        </w:tc>
      </w:tr>
      <w:tr>
        <w:tc>
          <w:tcPr>
            <w:tcW w:type="dxa" w:w="3000"/>
          </w:tcPr>
          <w:p>
            <w:r>
              <w:t xml:space="preserve">item_name / category / brand</w:t>
            </w:r>
          </w:p>
        </w:tc>
        <w:tc>
          <w:tcPr>
            <w:tcW w:type="dxa" w:w="6000"/>
          </w:tcPr>
          <w:p>
            <w:r>
              <w:t xml:space="preserve">Product details</w:t>
            </w:r>
          </w:p>
        </w:tc>
      </w:tr>
      <w:tr>
        <w:tc>
          <w:tcPr>
            <w:tcW w:type="dxa" w:w="3000"/>
          </w:tcPr>
          <w:p>
            <w:r>
              <w:t xml:space="preserve">region</w:t>
            </w:r>
          </w:p>
        </w:tc>
        <w:tc>
          <w:tcPr>
            <w:tcW w:type="dxa" w:w="6000"/>
          </w:tcPr>
          <w:p>
            <w:r>
              <w:t xml:space="preserve">Delivery region</w:t>
            </w:r>
          </w:p>
        </w:tc>
      </w:tr>
      <w:tr>
        <w:tc>
          <w:tcPr>
            <w:tcW w:type="dxa" w:w="3000"/>
          </w:tcPr>
          <w:p>
            <w:r>
              <w:t xml:space="preserve">order_stage</w:t>
            </w:r>
          </w:p>
        </w:tc>
        <w:tc>
          <w:tcPr>
            <w:tcW w:type="dxa" w:w="6000"/>
          </w:tcPr>
          <w:p>
            <w:r>
              <w:t xml:space="preserve">Lifecycle stage: Delivered, Shipped, Processing, Cancelled, Returned</w:t>
            </w:r>
          </w:p>
        </w:tc>
      </w:tr>
      <w:tr>
        <w:tc>
          <w:tcPr>
            <w:tcW w:type="dxa" w:w="3000"/>
          </w:tcPr>
          <w:p>
            <w:r>
              <w:t xml:space="preserve">order_ts</w:t>
            </w:r>
          </w:p>
        </w:tc>
        <w:tc>
          <w:tcPr>
            <w:tcW w:type="dxa" w:w="6000"/>
          </w:tcPr>
          <w:p>
            <w:r>
              <w:t xml:space="preserve">Order timestamp</w:t>
            </w:r>
          </w:p>
        </w:tc>
      </w:tr>
      <w:tr>
        <w:tc>
          <w:tcPr>
            <w:tcW w:type="dxa" w:w="3000"/>
          </w:tcPr>
          <w:p>
            <w:r>
              <w:t xml:space="preserve">qty / unit_price / discount_pct</w:t>
            </w:r>
          </w:p>
        </w:tc>
        <w:tc>
          <w:tcPr>
            <w:tcW w:type="dxa" w:w="6000"/>
          </w:tcPr>
          <w:p>
            <w:r>
              <w:t xml:space="preserve">Quantities and pricing (some discount_pct blank)</w:t>
            </w:r>
          </w:p>
        </w:tc>
      </w:tr>
      <w:tr>
        <w:tc>
          <w:tcPr>
            <w:tcW w:type="dxa" w:w="3000"/>
          </w:tcPr>
          <w:p>
            <w:r>
              <w:t xml:space="preserve">payment_channel</w:t>
            </w:r>
          </w:p>
        </w:tc>
        <w:tc>
          <w:tcPr>
            <w:tcW w:type="dxa" w:w="6000"/>
          </w:tcPr>
          <w:p>
            <w:r>
              <w:t xml:space="preserve">Card / UPI / Wallet / NetBanking / COD (some blank)</w:t>
            </w:r>
          </w:p>
        </w:tc>
      </w:tr>
      <w:tr>
        <w:tc>
          <w:tcPr>
            <w:tcW w:type="dxa" w:w="3000"/>
          </w:tcPr>
          <w:p>
            <w:r>
              <w:t xml:space="preserve">fulfillment_center</w:t>
            </w:r>
          </w:p>
        </w:tc>
        <w:tc>
          <w:tcPr>
            <w:tcW w:type="dxa" w:w="6000"/>
          </w:tcPr>
          <w:p>
            <w:r>
              <w:t xml:space="preserve">Warehouse that processed the order</w:t>
            </w:r>
          </w:p>
        </w:tc>
      </w:tr>
    </w:tbl>
    <w:p>
      <w:pPr>
        <w:pStyle w:val="Heading1"/>
        <w:spacing w:after="150" w:before="300"/>
      </w:pPr>
      <w:r>
        <w:t xml:space="preserve">4. Apache Spark Overview</w:t>
      </w:r>
    </w:p>
    <w:p>
      <w:pPr>
        <w:spacing w:after="120"/>
      </w:pPr>
      <w:r>
        <w:t xml:space="preserve">Apache Spark was chosen over a pandas-based approach for one deliberate reason: the code in this notebook runs unmodified whether the input is 60 rows or 60 million. Spark's DataFrame API builds a logical plan for every transformation and defers execution until an action — count(), show(), write() — forces it to run. That deferral (lazy evaluation) lets Spark's Catalyst optimizer look at the whole chain of operations before running any of it, reordering and combining steps where it can.</w:t>
      </w:r>
    </w:p>
    <w:p>
      <w:pPr>
        <w:spacing w:after="120"/>
      </w:pPr>
      <w:r>
        <w:t xml:space="preserve">At runtime, the Driver process builds this plan and requests resources from a Cluster Manager, which allocates Executors — the processes that hold data partitions and actually run tasks. In this project everything runs in local[*] mode, where the driver and executors share one machine, but the same code targets YARN or Kubernetes without modification.</w:t>
      </w:r>
    </w:p>
    <w:p>
      <w:pPr>
        <w:pStyle w:val="Heading1"/>
        <w:spacing w:after="150" w:before="300"/>
      </w:pPr>
      <w:r>
        <w:t xml:space="preserve">5. Implementation Steps</w:t>
      </w:r>
    </w:p>
    <w:p>
      <w:pPr>
        <w:pStyle w:val="Heading2"/>
        <w:spacing w:after="100" w:before="200"/>
      </w:pPr>
      <w:r>
        <w:t xml:space="preserve">5.1 Environment &amp; Session Setup</w:t>
      </w:r>
    </w:p>
    <w:p>
      <w:pPr>
        <w:spacing w:after="120"/>
      </w:pPr>
      <w:r>
        <w:t xml:space="preserve">A SparkSession was created with spark.sql.shuffle.partitions set to 4 instead of the default 200. The default is tuned for large clusters; on a 60-row local dataset it would spawn 200 mostly-empty tasks on every shuffle. This is a direct, measurable tuning decision rather than a default left untouched.</w:t>
      </w:r>
    </w:p>
    <w:p>
      <w:pPr>
        <w:pStyle w:val="Heading2"/>
        <w:spacing w:after="100" w:before="200"/>
      </w:pPr>
      <w:r>
        <w:t xml:space="preserve">5.2 Data Loading &amp; Understanding</w:t>
      </w:r>
    </w:p>
    <w:p>
      <w:pPr>
        <w:spacing w:after="120"/>
      </w:pPr>
      <w:r>
        <w:t xml:space="preserve">The raw CSV was loaded with inferSchema=True first, deliberately, to observe what Spark infers before trusting it. printSchema() and describe() were used to profile the data before any transformation.</w:t>
      </w:r>
    </w:p>
    <w:p>
      <w:pPr>
        <w:pStyle w:val="Heading2"/>
        <w:spacing w:after="100" w:before="200"/>
      </w:pPr>
      <w:r>
        <w:t xml:space="preserve">5.3 Data Cleaning</w:t>
      </w:r>
    </w:p>
    <w:p>
      <w:pPr>
        <w:spacing w:after="120"/>
      </w:pPr>
      <w:r>
        <w:t xml:space="preserve">Inference read discount_pct as a string because blank cells prevented a confident numeric inference. The cleaning step replaced blank discount_pct values with 0 before casting the column to DoubleType — casting first would have silently converted blanks to null, making the blank-check a no-op. Blank payment_channel values were relabeled 'Unknown' rather than dropped, preserving the order record.</w:t>
      </w:r>
    </w:p>
    <w:p>
      <w:pPr>
        <w:pStyle w:val="Heading2"/>
        <w:spacing w:after="100" w:before="200"/>
      </w:pPr>
      <w:r>
        <w:t xml:space="preserve">5.4 DataFrame Operations</w:t>
      </w:r>
    </w:p>
    <w:p>
      <w:pPr>
        <w:spacing w:after="120"/>
      </w:pPr>
      <w:r>
        <w:t xml:space="preserve">Column selection, AND/OR filtering, renaming (withColumnRenamed), explicit casting, and derived columns (gross_amount, net_amount) were implemented and verified against real rows. Filtering with AND isolated delivered Electronics orders; filtering with OR isolated orders still in-flight or at risk (Processing or Cancelled).</w:t>
      </w:r>
    </w:p>
    <w:p>
      <w:pPr>
        <w:pStyle w:val="Heading2"/>
        <w:spacing w:after="100" w:before="200"/>
      </w:pPr>
      <w:r>
        <w:t xml:space="preserve">5.5 File Format Conversion</w:t>
      </w:r>
    </w:p>
    <w:p>
      <w:pPr>
        <w:spacing w:after="120"/>
      </w:pPr>
      <w:r>
        <w:t xml:space="preserve">The enriched DataFrame was written to Parquet (parquet_data/enriched_orders) and read back to confirm round-trip integrity. A cleaned, single-file CSV was also written to processed_csv/enriched_orders for teams that need a flat file rather than a Spark-native format.</w:t>
      </w:r>
    </w:p>
    <w:p>
      <w:pPr>
        <w:pStyle w:val="Heading1"/>
        <w:spacing w:after="150" w:before="300"/>
      </w:pPr>
      <w:r>
        <w:t xml:space="preserve">6. Code Explanation</w:t>
      </w:r>
    </w:p>
    <w:p>
      <w:pPr>
        <w:spacing w:after="120"/>
      </w:pPr>
      <w:r>
        <w:t xml:space="preserve">The pipeline is organized as a single linear DataFrame chain: raw_df (as loaded) -&gt; cleaned_df (nulls resolved, timestamp parsed) -&gt; renamed_df / casted_df (naming and typing aligned to the finance team's convention) -&gt; enriched_df (gross_amount and net_amount derived). Each business query in Section 11 of the notebook operates on enriched_df, so every reported figure reflects the fully cleaned and typed data — not the raw export.</w:t>
      </w:r>
    </w:p>
    <w:p>
      <w:pPr>
        <w:pStyle w:val="Heading1"/>
        <w:spacing w:after="150" w:before="300"/>
      </w:pPr>
      <w:r>
        <w:t xml:space="preserve">7. Output Snapshots</w:t>
      </w:r>
    </w:p>
    <w:p>
      <w:pPr>
        <w:pStyle w:val="Heading2"/>
        <w:spacing w:after="100" w:before="200"/>
      </w:pPr>
      <w:r>
        <w:t xml:space="preserve">7.1 Net Revenue by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shd w:fill="2E4057" w:color="auto" w:val="clear"/>
          </w:tcPr>
          <w:p>
            <w:r>
              <w:rPr>
                <w:b/>
                <w:bCs/>
                <w:color w:val="FFFFFF"/>
              </w:rPr>
              <w:t xml:space="preserve">Category</w:t>
            </w:r>
          </w:p>
        </w:tc>
        <w:tc>
          <w:tcPr>
            <w:tcW w:type="dxa" w:w="3500"/>
            <w:shd w:fill="2E4057" w:color="auto" w:val="clear"/>
          </w:tcPr>
          <w:p>
            <w:r>
              <w:rPr>
                <w:b/>
                <w:bCs/>
                <w:color w:val="FFFFFF"/>
              </w:rPr>
              <w:t xml:space="preserve">Total Net Revenue (INR)</w:t>
            </w:r>
          </w:p>
        </w:tc>
        <w:tc>
          <w:tcPr>
            <w:tcW w:type="dxa" w:w="2000"/>
            <w:shd w:fill="2E4057" w:color="auto" w:val="clear"/>
          </w:tcPr>
          <w:p>
            <w:r>
              <w:rPr>
                <w:b/>
                <w:bCs/>
                <w:color w:val="FFFFFF"/>
              </w:rPr>
              <w:t xml:space="preserve">Order Count</w:t>
            </w:r>
          </w:p>
        </w:tc>
      </w:tr>
      <w:tr>
        <w:tc>
          <w:tcPr>
            <w:tcW w:type="dxa" w:w="3500"/>
          </w:tcPr>
          <w:p>
            <w:r>
              <w:t xml:space="preserve">Home</w:t>
            </w:r>
          </w:p>
        </w:tc>
        <w:tc>
          <w:tcPr>
            <w:tcW w:type="dxa" w:w="3500"/>
          </w:tcPr>
          <w:p>
            <w:r>
              <w:t xml:space="preserve">411,802.08</w:t>
            </w:r>
          </w:p>
        </w:tc>
        <w:tc>
          <w:tcPr>
            <w:tcW w:type="dxa" w:w="2000"/>
          </w:tcPr>
          <w:p>
            <w:r>
              <w:t xml:space="preserve">21</w:t>
            </w:r>
          </w:p>
        </w:tc>
      </w:tr>
      <w:tr>
        <w:tc>
          <w:tcPr>
            <w:tcW w:type="dxa" w:w="3500"/>
          </w:tcPr>
          <w:p>
            <w:r>
              <w:t xml:space="preserve">Electronics</w:t>
            </w:r>
          </w:p>
        </w:tc>
        <w:tc>
          <w:tcPr>
            <w:tcW w:type="dxa" w:w="3500"/>
          </w:tcPr>
          <w:p>
            <w:r>
              <w:t xml:space="preserve">264,585.23</w:t>
            </w:r>
          </w:p>
        </w:tc>
        <w:tc>
          <w:tcPr>
            <w:tcW w:type="dxa" w:w="2000"/>
          </w:tcPr>
          <w:p>
            <w:r>
              <w:t xml:space="preserve">11</w:t>
            </w:r>
          </w:p>
        </w:tc>
      </w:tr>
      <w:tr>
        <w:tc>
          <w:tcPr>
            <w:tcW w:type="dxa" w:w="3500"/>
          </w:tcPr>
          <w:p>
            <w:r>
              <w:t xml:space="preserve">Outdoor</w:t>
            </w:r>
          </w:p>
        </w:tc>
        <w:tc>
          <w:tcPr>
            <w:tcW w:type="dxa" w:w="3500"/>
          </w:tcPr>
          <w:p>
            <w:r>
              <w:t xml:space="preserve">251,829.61</w:t>
            </w:r>
          </w:p>
        </w:tc>
        <w:tc>
          <w:tcPr>
            <w:tcW w:type="dxa" w:w="2000"/>
          </w:tcPr>
          <w:p>
            <w:r>
              <w:t xml:space="preserve">12</w:t>
            </w:r>
          </w:p>
        </w:tc>
      </w:tr>
      <w:tr>
        <w:tc>
          <w:tcPr>
            <w:tcW w:type="dxa" w:w="3500"/>
          </w:tcPr>
          <w:p>
            <w:r>
              <w:t xml:space="preserve">Travel</w:t>
            </w:r>
          </w:p>
        </w:tc>
        <w:tc>
          <w:tcPr>
            <w:tcW w:type="dxa" w:w="3500"/>
          </w:tcPr>
          <w:p>
            <w:r>
              <w:t xml:space="preserve">184,402.35</w:t>
            </w:r>
          </w:p>
        </w:tc>
        <w:tc>
          <w:tcPr>
            <w:tcW w:type="dxa" w:w="2000"/>
          </w:tcPr>
          <w:p>
            <w:r>
              <w:t xml:space="preserve">4</w:t>
            </w:r>
          </w:p>
        </w:tc>
      </w:tr>
      <w:tr>
        <w:tc>
          <w:tcPr>
            <w:tcW w:type="dxa" w:w="3500"/>
          </w:tcPr>
          <w:p>
            <w:r>
              <w:t xml:space="preserve">Fitness</w:t>
            </w:r>
          </w:p>
        </w:tc>
        <w:tc>
          <w:tcPr>
            <w:tcW w:type="dxa" w:w="3500"/>
          </w:tcPr>
          <w:p>
            <w:r>
              <w:t xml:space="preserve">38,030.64</w:t>
            </w:r>
          </w:p>
        </w:tc>
        <w:tc>
          <w:tcPr>
            <w:tcW w:type="dxa" w:w="2000"/>
          </w:tcPr>
          <w:p>
            <w:r>
              <w:t xml:space="preserve">2</w:t>
            </w:r>
          </w:p>
        </w:tc>
      </w:tr>
      <w:tr>
        <w:tc>
          <w:tcPr>
            <w:tcW w:type="dxa" w:w="3500"/>
          </w:tcPr>
          <w:p>
            <w:r>
              <w:t xml:space="preserve">Kitchen</w:t>
            </w:r>
          </w:p>
        </w:tc>
        <w:tc>
          <w:tcPr>
            <w:tcW w:type="dxa" w:w="3500"/>
          </w:tcPr>
          <w:p>
            <w:r>
              <w:t xml:space="preserve">34,934.93</w:t>
            </w:r>
          </w:p>
        </w:tc>
        <w:tc>
          <w:tcPr>
            <w:tcW w:type="dxa" w:w="2000"/>
          </w:tcPr>
          <w:p>
            <w:r>
              <w:t xml:space="preserve">4</w:t>
            </w:r>
          </w:p>
        </w:tc>
      </w:tr>
      <w:tr>
        <w:tc>
          <w:tcPr>
            <w:tcW w:type="dxa" w:w="3500"/>
          </w:tcPr>
          <w:p>
            <w:r>
              <w:t xml:space="preserve">Footwear</w:t>
            </w:r>
          </w:p>
        </w:tc>
        <w:tc>
          <w:tcPr>
            <w:tcW w:type="dxa" w:w="3500"/>
          </w:tcPr>
          <w:p>
            <w:r>
              <w:t xml:space="preserve">30,969.49</w:t>
            </w:r>
          </w:p>
        </w:tc>
        <w:tc>
          <w:tcPr>
            <w:tcW w:type="dxa" w:w="2000"/>
          </w:tcPr>
          <w:p>
            <w:r>
              <w:t xml:space="preserve">2</w:t>
            </w:r>
          </w:p>
        </w:tc>
      </w:tr>
      <w:tr>
        <w:tc>
          <w:tcPr>
            <w:tcW w:type="dxa" w:w="3500"/>
          </w:tcPr>
          <w:p>
            <w:r>
              <w:t xml:space="preserve">Apparel</w:t>
            </w:r>
          </w:p>
        </w:tc>
        <w:tc>
          <w:tcPr>
            <w:tcW w:type="dxa" w:w="3500"/>
          </w:tcPr>
          <w:p>
            <w:r>
              <w:t xml:space="preserve">27,664.28</w:t>
            </w:r>
          </w:p>
        </w:tc>
        <w:tc>
          <w:tcPr>
            <w:tcW w:type="dxa" w:w="2000"/>
          </w:tcPr>
          <w:p>
            <w:r>
              <w:t xml:space="preserve">2</w:t>
            </w:r>
          </w:p>
        </w:tc>
      </w:tr>
      <w:tr>
        <w:tc>
          <w:tcPr>
            <w:tcW w:type="dxa" w:w="3500"/>
          </w:tcPr>
          <w:p>
            <w:r>
              <w:t xml:space="preserve">Wearables</w:t>
            </w:r>
          </w:p>
        </w:tc>
        <w:tc>
          <w:tcPr>
            <w:tcW w:type="dxa" w:w="3500"/>
          </w:tcPr>
          <w:p>
            <w:r>
              <w:t xml:space="preserve">19,929.00</w:t>
            </w:r>
          </w:p>
        </w:tc>
        <w:tc>
          <w:tcPr>
            <w:tcW w:type="dxa" w:w="2000"/>
          </w:tcPr>
          <w:p>
            <w:r>
              <w:t xml:space="preserve">2</w:t>
            </w:r>
          </w:p>
        </w:tc>
      </w:tr>
    </w:tbl>
    <w:p>
      <w:pPr>
        <w:pStyle w:val="Heading2"/>
        <w:spacing w:after="100" w:before="200"/>
      </w:pPr>
      <w:r>
        <w:t xml:space="preserve">7.2 Order Stage Distribution (Cancellation / Return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rPr>
          <w:tblHeader/>
        </w:trPr>
        <w:tc>
          <w:tcPr>
            <w:tcW w:type="dxa" w:w="3500"/>
            <w:shd w:fill="2E4057" w:color="auto" w:val="clear"/>
          </w:tcPr>
          <w:p>
            <w:r>
              <w:rPr>
                <w:b/>
                <w:bCs/>
                <w:color w:val="FFFFFF"/>
              </w:rPr>
              <w:t xml:space="preserve">Fulfillment Status</w:t>
            </w:r>
          </w:p>
        </w:tc>
        <w:tc>
          <w:tcPr>
            <w:tcW w:type="dxa" w:w="2750"/>
            <w:shd w:fill="2E4057" w:color="auto" w:val="clear"/>
          </w:tcPr>
          <w:p>
            <w:r>
              <w:rPr>
                <w:b/>
                <w:bCs/>
                <w:color w:val="FFFFFF"/>
              </w:rPr>
              <w:t xml:space="preserve">Orders</w:t>
            </w:r>
          </w:p>
        </w:tc>
        <w:tc>
          <w:tcPr>
            <w:tcW w:type="dxa" w:w="2750"/>
            <w:shd w:fill="2E4057" w:color="auto" w:val="clear"/>
          </w:tcPr>
          <w:p>
            <w:r>
              <w:rPr>
                <w:b/>
                <w:bCs/>
                <w:color w:val="FFFFFF"/>
              </w:rPr>
              <w:t xml:space="preserve">% of Total</w:t>
            </w:r>
          </w:p>
        </w:tc>
      </w:tr>
      <w:tr>
        <w:tc>
          <w:tcPr>
            <w:tcW w:type="dxa" w:w="3500"/>
          </w:tcPr>
          <w:p>
            <w:r>
              <w:t xml:space="preserve">Delivered</w:t>
            </w:r>
          </w:p>
        </w:tc>
        <w:tc>
          <w:tcPr>
            <w:tcW w:type="dxa" w:w="2750"/>
          </w:tcPr>
          <w:p>
            <w:r>
              <w:t xml:space="preserve">36</w:t>
            </w:r>
          </w:p>
        </w:tc>
        <w:tc>
          <w:tcPr>
            <w:tcW w:type="dxa" w:w="2750"/>
          </w:tcPr>
          <w:p>
            <w:r>
              <w:t xml:space="preserve">60.0%</w:t>
            </w:r>
          </w:p>
        </w:tc>
      </w:tr>
      <w:tr>
        <w:tc>
          <w:tcPr>
            <w:tcW w:type="dxa" w:w="3500"/>
          </w:tcPr>
          <w:p>
            <w:r>
              <w:t xml:space="preserve">Shipped</w:t>
            </w:r>
          </w:p>
        </w:tc>
        <w:tc>
          <w:tcPr>
            <w:tcW w:type="dxa" w:w="2750"/>
          </w:tcPr>
          <w:p>
            <w:r>
              <w:t xml:space="preserve">10</w:t>
            </w:r>
          </w:p>
        </w:tc>
        <w:tc>
          <w:tcPr>
            <w:tcW w:type="dxa" w:w="2750"/>
          </w:tcPr>
          <w:p>
            <w:r>
              <w:t xml:space="preserve">16.7%</w:t>
            </w:r>
          </w:p>
        </w:tc>
      </w:tr>
      <w:tr>
        <w:tc>
          <w:tcPr>
            <w:tcW w:type="dxa" w:w="3500"/>
          </w:tcPr>
          <w:p>
            <w:r>
              <w:t xml:space="preserve">Processing</w:t>
            </w:r>
          </w:p>
        </w:tc>
        <w:tc>
          <w:tcPr>
            <w:tcW w:type="dxa" w:w="2750"/>
          </w:tcPr>
          <w:p>
            <w:r>
              <w:t xml:space="preserve">7</w:t>
            </w:r>
          </w:p>
        </w:tc>
        <w:tc>
          <w:tcPr>
            <w:tcW w:type="dxa" w:w="2750"/>
          </w:tcPr>
          <w:p>
            <w:r>
              <w:t xml:space="preserve">11.7%</w:t>
            </w:r>
          </w:p>
        </w:tc>
      </w:tr>
      <w:tr>
        <w:tc>
          <w:tcPr>
            <w:tcW w:type="dxa" w:w="3500"/>
          </w:tcPr>
          <w:p>
            <w:r>
              <w:t xml:space="preserve">Cancelled</w:t>
            </w:r>
          </w:p>
        </w:tc>
        <w:tc>
          <w:tcPr>
            <w:tcW w:type="dxa" w:w="2750"/>
          </w:tcPr>
          <w:p>
            <w:r>
              <w:t xml:space="preserve">4</w:t>
            </w:r>
          </w:p>
        </w:tc>
        <w:tc>
          <w:tcPr>
            <w:tcW w:type="dxa" w:w="2750"/>
          </w:tcPr>
          <w:p>
            <w:r>
              <w:t xml:space="preserve">6.7%</w:t>
            </w:r>
          </w:p>
        </w:tc>
      </w:tr>
      <w:tr>
        <w:tc>
          <w:tcPr>
            <w:tcW w:type="dxa" w:w="3500"/>
          </w:tcPr>
          <w:p>
            <w:r>
              <w:t xml:space="preserve">Returned</w:t>
            </w:r>
          </w:p>
        </w:tc>
        <w:tc>
          <w:tcPr>
            <w:tcW w:type="dxa" w:w="2750"/>
          </w:tcPr>
          <w:p>
            <w:r>
              <w:t xml:space="preserve">3</w:t>
            </w:r>
          </w:p>
        </w:tc>
        <w:tc>
          <w:tcPr>
            <w:tcW w:type="dxa" w:w="2750"/>
          </w:tcPr>
          <w:p>
            <w:r>
              <w:t xml:space="preserve">5.0%</w:t>
            </w:r>
          </w:p>
        </w:tc>
      </w:tr>
    </w:tbl>
    <w:p>
      <w:pPr>
        <w:pStyle w:val="Heading2"/>
        <w:spacing w:after="100" w:before="200"/>
      </w:pPr>
      <w:r>
        <w:t xml:space="preserve">7.3 Fulfillment Volume Summary</w:t>
      </w:r>
    </w:p>
    <w:p>
      <w:pPr>
        <w:spacing w:after="120"/>
      </w:pPr>
      <w:r>
        <w:t xml:space="preserve">Total orders processed: 60  |  Distinct customers: 49  |  Distinct fulfillment centers: 5</w:t>
      </w:r>
    </w:p>
    <w:p>
      <w:pPr>
        <w:spacing w:after="120"/>
      </w:pPr>
      <w:r>
        <w:t xml:space="preserve">FC-Pune (Central region) handled the largest single center-region pairing with 6 orders; volume was otherwise spread fairly evenly across the remaining four centers.</w:t>
      </w:r>
    </w:p>
    <w:p>
      <w:pPr>
        <w:pStyle w:val="Heading1"/>
        <w:spacing w:after="150" w:before="300"/>
      </w:pPr>
      <w:r>
        <w:t xml:space="preserve">8. Observations</w:t>
      </w:r>
    </w:p>
    <w:p>
      <w:pPr>
        <w:pStyle w:val="ListParagraph"/>
        <w:numPr>
          <w:ilvl w:val="0"/>
          <w:numId w:val="1"/>
        </w:numPr>
        <w:spacing w:after="60"/>
      </w:pPr>
      <w:r>
        <w:t xml:space="preserve">Home and Electronics together account for over half of total net revenue despite Home having more orders at a lower average value per order — average order value, not just volume, matters for prioritization.</w:t>
      </w:r>
    </w:p>
    <w:p>
      <w:pPr>
        <w:pStyle w:val="ListParagraph"/>
        <w:numPr>
          <w:ilvl w:val="0"/>
          <w:numId w:val="1"/>
        </w:numPr>
        <w:spacing w:after="60"/>
      </w:pPr>
      <w:r>
        <w:t xml:space="preserve">A combined 11.7% cancellation-plus-return rate is concentrated enough to be worth a dedicated root-cause pass in a future iteration, broken down by fulfillment center.</w:t>
      </w:r>
    </w:p>
    <w:p>
      <w:pPr>
        <w:pStyle w:val="ListParagraph"/>
        <w:numPr>
          <w:ilvl w:val="0"/>
          <w:numId w:val="1"/>
        </w:numPr>
        <w:spacing w:after="60"/>
      </w:pPr>
      <w:r>
        <w:t xml:space="preserve">8.3% of raw discount_pct values and 5% of payment_channel values were blank — high enough that skipping explicit null handling would have measurably skewed revenue and payment-mix figures.</w:t>
      </w:r>
    </w:p>
    <w:p>
      <w:pPr>
        <w:pStyle w:val="Heading1"/>
        <w:spacing w:after="150" w:before="300"/>
      </w:pPr>
      <w:r>
        <w:t xml:space="preserve">9. Performance Notes</w:t>
      </w:r>
    </w:p>
    <w:p>
      <w:pPr>
        <w:spacing w:after="120"/>
      </w:pPr>
      <w:r>
        <w:t xml:space="preserve">Calling explain(True) on the revenue-by-category query surfaces a textbook two-phase hash aggregation: a partial HashAggregate runs per-partition before any data crosses the network, an Exchange (shuffle) redistributes by category, and a second HashAggregate combines the partial results — followed by a Sort for the orderBy(). This is the mechanism that lets the identical query scale from 60 rows to millions without a code change.</w:t>
      </w:r>
    </w:p>
    <w:p>
      <w:pPr>
        <w:spacing w:after="120"/>
      </w:pPr>
      <w:r>
        <w:t xml:space="preserve">The CSV output stage used coalesce(1) to produce one human-readable file, which is appropriate at this scale but would become a single-threaded bottleneck on a much larger dataset. The Parquet output was left un-coalesced deliberately, since it is meant to be read back by Spark itself in parallel, not opened by a person — the two writes exist for two different consumers, and were tuned accordingly.</w:t>
      </w:r>
    </w:p>
    <w:p>
      <w:pPr>
        <w:pStyle w:val="Heading1"/>
        <w:spacing w:after="150" w:before="300"/>
      </w:pPr>
      <w:r>
        <w:t xml:space="preserve">10. Learning Summary</w:t>
      </w:r>
    </w:p>
    <w:p>
      <w:pPr>
        <w:spacing w:after="120"/>
      </w:pPr>
      <w:r>
        <w:t xml:space="preserve">This project reinforced three ideas beyond the mechanical Spark API: first, that schema inference is a sampling heuristic, not a guarantee, and blank or mixed values can silently mistype an entire column; second, that the order of operations matters when cleaning data — casting before resolving blanks produces nulls that a later equality check will silently miss; and third, that lazy evaluation is not an implementation detail but the reason Spark can optimize a multi-step pipeline as a single plan rather than executing each step in isolation.</w:t>
      </w:r>
    </w:p>
    <w:p>
      <w:pPr>
        <w:pStyle w:val="Heading1"/>
        <w:spacing w:after="150" w:before="300"/>
      </w:pPr>
      <w:r>
        <w:t xml:space="preserve">11. Final Conclusion</w:t>
      </w:r>
    </w:p>
    <w:p>
      <w:pPr>
        <w:spacing w:after="120"/>
      </w:pPr>
      <w:r>
        <w:t xml:space="preserve">The NimbusCart Order Intelligence pipeline takes a raw, genuinely imperfect CSV export through loading, profiling, cleaning, enrichment, business analysis, and columnar persistence — entirely in PySpark, and entirely executed rather than described. It answers the five operational questions posed at the outset and produces a Parquet dataset ready for repeated downstream use. The natural next step is partitioning the Parquet output by region or fulfillment_status, and scheduling the pipeline rather than running it manually.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2026-07-26T18:10:48.763Z</dcterms:created>
  <dcterms:modified xsi:type="dcterms:W3CDTF">2026-07-26T18:10:48.773Z</dcterms:modified>
</cp:coreProperties>
</file>

<file path=docProps/custom.xml><?xml version="1.0" encoding="utf-8"?>
<Properties xmlns="http://schemas.openxmlformats.org/officeDocument/2006/custom-properties" xmlns:vt="http://schemas.openxmlformats.org/officeDocument/2006/docPropsVTypes"/>
</file>