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B1D24" w:rsidR="006B1D24" w:rsidP="4BDAB14F" w:rsidRDefault="006B1D24" w14:paraId="5378B456" w14:textId="761ADAF7">
      <w:pPr>
        <w:pStyle w:val="Normal"/>
        <w:jc w:val="both"/>
      </w:pPr>
      <w:r w:rsidR="2D4E3FB6">
        <w:rPr/>
        <w:t xml:space="preserve">I am pleased to present the </w:t>
      </w:r>
      <w:r w:rsidR="46E2FCAF">
        <w:rPr/>
        <w:t>seventeenth edition</w:t>
      </w:r>
      <w:r w:rsidRPr="4BDAB14F" w:rsidR="2D4E3FB6">
        <w:rPr>
          <w:color w:val="EE0000"/>
        </w:rPr>
        <w:t xml:space="preserve"> </w:t>
      </w:r>
      <w:r w:rsidR="2D4E3FB6">
        <w:rPr/>
        <w:t xml:space="preserve">of our </w:t>
      </w:r>
      <w:r w:rsidR="5D657869">
        <w:rPr/>
        <w:t>Market Chronicles</w:t>
      </w:r>
      <w:r w:rsidR="2D4E3FB6">
        <w:rPr/>
        <w:t xml:space="preserve">, designed to provide investors with a clear, data-driven, and actionable perspective on evolving market dynamics. </w:t>
      </w:r>
      <w:r w:rsidRPr="4BDAB14F" w:rsidR="46B91889">
        <w:rPr>
          <w:rFonts w:ascii="Calibri" w:hAnsi="Calibri" w:eastAsia="Calibri" w:cs="Calibri"/>
          <w:noProof w:val="0"/>
          <w:sz w:val="22"/>
          <w:szCs w:val="22"/>
          <w:lang w:val="en-IN"/>
        </w:rPr>
        <w:t>At Neo Wealth, our investment philosophy is anchored in discipline, transparency, and a long-term approach to portfolio construction. These principles continue to guide our investment decisions, enabling us to navigate changing market environments with confidence and consistency.</w:t>
      </w:r>
    </w:p>
    <w:p w:rsidRPr="006B1D24" w:rsidR="006B1D24" w:rsidP="006B1D24" w:rsidRDefault="006B1D24" w14:paraId="58AB2CC5" w14:textId="45B168B4">
      <w:pPr>
        <w:jc w:val="both"/>
      </w:pPr>
      <w:r w:rsidR="2D4E3FB6">
        <w:rPr/>
        <w:t>Indian equity markets rebounded during June 2026 after navigating a period of heightened geopolitical uncertainty and elevated energy prices. Investor sentiment improved meaningfully toward the latter half of the month as progress in</w:t>
      </w:r>
      <w:r w:rsidR="7E971028">
        <w:rPr/>
        <w:t xml:space="preserve"> the</w:t>
      </w:r>
      <w:r w:rsidR="2D4E3FB6">
        <w:rPr/>
        <w:t xml:space="preserve"> US–Iran negotiations eased concerns over disruptions to global energy supplies, resulting in a sharp correction in crude oil prices. While global markets continued to grapple with expectations of higher-for-longer interest rates in the United States, India's resilient domestic fundamentals enabled equities to recover, with the Sensex gaining 2.3%, the Nifty 50 rising 1.4%, and the BSE Small Cap Index outperforming with a 5.3% return.</w:t>
      </w:r>
    </w:p>
    <w:p w:rsidR="006B1D24" w:rsidP="006B1D24" w:rsidRDefault="006B1D24" w14:paraId="0A63F44C" w14:textId="77777777">
      <w:pPr>
        <w:jc w:val="both"/>
      </w:pPr>
      <w:r w:rsidRPr="006B1D24">
        <w:t xml:space="preserve">Market leadership shifted toward domestic-facing sectors. Banks, Financial Services, Realty, and Pharmaceuticals emerged as the strongest performers during the month, supported by improving sentiment, stable domestic liquidity, and </w:t>
      </w:r>
      <w:r>
        <w:t>stable</w:t>
      </w:r>
      <w:r w:rsidRPr="006B1D24">
        <w:t xml:space="preserve"> economic activity. Conversely, globally linked sectors such as Information Technology and Metals underperformed amid continued concerns around global growth and </w:t>
      </w:r>
      <w:r>
        <w:t>higher for longer environment</w:t>
      </w:r>
      <w:r w:rsidRPr="006B1D24">
        <w:t xml:space="preserve">. </w:t>
      </w:r>
    </w:p>
    <w:p w:rsidRPr="006B1D24" w:rsidR="006B1D24" w:rsidP="006B1D24" w:rsidRDefault="006B1D24" w14:paraId="16318E4F" w14:textId="108E39D9">
      <w:pPr>
        <w:jc w:val="both"/>
      </w:pPr>
      <w:r w:rsidR="2D4E3FB6">
        <w:rPr/>
        <w:t xml:space="preserve">India's macroeconomic fundamentals remain </w:t>
      </w:r>
      <w:r w:rsidR="2D4E3FB6">
        <w:rPr/>
        <w:t xml:space="preserve">resilient. </w:t>
      </w:r>
      <w:r w:rsidR="2D4E3FB6">
        <w:rPr/>
        <w:t xml:space="preserve">The economy concluded FY26 with real GDP growth of 7.7%, while fourth-quarter growth accelerated to 7.8%, reaffirming India's position as one of the world's fastest-growing major economies. Manufacturing activity, industrial production, GST collections, digital payments, and bank credit growth all remained healthy. </w:t>
      </w:r>
      <w:r w:rsidRPr="4BDAB14F" w:rsidR="2D4E3FB6">
        <w:rPr>
          <w:highlight w:val="yellow"/>
        </w:rPr>
        <w:t>Although</w:t>
      </w:r>
      <w:r w:rsidR="2D4E3FB6">
        <w:rPr/>
        <w:t xml:space="preserve"> wholesale inflation remained elevated due to higher input costs, retail inflation stayed comfortably within the Reserve Bank of India's target range.</w:t>
      </w:r>
    </w:p>
    <w:p w:rsidRPr="006B1D24" w:rsidR="006B1D24" w:rsidP="006B1D24" w:rsidRDefault="006B1D24" w14:paraId="062D28A5" w14:textId="77777777">
      <w:pPr>
        <w:jc w:val="both"/>
      </w:pPr>
      <w:r w:rsidRPr="006B1D24">
        <w:t>Against this backdrop, the Reserve Bank of India maintained the policy repo rate at 5.25% and retained its neutral policy stance, balancing resilient domestic growth against external risks arising from geopolitical uncertainty and volatile energy prices. While the RBI modestly revised its FY27 growth and inflation projections to reflect higher crude oil prices and global supply-chain risks, its policy stance continues to support macroeconomic stability while preserving flexibility to respond to evolving conditions.</w:t>
      </w:r>
    </w:p>
    <w:p w:rsidRPr="006B1D24" w:rsidR="006B1D24" w:rsidP="006B1D24" w:rsidRDefault="006B1D24" w14:paraId="0D7D0169" w14:textId="6B6E6114">
      <w:pPr>
        <w:jc w:val="both"/>
      </w:pPr>
      <w:r w:rsidRPr="006B1D24">
        <w:t xml:space="preserve">Corporate earnings continue to normalize following the exceptionally strong post-pandemic cycle. Nifty earnings grew 6.2% in FY26, with sectoral divergence remaining evident. Looking ahead, FY27 earnings expectations have been moderated to approximately 11–12% as higher </w:t>
      </w:r>
      <w:r>
        <w:t>input</w:t>
      </w:r>
      <w:r w:rsidRPr="006B1D24">
        <w:t xml:space="preserve"> prices and global uncertainties weigh on margins</w:t>
      </w:r>
      <w:r>
        <w:t xml:space="preserve"> and growth</w:t>
      </w:r>
      <w:r w:rsidRPr="006B1D24">
        <w:t>. Nevertheless, domestic demand, infrastructure investment, financial sector strength, and premium consumption trends continue to provide a constructive backdrop for medium-term earnings growth.</w:t>
      </w:r>
    </w:p>
    <w:p w:rsidRPr="006B1D24" w:rsidR="006B1D24" w:rsidP="006B1D24" w:rsidRDefault="006B1D24" w14:paraId="0FABC6DB" w14:textId="74A35A48">
      <w:pPr>
        <w:jc w:val="both"/>
      </w:pPr>
      <w:r w:rsidR="2D4E3FB6">
        <w:rPr/>
        <w:t xml:space="preserve">Valuations have become increasingly attractive following the market correction </w:t>
      </w:r>
      <w:r w:rsidR="2D4E3FB6">
        <w:rPr/>
        <w:t>witnessed</w:t>
      </w:r>
      <w:r w:rsidR="2D4E3FB6">
        <w:rPr/>
        <w:t xml:space="preserve"> over the past 12–18 months. Large</w:t>
      </w:r>
      <w:r w:rsidR="696154FC">
        <w:rPr/>
        <w:t xml:space="preserve"> </w:t>
      </w:r>
      <w:r w:rsidR="696154FC">
        <w:rPr/>
        <w:t>C</w:t>
      </w:r>
      <w:r w:rsidR="2D4E3FB6">
        <w:rPr/>
        <w:t>ap</w:t>
      </w:r>
      <w:r w:rsidR="2D4E3FB6">
        <w:rPr/>
        <w:t xml:space="preserve"> indices such as the Sensex and Nifty now trade at meaningful discounts to their five-year average valuation multiples, while </w:t>
      </w:r>
      <w:r w:rsidR="7B4D8F21">
        <w:rPr/>
        <w:t>M</w:t>
      </w:r>
      <w:r w:rsidR="2D4E3FB6">
        <w:rPr/>
        <w:t>id</w:t>
      </w:r>
      <w:r w:rsidR="193F2819">
        <w:rPr/>
        <w:t xml:space="preserve"> </w:t>
      </w:r>
      <w:r w:rsidR="2D4E3FB6">
        <w:rPr/>
        <w:t xml:space="preserve">and </w:t>
      </w:r>
      <w:r w:rsidR="431B4F05">
        <w:rPr/>
        <w:t>S</w:t>
      </w:r>
      <w:r w:rsidR="2D4E3FB6">
        <w:rPr/>
        <w:t>mall</w:t>
      </w:r>
      <w:r w:rsidR="7A535B8C">
        <w:rPr/>
        <w:t xml:space="preserve"> C</w:t>
      </w:r>
      <w:r w:rsidR="2D4E3FB6">
        <w:rPr/>
        <w:t>ap valuations have largely normalized. Several sectors, including Banks, Financials, Consumer Discretionary, Auto, FMCG, IT, and Realty, continue to trade below historical valuation averages, offering selective opportunities for long-term investors.</w:t>
      </w:r>
    </w:p>
    <w:p w:rsidRPr="006B1D24" w:rsidR="006B1D24" w:rsidP="006B1D24" w:rsidRDefault="006B1D24" w14:paraId="4BF86B64" w14:textId="5567A686">
      <w:pPr>
        <w:jc w:val="both"/>
      </w:pPr>
      <w:r w:rsidRPr="006B1D24">
        <w:t>Looking ahead, the trajectory of crude oil prices, the durability of the U.S.–Iran agreement, global monetary policy</w:t>
      </w:r>
      <w:r w:rsidR="00AF3E76">
        <w:t xml:space="preserve"> </w:t>
      </w:r>
      <w:r w:rsidRPr="006B1D24">
        <w:t xml:space="preserve">and the upcoming corporate earnings season will remain key drivers of market sentiment. While geopolitical risks have moderated, they continue to warrant close monitoring. </w:t>
      </w:r>
      <w:r w:rsidRPr="006B1D24">
        <w:lastRenderedPageBreak/>
        <w:t>Encouragingly, India's domestic growth engine remains firmly intact, supported by healthy macroeconomic fundamentals, policy stability, and sustained domestic investor participation.</w:t>
      </w:r>
    </w:p>
    <w:p w:rsidRPr="006B1D24" w:rsidR="006B1D24" w:rsidP="006B1D24" w:rsidRDefault="006B1D24" w14:paraId="143CBF23" w14:textId="10EAB566">
      <w:pPr>
        <w:jc w:val="both"/>
      </w:pPr>
      <w:r w:rsidR="2D4E3FB6">
        <w:rPr/>
        <w:t xml:space="preserve">Against this backdrop, we continue to remain </w:t>
      </w:r>
      <w:r w:rsidRPr="4BDAB14F" w:rsidR="2D4E3FB6">
        <w:rPr>
          <w:b w:val="1"/>
          <w:bCs w:val="1"/>
        </w:rPr>
        <w:t>Overweight on Indian Equities</w:t>
      </w:r>
      <w:r w:rsidR="2D4E3FB6">
        <w:rPr/>
        <w:t xml:space="preserve"> at the portfolio level while maintaining a </w:t>
      </w:r>
      <w:r w:rsidRPr="4BDAB14F" w:rsidR="2D4E3FB6">
        <w:rPr>
          <w:b w:val="1"/>
          <w:bCs w:val="1"/>
        </w:rPr>
        <w:t>Neutral</w:t>
      </w:r>
      <w:r w:rsidR="2D4E3FB6">
        <w:rPr/>
        <w:t xml:space="preserve"> stance at the category level. From a style perspective, we continue to favour </w:t>
      </w:r>
      <w:r w:rsidRPr="4BDAB14F" w:rsidR="2D4E3FB6">
        <w:rPr>
          <w:b w:val="1"/>
          <w:bCs w:val="1"/>
        </w:rPr>
        <w:t>Quality</w:t>
      </w:r>
      <w:r w:rsidR="2D4E3FB6">
        <w:rPr/>
        <w:t xml:space="preserve"> and </w:t>
      </w:r>
      <w:r w:rsidRPr="4BDAB14F" w:rsidR="2D4E3FB6">
        <w:rPr>
          <w:b w:val="1"/>
          <w:bCs w:val="1"/>
        </w:rPr>
        <w:t>GARP</w:t>
      </w:r>
      <w:r w:rsidR="2D4E3FB6">
        <w:rPr/>
        <w:t xml:space="preserve"> strategies while remaining </w:t>
      </w:r>
      <w:r w:rsidRPr="4BDAB14F" w:rsidR="2D4E3FB6">
        <w:rPr>
          <w:b w:val="1"/>
          <w:bCs w:val="1"/>
        </w:rPr>
        <w:t xml:space="preserve">Overweight on </w:t>
      </w:r>
      <w:r w:rsidRPr="4BDAB14F" w:rsidR="007394DB">
        <w:rPr>
          <w:b w:val="1"/>
          <w:bCs w:val="1"/>
        </w:rPr>
        <w:t xml:space="preserve">Large Cap </w:t>
      </w:r>
      <w:r w:rsidRPr="4BDAB14F" w:rsidR="2D4E3FB6">
        <w:rPr>
          <w:b w:val="1"/>
          <w:bCs w:val="1"/>
        </w:rPr>
        <w:t>Private Banks</w:t>
      </w:r>
      <w:r w:rsidR="2D4E3FB6">
        <w:rPr/>
        <w:t xml:space="preserve">. We believe </w:t>
      </w:r>
      <w:r w:rsidRPr="4BDAB14F" w:rsidR="2D4E3FB6">
        <w:rPr>
          <w:highlight w:val="yellow"/>
        </w:rPr>
        <w:t>periods</w:t>
      </w:r>
      <w:r w:rsidR="2D4E3FB6">
        <w:rPr/>
        <w:t xml:space="preserve"> of market volatility continue to present attractive opportunities for long-term investors to build or enhance equity allocations in line with their strategic asset allocation.</w:t>
      </w:r>
    </w:p>
    <w:p w:rsidRPr="006B1D24" w:rsidR="006B1D24" w:rsidP="006B1D24" w:rsidRDefault="006B1D24" w14:paraId="797D5317" w14:textId="2EF83A12">
      <w:pPr>
        <w:jc w:val="both"/>
      </w:pPr>
      <w:r w:rsidR="2D4E3FB6">
        <w:rPr/>
        <w:t xml:space="preserve">At Neo, our focus </w:t>
      </w:r>
      <w:r w:rsidR="2D4E3FB6">
        <w:rPr/>
        <w:t>remains</w:t>
      </w:r>
      <w:r w:rsidR="2D4E3FB6">
        <w:rPr/>
        <w:t xml:space="preserve"> on helping clients navigate changing market cycles through disciplined portfolio construction and long-term investing. We </w:t>
      </w:r>
      <w:r w:rsidR="2D4E3FB6">
        <w:rPr/>
        <w:t>remain</w:t>
      </w:r>
      <w:r w:rsidR="2D4E3FB6">
        <w:rPr/>
        <w:t xml:space="preserve"> committed to providing </w:t>
      </w:r>
      <w:r w:rsidR="2D4E3FB6">
        <w:rPr/>
        <w:t>timely</w:t>
      </w:r>
      <w:r w:rsidR="2D4E3FB6">
        <w:rPr/>
        <w:t xml:space="preserve"> insights and thoughtful guidance as we continue this investment journey together.</w:t>
      </w:r>
    </w:p>
    <w:p w:rsidRPr="006B1D24" w:rsidR="006B1D24" w:rsidP="006B1D24" w:rsidRDefault="006B1D24" w14:paraId="57E98E18" w14:textId="77777777">
      <w:pPr>
        <w:jc w:val="both"/>
      </w:pPr>
      <w:r w:rsidRPr="006B1D24">
        <w:t>Warm regards,</w:t>
      </w:r>
    </w:p>
    <w:p w:rsidR="0093311C" w:rsidP="0093311C" w:rsidRDefault="0093311C" w14:paraId="1EF6F8C6" w14:textId="77777777">
      <w:pPr>
        <w:pStyle w:val="NoSpacing"/>
      </w:pPr>
      <w:r>
        <w:t>Pawan Kumar</w:t>
      </w:r>
    </w:p>
    <w:p w:rsidRPr="006B1D24" w:rsidR="006B1D24" w:rsidP="0093311C" w:rsidRDefault="006B1D24" w14:paraId="35FD088F" w14:textId="7AE7856F">
      <w:pPr>
        <w:pStyle w:val="NoSpacing"/>
      </w:pPr>
      <w:r w:rsidRPr="006B1D24">
        <w:t>Chief Investment Officer</w:t>
      </w:r>
    </w:p>
    <w:p w:rsidR="00C850B6" w:rsidP="006B1D24" w:rsidRDefault="00C850B6" w14:paraId="335E8CE6" w14:textId="77777777">
      <w:pPr>
        <w:jc w:val="both"/>
      </w:pPr>
    </w:p>
    <w:sectPr w:rsidR="00C850B6">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D24"/>
    <w:rsid w:val="00162944"/>
    <w:rsid w:val="00167E8B"/>
    <w:rsid w:val="00586054"/>
    <w:rsid w:val="006B1D24"/>
    <w:rsid w:val="007394DB"/>
    <w:rsid w:val="008941AD"/>
    <w:rsid w:val="0093311C"/>
    <w:rsid w:val="00AF3E76"/>
    <w:rsid w:val="00C850B6"/>
    <w:rsid w:val="01798188"/>
    <w:rsid w:val="193F2819"/>
    <w:rsid w:val="2D4E3FB6"/>
    <w:rsid w:val="3E9082A1"/>
    <w:rsid w:val="431B4F05"/>
    <w:rsid w:val="46B91889"/>
    <w:rsid w:val="46E2FCAF"/>
    <w:rsid w:val="4BDAB14F"/>
    <w:rsid w:val="593165FA"/>
    <w:rsid w:val="59A477FE"/>
    <w:rsid w:val="5D657869"/>
    <w:rsid w:val="696154FC"/>
    <w:rsid w:val="7956FDAA"/>
    <w:rsid w:val="7A535B8C"/>
    <w:rsid w:val="7B4D8F21"/>
    <w:rsid w:val="7E9710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D89C0"/>
  <w15:chartTrackingRefBased/>
  <w15:docId w15:val="{9D9FA107-5708-47AC-8818-0FAC227B2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6B1D24"/>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1D24"/>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1D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1D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1D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1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D2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B1D24"/>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6B1D24"/>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6B1D24"/>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6B1D24"/>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6B1D24"/>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6B1D2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6B1D2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6B1D2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6B1D24"/>
    <w:rPr>
      <w:rFonts w:eastAsiaTheme="majorEastAsia" w:cstheme="majorBidi"/>
      <w:color w:val="272727" w:themeColor="text1" w:themeTint="D8"/>
    </w:rPr>
  </w:style>
  <w:style w:type="paragraph" w:styleId="Title">
    <w:name w:val="Title"/>
    <w:basedOn w:val="Normal"/>
    <w:next w:val="Normal"/>
    <w:link w:val="TitleChar"/>
    <w:uiPriority w:val="10"/>
    <w:qFormat/>
    <w:rsid w:val="006B1D2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B1D2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6B1D2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6B1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D24"/>
    <w:pPr>
      <w:spacing w:before="160"/>
      <w:jc w:val="center"/>
    </w:pPr>
    <w:rPr>
      <w:i/>
      <w:iCs/>
      <w:color w:val="404040" w:themeColor="text1" w:themeTint="BF"/>
    </w:rPr>
  </w:style>
  <w:style w:type="character" w:styleId="QuoteChar" w:customStyle="1">
    <w:name w:val="Quote Char"/>
    <w:basedOn w:val="DefaultParagraphFont"/>
    <w:link w:val="Quote"/>
    <w:uiPriority w:val="29"/>
    <w:rsid w:val="006B1D24"/>
    <w:rPr>
      <w:i/>
      <w:iCs/>
      <w:color w:val="404040" w:themeColor="text1" w:themeTint="BF"/>
    </w:rPr>
  </w:style>
  <w:style w:type="paragraph" w:styleId="ListParagraph">
    <w:name w:val="List Paragraph"/>
    <w:basedOn w:val="Normal"/>
    <w:uiPriority w:val="34"/>
    <w:qFormat/>
    <w:rsid w:val="006B1D24"/>
    <w:pPr>
      <w:ind w:left="720"/>
      <w:contextualSpacing/>
    </w:pPr>
  </w:style>
  <w:style w:type="character" w:styleId="IntenseEmphasis">
    <w:name w:val="Intense Emphasis"/>
    <w:basedOn w:val="DefaultParagraphFont"/>
    <w:uiPriority w:val="21"/>
    <w:qFormat/>
    <w:rsid w:val="006B1D24"/>
    <w:rPr>
      <w:i/>
      <w:iCs/>
      <w:color w:val="2F5496" w:themeColor="accent1" w:themeShade="BF"/>
    </w:rPr>
  </w:style>
  <w:style w:type="paragraph" w:styleId="IntenseQuote">
    <w:name w:val="Intense Quote"/>
    <w:basedOn w:val="Normal"/>
    <w:next w:val="Normal"/>
    <w:link w:val="IntenseQuoteChar"/>
    <w:uiPriority w:val="30"/>
    <w:qFormat/>
    <w:rsid w:val="006B1D24"/>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6B1D24"/>
    <w:rPr>
      <w:i/>
      <w:iCs/>
      <w:color w:val="2F5496" w:themeColor="accent1" w:themeShade="BF"/>
    </w:rPr>
  </w:style>
  <w:style w:type="character" w:styleId="IntenseReference">
    <w:name w:val="Intense Reference"/>
    <w:basedOn w:val="DefaultParagraphFont"/>
    <w:uiPriority w:val="32"/>
    <w:qFormat/>
    <w:rsid w:val="006B1D24"/>
    <w:rPr>
      <w:b/>
      <w:bCs/>
      <w:smallCaps/>
      <w:color w:val="2F5496" w:themeColor="accent1" w:themeShade="BF"/>
      <w:spacing w:val="5"/>
    </w:rPr>
  </w:style>
  <w:style w:type="paragraph" w:styleId="NoSpacing">
    <w:name w:val="No Spacing"/>
    <w:uiPriority w:val="1"/>
    <w:qFormat/>
    <w:rsid w:val="0093311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VIJAY SALES</dc:creator>
  <keywords/>
  <dc:description/>
  <lastModifiedBy>Anurita Sinha</lastModifiedBy>
  <revision>3</revision>
  <dcterms:created xsi:type="dcterms:W3CDTF">2026-07-06T07:05:00.0000000Z</dcterms:created>
  <dcterms:modified xsi:type="dcterms:W3CDTF">2026-07-08T13:45:32.9020314Z</dcterms:modified>
</coreProperties>
</file>