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60791" w:rsidP="00460791" w:rsidRDefault="001A7A6F" w14:paraId="7F20527E" w14:textId="77777777">
      <w:pPr>
        <w:spacing w:after="60"/>
        <w:rPr>
          <w:rFonts w:ascii="Instrument Serif" w:hAnsi="Instrument Serif"/>
          <w:color w:val="190F35"/>
          <w:sz w:val="80"/>
          <w:szCs w:val="80"/>
        </w:rPr>
      </w:pPr>
      <w:commentRangeStart w:id="0"/>
      <w:r w:rsidRPr="1F408C2C" w:rsidR="001A7A6F">
        <w:rPr>
          <w:rFonts w:ascii="Instrument Serif" w:hAnsi="Instrument Serif"/>
          <w:caps w:val="1"/>
          <w:color w:val="190F35"/>
          <w:sz w:val="80"/>
          <w:szCs w:val="80"/>
        </w:rPr>
        <w:t>THE LIFE EDIT</w:t>
      </w:r>
    </w:p>
    <w:p w:rsidR="00460791" w:rsidP="00460791" w:rsidRDefault="00460791" w14:paraId="1C2E67B8" w14:textId="26C7E3EA">
      <w:pPr>
        <w:spacing w:after="60"/>
        <w:rPr>
          <w:rFonts w:ascii="Montserrat" w:hAnsi="Montserrat" w:eastAsia="Garamond" w:cs="Garamond"/>
        </w:rPr>
      </w:pPr>
      <w:r w:rsidRPr="00460791">
        <w:rPr>
          <w:rFonts w:ascii="Montserrat" w:hAnsi="Montserrat" w:eastAsia="Garamond" w:cs="Garamond"/>
        </w:rPr>
        <w:t>As Market Chronicles moves beyond the earlier “Beyond the Markets” format, The Life Edit reframes lifestyle as a serious expression of modern wealth that tell how it is experienced, collected, moved, and extended</w:t>
      </w:r>
      <w:r>
        <w:rPr>
          <w:rFonts w:ascii="Montserrat" w:hAnsi="Montserrat" w:eastAsia="Garamond" w:cs="Garamond"/>
        </w:rPr>
        <w:t>.</w:t>
      </w:r>
    </w:p>
    <w:p w:rsidR="00460791" w:rsidP="00460791" w:rsidRDefault="00460791" w14:paraId="1714FA7E" w14:textId="7DD22A3A">
      <w:pPr>
        <w:spacing w:after="60"/>
        <w:rPr>
          <w:rFonts w:ascii="Montserrat" w:hAnsi="Montserrat" w:eastAsia="Garamond" w:cs="Garamond"/>
        </w:rPr>
      </w:pPr>
      <w:r w:rsidRPr="00460791">
        <w:rPr>
          <w:rFonts w:ascii="Montserrat" w:hAnsi="Montserrat" w:eastAsia="Garamond" w:cs="Garamond"/>
        </w:rPr>
        <w:t>The Life Edit is built around four recurring lenses: Time, Money, Freedom, and Health.</w:t>
      </w:r>
    </w:p>
    <w:p w:rsidRPr="00AA6A0D" w:rsidR="00A77735" w:rsidP="00AA6A0D" w:rsidRDefault="00460791" w14:paraId="2541A029" w14:textId="64AA4C22">
      <w:pPr>
        <w:spacing w:after="60"/>
        <w:rPr>
          <w:rFonts w:ascii="Montserrat" w:hAnsi="Montserrat" w:eastAsia="Garamond" w:cs="Garamond"/>
        </w:rPr>
      </w:pPr>
      <w:r w:rsidRPr="1F408C2C" w:rsidR="00460791">
        <w:rPr>
          <w:rFonts w:ascii="Montserrat" w:hAnsi="Montserrat" w:eastAsia="Garamond" w:cs="Garamond"/>
          <w:b w:val="1"/>
          <w:bCs w:val="1"/>
        </w:rPr>
        <w:t>Time</w:t>
      </w:r>
      <w:r w:rsidRPr="1F408C2C" w:rsidR="00460791">
        <w:rPr>
          <w:rFonts w:ascii="Montserrat" w:hAnsi="Montserrat" w:eastAsia="Garamond" w:cs="Garamond"/>
        </w:rPr>
        <w:t xml:space="preserve"> explores how affluent individuals are choosing to reclaim their most finite resource. </w:t>
      </w:r>
      <w:r w:rsidRPr="1F408C2C" w:rsidR="00460791">
        <w:rPr>
          <w:rFonts w:ascii="Montserrat" w:hAnsi="Montserrat" w:eastAsia="Garamond" w:cs="Garamond"/>
          <w:b w:val="1"/>
          <w:bCs w:val="1"/>
        </w:rPr>
        <w:t>Money</w:t>
      </w:r>
      <w:r w:rsidRPr="1F408C2C" w:rsidR="00460791">
        <w:rPr>
          <w:rFonts w:ascii="Montserrat" w:hAnsi="Montserrat" w:eastAsia="Garamond" w:cs="Garamond"/>
        </w:rPr>
        <w:t xml:space="preserve"> looks at passion assets like objects of taste, legacy, and value. captures the lifestyle of mobility, privacy, flexibility, and escape. examines the growing premium placed on longevity, prevention, recovery, and performance.</w:t>
      </w:r>
      <w:commentRangeEnd w:id="0"/>
      <w:r>
        <w:rPr>
          <w:rStyle w:val="CommentReference"/>
        </w:rPr>
        <w:commentReference w:id="0"/>
      </w:r>
    </w:p>
    <w:p w:rsidR="00AA6A0D" w:rsidRDefault="00AA6A0D" w14:paraId="4DFBF3D1" w14:textId="77777777">
      <w:pPr>
        <w:pBdr>
          <w:top w:val="single" w:color="B8922A" w:sz="6" w:space="0"/>
        </w:pBdr>
        <w:spacing w:before="360" w:after="60"/>
        <w:rPr>
          <w:rFonts w:ascii="Montserrat" w:hAnsi="Montserrat"/>
          <w:b/>
          <w:bCs/>
          <w:caps/>
          <w:color w:val="B8922A"/>
          <w:sz w:val="24"/>
          <w:szCs w:val="24"/>
        </w:rPr>
      </w:pPr>
    </w:p>
    <w:p w:rsidRPr="00C02855" w:rsidR="009E0062" w:rsidP="3AB9BBB2" w:rsidRDefault="31E79809" w14:paraId="28E34323" w14:textId="49A64B1B">
      <w:pPr>
        <w:pStyle w:val="Heading1"/>
        <w:spacing w:before="360" w:after="60"/>
        <w:rPr>
          <w:rFonts w:ascii="Montserrat" w:hAnsi="Montserrat" w:eastAsia="Montserrat" w:cs="Montserrat"/>
          <w:b/>
          <w:bCs/>
          <w:sz w:val="36"/>
          <w:szCs w:val="36"/>
        </w:rPr>
      </w:pPr>
      <w:commentRangeStart w:id="1"/>
      <w:r w:rsidRPr="1F408C2C" w:rsidR="31E79809">
        <w:rPr>
          <w:rFonts w:ascii="Montserrat" w:hAnsi="Montserrat" w:eastAsia="Montserrat" w:cs="Montserrat"/>
          <w:b w:val="1"/>
          <w:bCs w:val="1"/>
          <w:sz w:val="36"/>
          <w:szCs w:val="36"/>
        </w:rPr>
        <w:t>The New Measures of Luxury</w:t>
      </w:r>
    </w:p>
    <w:p w:rsidRPr="00C02855" w:rsidR="009E0062" w:rsidP="3AB9BBB2" w:rsidRDefault="31E79809" w14:paraId="68E29642" w14:textId="0BDA37F8">
      <w:pPr>
        <w:spacing w:before="360" w:after="60"/>
        <w:rPr>
          <w:rFonts w:ascii="Montserrat" w:hAnsi="Montserrat" w:eastAsia="Montserrat" w:cs="Montserrat"/>
          <w:b/>
          <w:bCs/>
          <w:i/>
          <w:iCs/>
          <w:sz w:val="24"/>
          <w:szCs w:val="24"/>
        </w:rPr>
      </w:pPr>
      <w:r w:rsidRPr="1F408C2C" w:rsidR="31E79809">
        <w:rPr>
          <w:rFonts w:ascii="Montserrat" w:hAnsi="Montserrat" w:eastAsia="Montserrat" w:cs="Montserrat"/>
          <w:b w:val="1"/>
          <w:bCs w:val="1"/>
          <w:i w:val="1"/>
          <w:iCs w:val="1"/>
          <w:sz w:val="24"/>
          <w:szCs w:val="24"/>
        </w:rPr>
        <w:t>From sleep and collecting to private escapes and longevity, luxury is being redefined by what it gives back.</w:t>
      </w:r>
      <w:commentRangeEnd w:id="1"/>
      <w:r>
        <w:rPr>
          <w:rStyle w:val="CommentReference"/>
        </w:rPr>
        <w:commentReference w:id="1"/>
      </w:r>
    </w:p>
    <w:p w:rsidRPr="00C02855" w:rsidR="009E0062" w:rsidRDefault="001A7A6F" w14:paraId="093755D1" w14:textId="7DE484D1">
      <w:pPr>
        <w:pBdr>
          <w:top w:val="single" w:color="B8922A" w:sz="6" w:space="0"/>
        </w:pBdr>
        <w:spacing w:before="360" w:after="60"/>
        <w:rPr>
          <w:rFonts w:ascii="Montserrat" w:hAnsi="Montserrat"/>
          <w:b/>
          <w:bCs/>
          <w:sz w:val="24"/>
          <w:szCs w:val="24"/>
        </w:rPr>
      </w:pPr>
      <w:r>
        <w:br/>
      </w:r>
      <w:r>
        <w:br/>
      </w:r>
      <w:r w:rsidRPr="00C02855">
        <w:rPr>
          <w:rFonts w:ascii="Montserrat" w:hAnsi="Montserrat"/>
          <w:b/>
          <w:bCs/>
          <w:caps/>
          <w:color w:val="B8922A"/>
          <w:sz w:val="24"/>
          <w:szCs w:val="24"/>
        </w:rPr>
        <w:t>TIME</w:t>
      </w:r>
    </w:p>
    <w:p w:rsidRPr="00AA6A0D" w:rsidR="00AA6A0D" w:rsidP="00AA6A0D" w:rsidRDefault="001A7A6F" w14:paraId="1512C8EC" w14:textId="505F69FC">
      <w:pPr>
        <w:spacing w:before="80" w:after="200"/>
        <w:rPr>
          <w:rFonts w:ascii="Instrument Serif" w:hAnsi="Instrument Serif"/>
          <w:sz w:val="21"/>
          <w:szCs w:val="21"/>
        </w:rPr>
      </w:pPr>
      <w:r w:rsidRPr="00D2445D">
        <w:rPr>
          <w:rFonts w:ascii="Instrument Serif" w:hAnsi="Instrument Serif" w:eastAsia="Garamond" w:cs="Garamond"/>
          <w:color w:val="1A1035"/>
          <w:sz w:val="40"/>
          <w:szCs w:val="40"/>
        </w:rPr>
        <w:t>The $1,700-a-Night Room Built to Make You Sleep</w:t>
      </w:r>
    </w:p>
    <w:p w:rsidR="00A32F5B" w:rsidRDefault="001A7A6F" w14:paraId="5513083C" w14:textId="77777777">
      <w:pPr>
        <w:spacing w:before="80" w:after="140" w:line="320" w:lineRule="auto"/>
        <w:rPr>
          <w:rFonts w:ascii="Montserrat" w:hAnsi="Montserrat" w:eastAsia="Garamond" w:cs="Garamond"/>
        </w:rPr>
      </w:pPr>
      <w:r w:rsidRPr="00D2445D">
        <w:rPr>
          <w:rFonts w:ascii="Montserrat" w:hAnsi="Montserrat" w:eastAsia="Garamond" w:cs="Garamond"/>
        </w:rPr>
        <w:t>Inside Equinox Hotel New York's Hudson Yards property, four rooms look, from the doorway, like any other Premier King. The difference reveals itself after dark. The mattress adjusts itself through the night. The lighting shifts on a circadian schedule the guest never has to set. A contrast-therapy shower cycles steam and ice to prime the body for sleep or shock it awake. This is The Sleep Lab, built in partnership with Dr. Matthew Walker — the UC Berkeley neuroscientist whose research on sleep has become one of the most cited bodies of work in the field — and it is currently the most scientifically credentialed sleep experience in luxury hospitality.</w:t>
      </w:r>
    </w:p>
    <w:p w:rsidRPr="00A32F5B" w:rsidR="009E0062" w:rsidRDefault="001A7A6F" w14:paraId="4563FB42" w14:textId="08418835">
      <w:pPr>
        <w:spacing w:before="80" w:after="140" w:line="320" w:lineRule="auto"/>
        <w:rPr>
          <w:rFonts w:ascii="Montserrat" w:hAnsi="Montserrat" w:eastAsia="Garamond" w:cs="Garamond"/>
        </w:rPr>
      </w:pPr>
      <w:r w:rsidRPr="00D2445D">
        <w:rPr>
          <w:rFonts w:ascii="Montserrat" w:hAnsi="Montserrat" w:eastAsia="Garamond" w:cs="Garamond"/>
        </w:rPr>
        <w:t>The room costs roughly $350 a night more than the standard Premier King, with a two-night minimum. What the premium buys is not a softer pillow. It is participation in an actual research programme: Equinox is running both within-participant and between-participant sleep studies on guests who opt in, with results stored in a private data vault the guest can access. The explicit ambition, in Walker's own words, is that the benefit should outlast the stay — guests are meant to leave with tools, not just a good night behind them.</w:t>
      </w:r>
    </w:p>
    <w:p w:rsidR="009E0062" w:rsidRDefault="001A7A6F" w14:paraId="27AAFEF3" w14:textId="77777777">
      <w:pPr>
        <w:spacing w:before="80" w:after="140" w:line="320" w:lineRule="auto"/>
        <w:rPr>
          <w:rFonts w:ascii="Montserrat" w:hAnsi="Montserrat" w:eastAsia="Garamond" w:cs="Garamond"/>
        </w:rPr>
      </w:pPr>
      <w:r w:rsidRPr="00D2445D">
        <w:rPr>
          <w:rFonts w:ascii="Montserrat" w:hAnsi="Montserrat" w:eastAsia="Garamond" w:cs="Garamond"/>
        </w:rPr>
        <w:t>The relevant shift is not the gadgetry. It is what the price signals about where this audience now spends. A board director or fund principal who has long since solved for transportation, accommodation and food at the highest tier has comparatively few remaining levers for status or differentiation. Recovery is one of the few left. For someone whose calendar is managed by an EA but whose sleep is not managed by anyone, paying for a clinically designed night is closer to a productivity investment than a travel indulgence — the same logic that has this audience paying for an executive health check-up or a performance coach.</w:t>
      </w:r>
    </w:p>
    <w:p w:rsidR="00A32F5B" w:rsidRDefault="00A32F5B" w14:paraId="2F3A5635" w14:textId="6C09E9FF">
      <w:pPr>
        <w:rPr>
          <w:rFonts w:ascii="Montserrat" w:hAnsi="Montserrat"/>
        </w:rPr>
      </w:pPr>
      <w:r>
        <w:rPr>
          <w:rFonts w:ascii="Montserrat" w:hAnsi="Montserrat"/>
        </w:rPr>
        <w:br w:type="page"/>
      </w:r>
    </w:p>
    <w:p w:rsidRPr="00D2445D" w:rsidR="00A32F5B" w:rsidP="00A32F5B" w:rsidRDefault="00A32F5B" w14:paraId="5362C50F" w14:textId="77777777">
      <w:pPr>
        <w:rPr>
          <w:rFonts w:ascii="Montserrat" w:hAnsi="Montserrat"/>
        </w:rPr>
      </w:pPr>
    </w:p>
    <w:tbl>
      <w:tblPr>
        <w:tblW w:w="9314" w:type="dxa"/>
        <w:tblCellMar>
          <w:left w:w="10" w:type="dxa"/>
          <w:right w:w="10" w:type="dxa"/>
        </w:tblCellMar>
        <w:tblLook w:val="04A0" w:firstRow="1" w:lastRow="0" w:firstColumn="1" w:lastColumn="0" w:noHBand="0" w:noVBand="1"/>
      </w:tblPr>
      <w:tblGrid>
        <w:gridCol w:w="3104"/>
        <w:gridCol w:w="3104"/>
        <w:gridCol w:w="3106"/>
      </w:tblGrid>
      <w:tr w:rsidRPr="00D2445D" w:rsidR="009E0062" w14:paraId="305B90F1" w14:textId="77777777">
        <w:tc>
          <w:tcPr>
            <w:tcW w:w="3104" w:type="dxa"/>
            <w:tcBorders>
              <w:left w:val="single" w:color="B8922A" w:sz="12" w:space="0"/>
            </w:tcBorders>
            <w:shd w:val="clear" w:color="auto" w:fill="1A1035"/>
            <w:tcMar>
              <w:top w:w="180" w:type="dxa"/>
              <w:left w:w="180" w:type="dxa"/>
              <w:bottom w:w="180" w:type="dxa"/>
              <w:right w:w="140" w:type="dxa"/>
            </w:tcMar>
          </w:tcPr>
          <w:p w:rsidRPr="00D2445D" w:rsidR="009E0062" w:rsidRDefault="001A7A6F" w14:paraId="6603804C" w14:textId="77777777">
            <w:pPr>
              <w:spacing w:after="50"/>
              <w:rPr>
                <w:rFonts w:ascii="Montserrat" w:hAnsi="Montserrat"/>
              </w:rPr>
            </w:pPr>
            <w:r w:rsidRPr="00D2445D">
              <w:rPr>
                <w:rFonts w:ascii="Montserrat" w:hAnsi="Montserrat"/>
                <w:b/>
                <w:bCs/>
                <w:color w:val="C9A84C"/>
              </w:rPr>
              <w:t>$1,700+</w:t>
            </w:r>
          </w:p>
          <w:p w:rsidRPr="00D2445D" w:rsidR="009E0062" w:rsidRDefault="001A7A6F" w14:paraId="2F5DE383" w14:textId="77777777">
            <w:pPr>
              <w:rPr>
                <w:rFonts w:ascii="Montserrat" w:hAnsi="Montserrat"/>
              </w:rPr>
            </w:pPr>
            <w:r w:rsidRPr="00D2445D">
              <w:rPr>
                <w:rFonts w:ascii="Montserrat" w:hAnsi="Montserrat" w:eastAsia="Garamond" w:cs="Garamond"/>
                <w:i/>
                <w:iCs/>
                <w:color w:val="CCCCCC"/>
              </w:rPr>
              <w:t>Per night, 2-night minimum, Equinox Hotel New York</w:t>
            </w:r>
          </w:p>
        </w:tc>
        <w:tc>
          <w:tcPr>
            <w:tcW w:w="3104" w:type="dxa"/>
            <w:tcBorders>
              <w:left w:val="single" w:color="231A3D" w:sz="3" w:space="0"/>
            </w:tcBorders>
            <w:shd w:val="clear" w:color="auto" w:fill="1A1035"/>
            <w:tcMar>
              <w:top w:w="180" w:type="dxa"/>
              <w:left w:w="180" w:type="dxa"/>
              <w:bottom w:w="180" w:type="dxa"/>
              <w:right w:w="140" w:type="dxa"/>
            </w:tcMar>
          </w:tcPr>
          <w:p w:rsidRPr="00D2445D" w:rsidR="009E0062" w:rsidRDefault="001A7A6F" w14:paraId="3FEDF4C1" w14:textId="77777777">
            <w:pPr>
              <w:spacing w:after="50"/>
              <w:rPr>
                <w:rFonts w:ascii="Montserrat" w:hAnsi="Montserrat"/>
              </w:rPr>
            </w:pPr>
            <w:r w:rsidRPr="00D2445D">
              <w:rPr>
                <w:rFonts w:ascii="Montserrat" w:hAnsi="Montserrat"/>
                <w:b/>
                <w:bCs/>
                <w:color w:val="C9A84C"/>
              </w:rPr>
              <w:t>4</w:t>
            </w:r>
          </w:p>
          <w:p w:rsidRPr="00D2445D" w:rsidR="009E0062" w:rsidRDefault="001A7A6F" w14:paraId="26D353A0" w14:textId="77777777">
            <w:pPr>
              <w:rPr>
                <w:rFonts w:ascii="Montserrat" w:hAnsi="Montserrat"/>
              </w:rPr>
            </w:pPr>
            <w:r w:rsidRPr="00D2445D">
              <w:rPr>
                <w:rFonts w:ascii="Montserrat" w:hAnsi="Montserrat" w:eastAsia="Garamond" w:cs="Garamond"/>
                <w:i/>
                <w:iCs/>
                <w:color w:val="CCCCCC"/>
              </w:rPr>
              <w:t>Sleep Lab rooms currently operating, Hudson Yards</w:t>
            </w:r>
          </w:p>
        </w:tc>
        <w:tc>
          <w:tcPr>
            <w:tcW w:w="3106" w:type="dxa"/>
            <w:tcBorders>
              <w:left w:val="single" w:color="231A3D" w:sz="3" w:space="0"/>
            </w:tcBorders>
            <w:shd w:val="clear" w:color="auto" w:fill="1A1035"/>
            <w:tcMar>
              <w:top w:w="180" w:type="dxa"/>
              <w:left w:w="180" w:type="dxa"/>
              <w:bottom w:w="180" w:type="dxa"/>
              <w:right w:w="140" w:type="dxa"/>
            </w:tcMar>
          </w:tcPr>
          <w:p w:rsidRPr="00D2445D" w:rsidR="009E0062" w:rsidRDefault="001A7A6F" w14:paraId="143BEDDB" w14:textId="77777777">
            <w:pPr>
              <w:spacing w:after="50"/>
              <w:rPr>
                <w:rFonts w:ascii="Montserrat" w:hAnsi="Montserrat"/>
              </w:rPr>
            </w:pPr>
            <w:r w:rsidRPr="00D2445D">
              <w:rPr>
                <w:rFonts w:ascii="Montserrat" w:hAnsi="Montserrat"/>
                <w:b/>
                <w:bCs/>
                <w:color w:val="C9A84C"/>
              </w:rPr>
              <w:t>2025</w:t>
            </w:r>
          </w:p>
          <w:p w:rsidRPr="00D2445D" w:rsidR="009E0062" w:rsidRDefault="001A7A6F" w14:paraId="5A209E08" w14:textId="77777777">
            <w:pPr>
              <w:rPr>
                <w:rFonts w:ascii="Montserrat" w:hAnsi="Montserrat"/>
              </w:rPr>
            </w:pPr>
            <w:r w:rsidRPr="00D2445D">
              <w:rPr>
                <w:rFonts w:ascii="Montserrat" w:hAnsi="Montserrat" w:eastAsia="Garamond" w:cs="Garamond"/>
                <w:i/>
                <w:iCs/>
                <w:color w:val="CCCCCC"/>
              </w:rPr>
              <w:t>Launch year, in partnership with Dr. Matthew Walker, UC Berkeley</w:t>
            </w:r>
          </w:p>
        </w:tc>
      </w:tr>
      <w:tr w:rsidRPr="00D2445D" w:rsidR="009E0062" w14:paraId="41B259C7" w14:textId="77777777">
        <w:tc>
          <w:tcPr>
            <w:tcW w:w="9314" w:type="dxa"/>
            <w:gridSpan w:val="3"/>
            <w:tcBorders>
              <w:left w:val="single" w:color="B8922A" w:sz="16" w:space="0"/>
            </w:tcBorders>
            <w:shd w:val="clear" w:color="auto" w:fill="FDF9F3"/>
            <w:tcMar>
              <w:top w:w="180" w:type="dxa"/>
              <w:left w:w="260" w:type="dxa"/>
              <w:bottom w:w="180" w:type="dxa"/>
              <w:right w:w="220" w:type="dxa"/>
            </w:tcMar>
          </w:tcPr>
          <w:p w:rsidRPr="00C02855" w:rsidR="009E0062" w:rsidRDefault="001A7A6F" w14:paraId="43D446F1" w14:textId="77777777">
            <w:pPr>
              <w:rPr>
                <w:rFonts w:ascii="Montserrat" w:hAnsi="Montserrat"/>
                <w:sz w:val="24"/>
                <w:szCs w:val="24"/>
              </w:rPr>
            </w:pPr>
            <w:r w:rsidRPr="00C02855">
              <w:rPr>
                <w:rFonts w:ascii="Montserrat" w:hAnsi="Montserrat" w:eastAsia="Garamond" w:cs="Garamond"/>
                <w:color w:val="1A1035"/>
                <w:sz w:val="24"/>
                <w:szCs w:val="24"/>
              </w:rPr>
              <w:t>“This is not just about better sleep during your stay — it’s about equipping you with the tools to improve your long-term health and performance.” — Dr. Matthew Walker</w:t>
            </w:r>
          </w:p>
        </w:tc>
      </w:tr>
      <w:tr w:rsidRPr="00D2445D" w:rsidR="009E0062" w14:paraId="4016C720" w14:textId="77777777">
        <w:tc>
          <w:tcPr>
            <w:tcW w:w="9314" w:type="dxa"/>
            <w:gridSpan w:val="3"/>
            <w:tcBorders>
              <w:left w:val="single" w:color="B8922A" w:sz="12" w:space="0"/>
            </w:tcBorders>
            <w:shd w:val="clear" w:color="auto" w:fill="F2EEE8"/>
            <w:tcMar>
              <w:top w:w="160" w:type="dxa"/>
              <w:left w:w="220" w:type="dxa"/>
              <w:bottom w:w="160" w:type="dxa"/>
              <w:right w:w="220" w:type="dxa"/>
            </w:tcMar>
          </w:tcPr>
          <w:p w:rsidRPr="00C02855" w:rsidR="009E0062" w:rsidRDefault="001A7A6F" w14:paraId="722AF30B" w14:textId="77777777">
            <w:pPr>
              <w:spacing w:after="80"/>
              <w:rPr>
                <w:rFonts w:ascii="Montserrat" w:hAnsi="Montserrat"/>
                <w:sz w:val="24"/>
                <w:szCs w:val="24"/>
              </w:rPr>
            </w:pPr>
            <w:r w:rsidRPr="00C02855">
              <w:rPr>
                <w:rFonts w:ascii="Montserrat" w:hAnsi="Montserrat"/>
                <w:b/>
                <w:bCs/>
                <w:caps/>
                <w:color w:val="1A1035"/>
                <w:sz w:val="24"/>
                <w:szCs w:val="24"/>
              </w:rPr>
              <w:t>INSIDE THE SLEEP LAB</w:t>
            </w:r>
          </w:p>
          <w:p w:rsidRPr="00C02855" w:rsidR="009E0062" w:rsidRDefault="001A7A6F" w14:paraId="74BADF55" w14:textId="77777777">
            <w:pPr>
              <w:rPr>
                <w:rFonts w:ascii="Montserrat" w:hAnsi="Montserrat"/>
                <w:sz w:val="24"/>
                <w:szCs w:val="24"/>
              </w:rPr>
            </w:pPr>
            <w:r w:rsidRPr="00C02855">
              <w:rPr>
                <w:rFonts w:ascii="Montserrat" w:hAnsi="Montserrat" w:eastAsia="Garamond" w:cs="Garamond"/>
                <w:sz w:val="24"/>
                <w:szCs w:val="24"/>
              </w:rPr>
              <w:t>Eight Sleep adaptive mattress   •   Circadian-aligned lighting   •   Contrast therapy shower   •   Personal sleep + wake automation   •   Within-stay sleep study (opt-in)   •   Sleep Tea + magnesium patch kit</w:t>
            </w:r>
          </w:p>
        </w:tc>
      </w:tr>
    </w:tbl>
    <w:p w:rsidR="00D2445D" w:rsidRDefault="00D2445D" w14:paraId="1CB4559D" w14:textId="77777777">
      <w:pPr>
        <w:pBdr>
          <w:top w:val="single" w:color="B8922A" w:sz="6" w:space="0"/>
        </w:pBdr>
        <w:spacing w:before="360" w:after="60"/>
        <w:rPr>
          <w:b/>
          <w:bCs/>
          <w:caps/>
          <w:color w:val="B8922A"/>
          <w:sz w:val="14"/>
          <w:szCs w:val="14"/>
        </w:rPr>
      </w:pPr>
    </w:p>
    <w:p w:rsidRPr="00C02855" w:rsidR="009E0062" w:rsidRDefault="001A7A6F" w14:paraId="44E1EB38" w14:textId="142CFB60">
      <w:pPr>
        <w:pBdr>
          <w:top w:val="single" w:color="B8922A" w:sz="6" w:space="0"/>
        </w:pBdr>
        <w:spacing w:before="360" w:after="60"/>
        <w:rPr>
          <w:rFonts w:ascii="Montserrat" w:hAnsi="Montserrat"/>
          <w:sz w:val="24"/>
          <w:szCs w:val="24"/>
        </w:rPr>
      </w:pPr>
      <w:r w:rsidRPr="00C02855">
        <w:rPr>
          <w:rFonts w:ascii="Montserrat" w:hAnsi="Montserrat"/>
          <w:b/>
          <w:bCs/>
          <w:caps/>
          <w:color w:val="B8922A"/>
          <w:sz w:val="24"/>
          <w:szCs w:val="24"/>
        </w:rPr>
        <w:t>MONEY</w:t>
      </w:r>
    </w:p>
    <w:p w:rsidRPr="00C02855" w:rsidR="009E0062" w:rsidRDefault="001A7A6F" w14:paraId="2A099FF5" w14:textId="77777777">
      <w:pPr>
        <w:spacing w:before="80" w:after="200"/>
        <w:rPr>
          <w:rFonts w:ascii="Instrument Serif" w:hAnsi="Instrument Serif"/>
          <w:sz w:val="21"/>
          <w:szCs w:val="21"/>
        </w:rPr>
      </w:pPr>
      <w:r w:rsidRPr="00C02855">
        <w:rPr>
          <w:rFonts w:ascii="Instrument Serif" w:hAnsi="Instrument Serif" w:eastAsia="Garamond" w:cs="Garamond"/>
          <w:color w:val="1A1035"/>
          <w:sz w:val="40"/>
          <w:szCs w:val="40"/>
        </w:rPr>
        <w:t>Passion Assets: When Taste Becomes a Store of Value</w:t>
      </w:r>
    </w:p>
    <w:p w:rsidRPr="00C02855" w:rsidR="009E0062" w:rsidRDefault="001A7A6F" w14:paraId="4E4A40F6" w14:textId="77777777">
      <w:pPr>
        <w:spacing w:before="80" w:after="140" w:line="320" w:lineRule="auto"/>
        <w:rPr>
          <w:rFonts w:ascii="Montserrat" w:hAnsi="Montserrat"/>
        </w:rPr>
      </w:pPr>
      <w:r w:rsidRPr="00C02855">
        <w:rPr>
          <w:rFonts w:ascii="Montserrat" w:hAnsi="Montserrat" w:eastAsia="Garamond" w:cs="Garamond"/>
        </w:rPr>
        <w:t>At an auction preview, the room is rarely loud. A collector studies the dial of a vintage watch under soft light. Someone else stands before a canvas, not looking first at the price, but at the provenance. This is the world of passion assets — objects acquired not purely for financial return, but because they carry personal, cultural, aesthetic and sometimes market value.</w:t>
      </w:r>
    </w:p>
    <w:p w:rsidRPr="00C02855" w:rsidR="009E0062" w:rsidRDefault="001A7A6F" w14:paraId="11AAF7BC" w14:textId="77777777">
      <w:pPr>
        <w:spacing w:before="80" w:after="140" w:line="320" w:lineRule="auto"/>
        <w:rPr>
          <w:rFonts w:ascii="Montserrat" w:hAnsi="Montserrat"/>
        </w:rPr>
      </w:pPr>
      <w:r w:rsidRPr="00C02855">
        <w:rPr>
          <w:rFonts w:ascii="Montserrat" w:hAnsi="Montserrat" w:eastAsia="Garamond" w:cs="Garamond"/>
        </w:rPr>
        <w:t>What has changed is the seriousness with which these categories are now discussed. Knight Frank's Luxury Investment Index, which tracks categories such as art, watches, cars, wine, jewellery, handbags and coins, is one example of how luxury collectibles are increasingly examined through a structured wealth lens. For many ultra-rich families, collecting has become a way to express taste, preserve stories and build intergenerational continuity — a form of personal archive that financial assets rarely provide.</w:t>
      </w:r>
    </w:p>
    <w:p w:rsidRPr="00D2445D" w:rsidR="009E0062" w:rsidRDefault="001A7A6F" w14:paraId="66EE9D05" w14:textId="77777777">
      <w:pPr>
        <w:spacing w:before="80" w:after="140" w:line="320" w:lineRule="auto"/>
      </w:pPr>
      <w:r w:rsidRPr="00C02855">
        <w:rPr>
          <w:rFonts w:ascii="Montserrat" w:hAnsi="Montserrat" w:eastAsia="Garamond" w:cs="Garamond"/>
        </w:rPr>
        <w:t>Indian collectors have their own rich landscape. Works by modern masters such as M.F. Husain, S.H. Raza, F.N. Souza, Tyeb Mehta and V.S. Gaitonde carry cultural memory as much as market value. Watches from Patek Philippe, Rolex, Audemars Piguet, Cartier and independent makers tell another story — one of craft, rarity and mechanical obsession. For wealth conversations, this category is useful because it opens a more personal side of</w:t>
      </w:r>
      <w:r w:rsidRPr="00D2445D">
        <w:rPr>
          <w:rFonts w:ascii="Garamond" w:hAnsi="Garamond" w:eastAsia="Garamond" w:cs="Garamond"/>
          <w:sz w:val="21"/>
          <w:szCs w:val="21"/>
        </w:rPr>
        <w:t xml:space="preserve"> capital. Clients may not always speak emotionally about portfolios, but they speak vividly about what they collect.</w:t>
      </w:r>
    </w:p>
    <w:tbl>
      <w:tblPr>
        <w:tblW w:w="9314" w:type="dxa"/>
        <w:tblCellMar>
          <w:left w:w="10" w:type="dxa"/>
          <w:right w:w="10" w:type="dxa"/>
        </w:tblCellMar>
        <w:tblLook w:val="04A0" w:firstRow="1" w:lastRow="0" w:firstColumn="1" w:lastColumn="0" w:noHBand="0" w:noVBand="1"/>
      </w:tblPr>
      <w:tblGrid>
        <w:gridCol w:w="9314"/>
      </w:tblGrid>
      <w:tr w:rsidRPr="00C02855" w:rsidR="009E0062" w14:paraId="7DE4579F" w14:textId="77777777">
        <w:tc>
          <w:tcPr>
            <w:tcW w:w="9314" w:type="dxa"/>
            <w:tcBorders>
              <w:left w:val="single" w:color="B8922A" w:sz="12" w:space="0"/>
            </w:tcBorders>
            <w:shd w:val="clear" w:color="auto" w:fill="F2EEE8"/>
            <w:tcMar>
              <w:top w:w="160" w:type="dxa"/>
              <w:left w:w="220" w:type="dxa"/>
              <w:bottom w:w="160" w:type="dxa"/>
              <w:right w:w="220" w:type="dxa"/>
            </w:tcMar>
          </w:tcPr>
          <w:p w:rsidRPr="00C02855" w:rsidR="009E0062" w:rsidRDefault="001A7A6F" w14:paraId="6B0AABB8" w14:textId="77777777">
            <w:pPr>
              <w:spacing w:after="80"/>
              <w:rPr>
                <w:rFonts w:ascii="Montserrat" w:hAnsi="Montserrat"/>
              </w:rPr>
            </w:pPr>
            <w:r w:rsidRPr="00C02855">
              <w:rPr>
                <w:rFonts w:ascii="Montserrat" w:hAnsi="Montserrat"/>
                <w:b/>
                <w:bCs/>
                <w:caps/>
                <w:color w:val="1A1035"/>
              </w:rPr>
              <w:t>WHAT GIVES A PASSION ASSET VALUE</w:t>
            </w:r>
          </w:p>
          <w:p w:rsidRPr="00C02855" w:rsidR="009E0062" w:rsidRDefault="001A7A6F" w14:paraId="136AA90F" w14:textId="77777777">
            <w:pPr>
              <w:rPr>
                <w:rFonts w:ascii="Montserrat" w:hAnsi="Montserrat"/>
              </w:rPr>
            </w:pPr>
            <w:r w:rsidRPr="00C02855">
              <w:rPr>
                <w:rFonts w:ascii="Montserrat" w:hAnsi="Montserrat" w:eastAsia="Garamond" w:cs="Garamond"/>
                <w:i/>
                <w:iCs/>
              </w:rPr>
              <w:t>Maker / artist   •   Rarity   •   Condition   •   Provenance   •   Cultural relevance   •   Liquidity   •   Legacy potential</w:t>
            </w:r>
          </w:p>
        </w:tc>
      </w:tr>
    </w:tbl>
    <w:p w:rsidR="00C02855" w:rsidRDefault="00C02855" w14:paraId="1FE69E74" w14:textId="77777777">
      <w:pPr>
        <w:pBdr>
          <w:top w:val="single" w:color="B8922A" w:sz="6" w:space="0"/>
        </w:pBdr>
        <w:spacing w:before="360" w:after="60"/>
        <w:rPr>
          <w:b/>
          <w:bCs/>
          <w:caps/>
          <w:color w:val="B8922A"/>
          <w:sz w:val="14"/>
          <w:szCs w:val="14"/>
        </w:rPr>
      </w:pPr>
    </w:p>
    <w:p w:rsidRPr="00C02855" w:rsidR="009E0062" w:rsidRDefault="001A7A6F" w14:paraId="3C02714A" w14:textId="7D040FFF">
      <w:pPr>
        <w:pBdr>
          <w:top w:val="single" w:color="B8922A" w:sz="6" w:space="0"/>
        </w:pBdr>
        <w:spacing w:before="360" w:after="60"/>
        <w:rPr>
          <w:rFonts w:ascii="Montserrat" w:hAnsi="Montserrat"/>
          <w:sz w:val="24"/>
          <w:szCs w:val="24"/>
        </w:rPr>
      </w:pPr>
      <w:r w:rsidRPr="00C02855">
        <w:rPr>
          <w:rFonts w:ascii="Montserrat" w:hAnsi="Montserrat"/>
          <w:b/>
          <w:bCs/>
          <w:caps/>
          <w:color w:val="B8922A"/>
          <w:sz w:val="24"/>
          <w:szCs w:val="24"/>
        </w:rPr>
        <w:t>FREEDOM</w:t>
      </w:r>
    </w:p>
    <w:p w:rsidRPr="00C02855" w:rsidR="009E0062" w:rsidRDefault="001A7A6F" w14:paraId="44C0E765" w14:textId="77777777">
      <w:pPr>
        <w:spacing w:before="80" w:after="200"/>
        <w:rPr>
          <w:rFonts w:ascii="Instrument Serif" w:hAnsi="Instrument Serif"/>
          <w:sz w:val="21"/>
          <w:szCs w:val="21"/>
        </w:rPr>
      </w:pPr>
      <w:r w:rsidRPr="00C02855">
        <w:rPr>
          <w:rFonts w:ascii="Instrument Serif" w:hAnsi="Instrument Serif" w:eastAsia="Garamond" w:cs="Garamond"/>
          <w:color w:val="1A1035"/>
          <w:sz w:val="40"/>
          <w:szCs w:val="40"/>
        </w:rPr>
        <w:t>Inside India's Highest-Earning Hotel Room</w:t>
      </w:r>
    </w:p>
    <w:p w:rsidRPr="00C02855" w:rsidR="009E0062" w:rsidRDefault="001A7A6F" w14:paraId="3779DA6B" w14:textId="77777777">
      <w:pPr>
        <w:spacing w:before="80" w:after="140" w:line="320" w:lineRule="auto"/>
        <w:rPr>
          <w:rFonts w:ascii="Montserrat" w:hAnsi="Montserrat"/>
          <w:sz w:val="18"/>
          <w:szCs w:val="18"/>
        </w:rPr>
      </w:pPr>
      <w:r w:rsidRPr="00C02855">
        <w:rPr>
          <w:rFonts w:ascii="Montserrat" w:hAnsi="Montserrat" w:eastAsia="Garamond" w:cs="Garamond"/>
        </w:rPr>
        <w:t>Six Senses Fort Barwara has held the title of India's highest ARR (average room rate) hotel for four consecutive years. It sits inside a 700-year-old fort in rural Rajasthan, an hour from the nearest airport, facing a temple that predates the fort itself. Restoration took seven years before the property opened in 2021. It made the 2025 Global 100 Luxury Hotels list, and guest reviews across booking platforms sit consistently above 9.5 out of 10. None of that happened by being easy to reach. It happened because the property solved a different problem: how to make a 72-hour escape feel complete rather than rushed.</w:t>
      </w:r>
    </w:p>
    <w:p w:rsidRPr="00C02855" w:rsidR="009E0062" w:rsidRDefault="001A7A6F" w14:paraId="58BD14B5" w14:textId="77777777">
      <w:pPr>
        <w:spacing w:before="80" w:after="140" w:line="320" w:lineRule="auto"/>
        <w:rPr>
          <w:rFonts w:ascii="Montserrat" w:hAnsi="Montserrat"/>
          <w:sz w:val="18"/>
          <w:szCs w:val="18"/>
        </w:rPr>
      </w:pPr>
      <w:r w:rsidRPr="00C02855">
        <w:rPr>
          <w:rFonts w:ascii="Montserrat" w:hAnsi="Montserrat" w:eastAsia="Garamond" w:cs="Garamond"/>
        </w:rPr>
        <w:t>The relevant idea is not the fort. It is the short-stay reset that properties like this are built around — a highly curated escape designed around impact rather than duration. A guest arrives Friday evening; dinner is served in a quiet courtyard after sunset. Saturday holds one spa treatment, one long lunch, one unhurried swim — not a programme, a sequence of white space. By Sunday evening, the point is not to have seen everything. It is to feel, returning to the city, that one has stepped outside routine without dismantling it.</w:t>
      </w:r>
    </w:p>
    <w:p w:rsidRPr="00C02855" w:rsidR="009E0062" w:rsidRDefault="001A7A6F" w14:paraId="68D05BC9" w14:textId="77777777">
      <w:pPr>
        <w:spacing w:before="80" w:after="140" w:line="320" w:lineRule="auto"/>
        <w:rPr>
          <w:rFonts w:ascii="Montserrat" w:hAnsi="Montserrat"/>
          <w:sz w:val="18"/>
          <w:szCs w:val="18"/>
        </w:rPr>
      </w:pPr>
      <w:r w:rsidRPr="00C02855">
        <w:rPr>
          <w:rFonts w:ascii="Montserrat" w:hAnsi="Montserrat" w:eastAsia="Garamond" w:cs="Garamond"/>
        </w:rPr>
        <w:t>For affluent families and time-poor professionals, the appeal is structural rather than aesthetic. A two-week holiday may be desirable but rarely fits inside a board calendar, a school term or a deal cycle. The short-stay reset compresses the feeling of escape into a weekend, and a small number of Indian properties — Fort Barwara prominent among them — have built their entire commercial model around being good enough at that compression that guests return for a fourth, fifth, sixth time.</w:t>
      </w:r>
    </w:p>
    <w:tbl>
      <w:tblPr>
        <w:tblW w:w="9314" w:type="dxa"/>
        <w:tblCellMar>
          <w:left w:w="10" w:type="dxa"/>
          <w:right w:w="10" w:type="dxa"/>
        </w:tblCellMar>
        <w:tblLook w:val="04A0" w:firstRow="1" w:lastRow="0" w:firstColumn="1" w:lastColumn="0" w:noHBand="0" w:noVBand="1"/>
      </w:tblPr>
      <w:tblGrid>
        <w:gridCol w:w="3104"/>
        <w:gridCol w:w="3104"/>
        <w:gridCol w:w="3106"/>
      </w:tblGrid>
      <w:tr w:rsidRPr="00C02855" w:rsidR="009E0062" w14:paraId="03B45AE4" w14:textId="77777777">
        <w:tc>
          <w:tcPr>
            <w:tcW w:w="3104" w:type="dxa"/>
            <w:tcBorders>
              <w:left w:val="single" w:color="B8922A" w:sz="12" w:space="0"/>
            </w:tcBorders>
            <w:shd w:val="clear" w:color="auto" w:fill="1A1035"/>
            <w:tcMar>
              <w:top w:w="180" w:type="dxa"/>
              <w:left w:w="180" w:type="dxa"/>
              <w:bottom w:w="180" w:type="dxa"/>
              <w:right w:w="140" w:type="dxa"/>
            </w:tcMar>
          </w:tcPr>
          <w:p w:rsidRPr="00C02855" w:rsidR="009E0062" w:rsidRDefault="001A7A6F" w14:paraId="1C5E2DC6" w14:textId="77777777">
            <w:pPr>
              <w:spacing w:after="50"/>
              <w:rPr>
                <w:sz w:val="28"/>
                <w:szCs w:val="28"/>
              </w:rPr>
            </w:pPr>
            <w:r w:rsidRPr="00C02855">
              <w:rPr>
                <w:b/>
                <w:bCs/>
                <w:color w:val="C9A84C"/>
                <w:sz w:val="28"/>
                <w:szCs w:val="28"/>
              </w:rPr>
              <w:t>#1</w:t>
            </w:r>
          </w:p>
          <w:p w:rsidRPr="00C02855" w:rsidR="009E0062" w:rsidRDefault="001A7A6F" w14:paraId="640ED327" w14:textId="77777777">
            <w:pPr>
              <w:rPr>
                <w:sz w:val="28"/>
                <w:szCs w:val="28"/>
              </w:rPr>
            </w:pPr>
            <w:r w:rsidRPr="00C02855">
              <w:rPr>
                <w:rFonts w:ascii="Garamond" w:hAnsi="Garamond" w:eastAsia="Garamond" w:cs="Garamond"/>
                <w:i/>
                <w:iCs/>
                <w:color w:val="CCCCCC"/>
                <w:sz w:val="28"/>
                <w:szCs w:val="28"/>
              </w:rPr>
              <w:t>Highest ARR hotel in India, four consecutive years</w:t>
            </w:r>
          </w:p>
        </w:tc>
        <w:tc>
          <w:tcPr>
            <w:tcW w:w="3104" w:type="dxa"/>
            <w:tcBorders>
              <w:left w:val="single" w:color="231A3D" w:sz="3" w:space="0"/>
            </w:tcBorders>
            <w:shd w:val="clear" w:color="auto" w:fill="1A1035"/>
            <w:tcMar>
              <w:top w:w="180" w:type="dxa"/>
              <w:left w:w="180" w:type="dxa"/>
              <w:bottom w:w="180" w:type="dxa"/>
              <w:right w:w="140" w:type="dxa"/>
            </w:tcMar>
          </w:tcPr>
          <w:p w:rsidRPr="00C02855" w:rsidR="009E0062" w:rsidRDefault="001A7A6F" w14:paraId="27C77149" w14:textId="77777777">
            <w:pPr>
              <w:spacing w:after="50"/>
              <w:rPr>
                <w:sz w:val="28"/>
                <w:szCs w:val="28"/>
              </w:rPr>
            </w:pPr>
            <w:r w:rsidRPr="00C02855">
              <w:rPr>
                <w:b/>
                <w:bCs/>
                <w:color w:val="C9A84C"/>
                <w:sz w:val="28"/>
                <w:szCs w:val="28"/>
              </w:rPr>
              <w:t>700 yrs</w:t>
            </w:r>
          </w:p>
          <w:p w:rsidRPr="00C02855" w:rsidR="009E0062" w:rsidRDefault="001A7A6F" w14:paraId="2951C980" w14:textId="77777777">
            <w:pPr>
              <w:rPr>
                <w:sz w:val="28"/>
                <w:szCs w:val="28"/>
              </w:rPr>
            </w:pPr>
            <w:r w:rsidRPr="00C02855">
              <w:rPr>
                <w:rFonts w:ascii="Garamond" w:hAnsi="Garamond" w:eastAsia="Garamond" w:cs="Garamond"/>
                <w:i/>
                <w:iCs/>
                <w:color w:val="CCCCCC"/>
                <w:sz w:val="28"/>
                <w:szCs w:val="28"/>
              </w:rPr>
              <w:t>Age of the fort; restoration took 7 years to complete</w:t>
            </w:r>
          </w:p>
        </w:tc>
        <w:tc>
          <w:tcPr>
            <w:tcW w:w="3106" w:type="dxa"/>
            <w:tcBorders>
              <w:left w:val="single" w:color="231A3D" w:sz="3" w:space="0"/>
            </w:tcBorders>
            <w:shd w:val="clear" w:color="auto" w:fill="1A1035"/>
            <w:tcMar>
              <w:top w:w="180" w:type="dxa"/>
              <w:left w:w="180" w:type="dxa"/>
              <w:bottom w:w="180" w:type="dxa"/>
              <w:right w:w="140" w:type="dxa"/>
            </w:tcMar>
          </w:tcPr>
          <w:p w:rsidRPr="00C02855" w:rsidR="009E0062" w:rsidRDefault="001A7A6F" w14:paraId="41ABEE05" w14:textId="77777777">
            <w:pPr>
              <w:spacing w:after="50"/>
              <w:rPr>
                <w:sz w:val="28"/>
                <w:szCs w:val="28"/>
              </w:rPr>
            </w:pPr>
            <w:r w:rsidRPr="00C02855">
              <w:rPr>
                <w:b/>
                <w:bCs/>
                <w:color w:val="C9A84C"/>
                <w:sz w:val="28"/>
                <w:szCs w:val="28"/>
              </w:rPr>
              <w:t>9.5/10</w:t>
            </w:r>
          </w:p>
          <w:p w:rsidRPr="00C02855" w:rsidR="009E0062" w:rsidRDefault="001A7A6F" w14:paraId="7BD70A55" w14:textId="77777777">
            <w:pPr>
              <w:rPr>
                <w:sz w:val="28"/>
                <w:szCs w:val="28"/>
              </w:rPr>
            </w:pPr>
            <w:r w:rsidRPr="00C02855">
              <w:rPr>
                <w:rFonts w:ascii="Garamond" w:hAnsi="Garamond" w:eastAsia="Garamond" w:cs="Garamond"/>
                <w:i/>
                <w:iCs/>
                <w:color w:val="CCCCCC"/>
                <w:sz w:val="28"/>
                <w:szCs w:val="28"/>
              </w:rPr>
              <w:t>Average guest rating across major booking platforms</w:t>
            </w:r>
          </w:p>
        </w:tc>
      </w:tr>
      <w:tr w:rsidRPr="00D2445D" w:rsidR="009E0062" w14:paraId="62DF5D8B" w14:textId="77777777">
        <w:tc>
          <w:tcPr>
            <w:tcW w:w="9314" w:type="dxa"/>
            <w:gridSpan w:val="3"/>
            <w:tcBorders>
              <w:left w:val="single" w:color="B8922A" w:sz="12" w:space="0"/>
            </w:tcBorders>
            <w:shd w:val="clear" w:color="auto" w:fill="F2EEE8"/>
            <w:tcMar>
              <w:top w:w="160" w:type="dxa"/>
              <w:left w:w="220" w:type="dxa"/>
              <w:bottom w:w="160" w:type="dxa"/>
              <w:right w:w="220" w:type="dxa"/>
            </w:tcMar>
          </w:tcPr>
          <w:p w:rsidRPr="00C02855" w:rsidR="009E0062" w:rsidRDefault="001A7A6F" w14:paraId="390F819E" w14:textId="77777777">
            <w:pPr>
              <w:spacing w:after="80"/>
              <w:rPr>
                <w:rFonts w:ascii="Montserrat" w:hAnsi="Montserrat"/>
              </w:rPr>
            </w:pPr>
            <w:r w:rsidRPr="00C02855">
              <w:rPr>
                <w:rFonts w:ascii="Montserrat" w:hAnsi="Montserrat"/>
                <w:b/>
                <w:bCs/>
                <w:caps/>
                <w:color w:val="1A1035"/>
              </w:rPr>
              <w:t>THE 72-HOUR RESET</w:t>
            </w:r>
          </w:p>
          <w:p w:rsidRPr="00D2445D" w:rsidR="009E0062" w:rsidRDefault="001A7A6F" w14:paraId="22EC6B5C" w14:textId="77777777">
            <w:r w:rsidRPr="00C02855">
              <w:rPr>
                <w:rFonts w:ascii="Montserrat" w:hAnsi="Montserrat" w:eastAsia="Garamond" w:cs="Garamond"/>
              </w:rPr>
              <w:t>Friday: arrival, quiet dinner, early sleep   •   Saturday: one treatment, slow lunch, unhurried swim   •   Sunday: unplanned morning, seamless return</w:t>
            </w:r>
          </w:p>
        </w:tc>
      </w:tr>
    </w:tbl>
    <w:p w:rsidR="00C02855" w:rsidRDefault="00C02855" w14:paraId="1DF0A22D" w14:textId="77777777">
      <w:pPr>
        <w:pBdr>
          <w:top w:val="single" w:color="B8922A" w:sz="6" w:space="0"/>
        </w:pBdr>
        <w:spacing w:before="360" w:after="60"/>
        <w:rPr>
          <w:b/>
          <w:bCs/>
          <w:caps/>
          <w:color w:val="B8922A"/>
          <w:sz w:val="14"/>
          <w:szCs w:val="14"/>
        </w:rPr>
      </w:pPr>
    </w:p>
    <w:p w:rsidRPr="00C02855" w:rsidR="009E0062" w:rsidRDefault="001A7A6F" w14:paraId="2E149562" w14:textId="6D598282">
      <w:pPr>
        <w:pBdr>
          <w:top w:val="single" w:color="B8922A" w:sz="6" w:space="0"/>
        </w:pBdr>
        <w:spacing w:before="360" w:after="60"/>
        <w:rPr>
          <w:rFonts w:ascii="Montserrat" w:hAnsi="Montserrat"/>
          <w:sz w:val="24"/>
          <w:szCs w:val="24"/>
        </w:rPr>
      </w:pPr>
      <w:r w:rsidRPr="00C02855">
        <w:rPr>
          <w:rFonts w:ascii="Montserrat" w:hAnsi="Montserrat"/>
          <w:b/>
          <w:bCs/>
          <w:caps/>
          <w:color w:val="B8922A"/>
          <w:sz w:val="24"/>
          <w:szCs w:val="24"/>
        </w:rPr>
        <w:t>HEALTH</w:t>
      </w:r>
    </w:p>
    <w:p w:rsidRPr="00C02855" w:rsidR="009E0062" w:rsidRDefault="001A7A6F" w14:paraId="66B39C0D" w14:textId="77777777">
      <w:pPr>
        <w:spacing w:before="80" w:after="200"/>
        <w:rPr>
          <w:rFonts w:ascii="Instrument Serif" w:hAnsi="Instrument Serif"/>
          <w:sz w:val="21"/>
          <w:szCs w:val="21"/>
        </w:rPr>
      </w:pPr>
      <w:r w:rsidRPr="00C02855">
        <w:rPr>
          <w:rFonts w:ascii="Instrument Serif" w:hAnsi="Instrument Serif" w:eastAsia="Garamond" w:cs="Garamond"/>
          <w:color w:val="1A1035"/>
          <w:sz w:val="40"/>
          <w:szCs w:val="40"/>
        </w:rPr>
        <w:t>The Clinic Just Named Best in the World — and Why Stays Keep Getting Longer</w:t>
      </w:r>
    </w:p>
    <w:p w:rsidRPr="00C02855" w:rsidR="009E0062" w:rsidRDefault="001A7A6F" w14:paraId="13769B8E" w14:textId="77777777">
      <w:pPr>
        <w:spacing w:before="80" w:after="140" w:line="320" w:lineRule="auto"/>
        <w:rPr>
          <w:rFonts w:ascii="Montserrat" w:hAnsi="Montserrat"/>
          <w:sz w:val="18"/>
          <w:szCs w:val="18"/>
        </w:rPr>
      </w:pPr>
      <w:r w:rsidRPr="00C02855">
        <w:rPr>
          <w:rFonts w:ascii="Montserrat" w:hAnsi="Montserrat" w:eastAsia="Garamond" w:cs="Garamond"/>
        </w:rPr>
        <w:t>SHA Wellness Clinic was named Best Global Longevity Retreat 2026, ahead of Switzerland's Clinique La Prairie and Germany's Lanserhof — the two properties that have defined medical-luxury wellness for decades. SHA's original campus sits on Spain's Mediterranean coast near Alicante; it has since opened in Costa Mujeres, Mexico, with a third property under construction outside Dubai for 2026. The win matters less as a trophy than as a signal of where the category is moving: toward longer, deeper, more data-driven stays rather than shorter relaxation breaks.</w:t>
      </w:r>
    </w:p>
    <w:p w:rsidRPr="00C02855" w:rsidR="009E0062" w:rsidP="3B8F2907" w:rsidRDefault="009E0062" w14:paraId="483A6197" w14:textId="77777777">
      <w:pPr>
        <w:spacing w:before="80" w:after="140" w:line="320" w:lineRule="auto"/>
        <w:rPr>
          <w:rFonts w:ascii="Montserrat" w:hAnsi="Montserrat"/>
          <w:sz w:val="18"/>
          <w:szCs w:val="18"/>
        </w:rPr>
      </w:pPr>
      <w:r w:rsidRPr="3B8F2907" w:rsidR="21C1D073">
        <w:rPr>
          <w:rFonts w:ascii="Montserrat" w:hAnsi="Montserrat" w:eastAsia="Garamond" w:cs="Garamond"/>
        </w:rPr>
        <w:t>A guest's experience at SHA begins with diagnostics, not a spa menu: body composition scans, hormonal panels, cognitive and epigenetic testing, microbiome analysis. Treatment, nutrition and fitness prescriptions follow from the results. The average guest is 47 years old — not a retiree managing decline, but someone in the middle of an executive career trying to extend their operating range. The average stay has grown to ten days, up from the shorter relaxation breaks the wellness industry built its reputation on, because the diagnostic-to-protocol cycle simply takes that long to do properly.</w:t>
      </w:r>
    </w:p>
    <w:p w:rsidR="007D2770" w:rsidRDefault="001A7A6F" w14:paraId="1BC3AF31" w14:textId="070086D7">
      <w:pPr>
        <w:spacing w:before="80" w:after="140" w:line="320" w:lineRule="auto"/>
        <w:rPr>
          <w:rFonts w:ascii="Montserrat" w:hAnsi="Montserrat" w:eastAsia="Garamond" w:cs="Garamond"/>
        </w:rPr>
      </w:pPr>
      <w:r w:rsidRPr="3B8F2907" w:rsidR="001A7A6F">
        <w:rPr>
          <w:rFonts w:ascii="Montserrat" w:hAnsi="Montserrat" w:eastAsia="Garamond" w:cs="Garamond"/>
        </w:rPr>
        <w:t xml:space="preserve">The category context is the scale that makes this credible rather than niche. The Global Wellness Institute estimates the wellness economy reached $6.8 trillion in 2024 and projects $9.8 trillion by 2029. Within that figure, longevity is the fastest-growing and most aspirational segment — not because it promises more years, but because it reframes healthcare's ambition from treating illness to </w:t>
      </w:r>
      <w:r w:rsidRPr="3B8F2907" w:rsidR="21C1D073">
        <w:rPr>
          <w:rFonts w:ascii="Montserrat" w:hAnsi="Montserrat" w:eastAsia="Garamond" w:cs="Garamond"/>
        </w:rPr>
        <w:t>extendi</w:t>
      </w:r>
      <w:r w:rsidRPr="3B8F2907" w:rsidR="21C1D073">
        <w:rPr>
          <w:rFonts w:ascii="Montserrat" w:hAnsi="Montserrat" w:eastAsia="Garamond" w:cs="Garamond"/>
        </w:rPr>
        <w:t xml:space="preserve">ng </w:t>
      </w:r>
      <w:r w:rsidRPr="3B8F2907" w:rsidR="53577758">
        <w:rPr>
          <w:rFonts w:ascii="Montserrat" w:hAnsi="Montserrat" w:eastAsia="Garamond" w:cs="Garamond"/>
        </w:rPr>
        <w:t>health span</w:t>
      </w:r>
      <w:r w:rsidRPr="3B8F2907" w:rsidR="21C1D073">
        <w:rPr>
          <w:rFonts w:ascii="Montserrat" w:hAnsi="Montserrat" w:eastAsia="Garamond" w:cs="Garamond"/>
        </w:rPr>
        <w:t xml:space="preserve">: the years spent with strength, clarity, mobility and independence intact. </w:t>
      </w:r>
      <w:r w:rsidRPr="3B8F2907" w:rsidR="001A7A6F">
        <w:rPr>
          <w:rFonts w:ascii="Montserrat" w:hAnsi="Montserrat" w:eastAsia="Garamond" w:cs="Garamond"/>
        </w:rPr>
        <w:t>For an audience that already manages wealth proactively, managing health the same way — with data, diagnostics and a standing protocol — is less a trend than a logical extension.</w:t>
      </w:r>
    </w:p>
    <w:p w:rsidRPr="007D2770" w:rsidR="007D2770" w:rsidRDefault="007D2770" w14:paraId="03A1E44D" w14:textId="77777777">
      <w:pPr>
        <w:spacing w:before="80" w:after="140" w:line="320" w:lineRule="auto"/>
        <w:rPr>
          <w:rFonts w:ascii="Montserrat" w:hAnsi="Montserrat" w:eastAsia="Garamond" w:cs="Garamond"/>
        </w:rPr>
      </w:pPr>
    </w:p>
    <w:tbl>
      <w:tblPr>
        <w:tblW w:w="9314" w:type="dxa"/>
        <w:tblCellMar>
          <w:left w:w="10" w:type="dxa"/>
          <w:right w:w="10" w:type="dxa"/>
        </w:tblCellMar>
        <w:tblLook w:val="04A0" w:firstRow="1" w:lastRow="0" w:firstColumn="1" w:lastColumn="0" w:noHBand="0" w:noVBand="1"/>
      </w:tblPr>
      <w:tblGrid>
        <w:gridCol w:w="3104"/>
        <w:gridCol w:w="3104"/>
        <w:gridCol w:w="3106"/>
      </w:tblGrid>
      <w:tr w:rsidRPr="00D2445D" w:rsidR="009E0062" w14:paraId="7BDB652D" w14:textId="77777777">
        <w:tc>
          <w:tcPr>
            <w:tcW w:w="3104" w:type="dxa"/>
            <w:tcBorders>
              <w:left w:val="single" w:color="B8922A" w:sz="12" w:space="0"/>
            </w:tcBorders>
            <w:shd w:val="clear" w:color="auto" w:fill="1A1035"/>
            <w:tcMar>
              <w:top w:w="180" w:type="dxa"/>
              <w:left w:w="180" w:type="dxa"/>
              <w:bottom w:w="180" w:type="dxa"/>
              <w:right w:w="140" w:type="dxa"/>
            </w:tcMar>
          </w:tcPr>
          <w:p w:rsidRPr="00C02855" w:rsidR="009E0062" w:rsidRDefault="001A7A6F" w14:paraId="6894651A" w14:textId="77777777">
            <w:pPr>
              <w:spacing w:after="50"/>
              <w:rPr>
                <w:rFonts w:ascii="Montserrat" w:hAnsi="Montserrat"/>
                <w:sz w:val="28"/>
                <w:szCs w:val="28"/>
              </w:rPr>
            </w:pPr>
            <w:r w:rsidRPr="00C02855">
              <w:rPr>
                <w:rFonts w:ascii="Montserrat" w:hAnsi="Montserrat"/>
                <w:b/>
                <w:bCs/>
                <w:color w:val="C9A84C"/>
                <w:sz w:val="28"/>
                <w:szCs w:val="28"/>
              </w:rPr>
              <w:t>#1</w:t>
            </w:r>
          </w:p>
          <w:p w:rsidRPr="00C02855" w:rsidR="009E0062" w:rsidRDefault="001A7A6F" w14:paraId="1FF78D96" w14:textId="77777777">
            <w:pPr>
              <w:rPr>
                <w:rFonts w:ascii="Montserrat" w:hAnsi="Montserrat"/>
                <w:sz w:val="28"/>
                <w:szCs w:val="28"/>
              </w:rPr>
            </w:pPr>
            <w:r w:rsidRPr="00C02855">
              <w:rPr>
                <w:rFonts w:ascii="Montserrat" w:hAnsi="Montserrat" w:eastAsia="Garamond" w:cs="Garamond"/>
                <w:i/>
                <w:iCs/>
                <w:color w:val="CCCCCC"/>
                <w:sz w:val="28"/>
                <w:szCs w:val="28"/>
              </w:rPr>
              <w:t>Best Global Longevity Retreat 2026, ahead of Clinique La Prairie</w:t>
            </w:r>
          </w:p>
        </w:tc>
        <w:tc>
          <w:tcPr>
            <w:tcW w:w="3104" w:type="dxa"/>
            <w:tcBorders>
              <w:left w:val="single" w:color="231A3D" w:sz="3" w:space="0"/>
            </w:tcBorders>
            <w:shd w:val="clear" w:color="auto" w:fill="1A1035"/>
            <w:tcMar>
              <w:top w:w="180" w:type="dxa"/>
              <w:left w:w="180" w:type="dxa"/>
              <w:bottom w:w="180" w:type="dxa"/>
              <w:right w:w="140" w:type="dxa"/>
            </w:tcMar>
          </w:tcPr>
          <w:p w:rsidRPr="00C02855" w:rsidR="009E0062" w:rsidRDefault="001A7A6F" w14:paraId="76FF76A0" w14:textId="77777777">
            <w:pPr>
              <w:spacing w:after="50"/>
              <w:rPr>
                <w:rFonts w:ascii="Montserrat" w:hAnsi="Montserrat"/>
                <w:sz w:val="28"/>
                <w:szCs w:val="28"/>
              </w:rPr>
            </w:pPr>
            <w:r w:rsidRPr="00C02855">
              <w:rPr>
                <w:rFonts w:ascii="Montserrat" w:hAnsi="Montserrat"/>
                <w:b/>
                <w:bCs/>
                <w:color w:val="C9A84C"/>
                <w:sz w:val="28"/>
                <w:szCs w:val="28"/>
              </w:rPr>
              <w:t>10 days</w:t>
            </w:r>
          </w:p>
          <w:p w:rsidRPr="00C02855" w:rsidR="009E0062" w:rsidRDefault="001A7A6F" w14:paraId="4176CEBD" w14:textId="77777777">
            <w:pPr>
              <w:rPr>
                <w:rFonts w:ascii="Montserrat" w:hAnsi="Montserrat"/>
                <w:sz w:val="28"/>
                <w:szCs w:val="28"/>
              </w:rPr>
            </w:pPr>
            <w:r w:rsidRPr="00C02855">
              <w:rPr>
                <w:rFonts w:ascii="Montserrat" w:hAnsi="Montserrat" w:eastAsia="Garamond" w:cs="Garamond"/>
                <w:i/>
                <w:iCs/>
                <w:color w:val="CCCCCC"/>
                <w:sz w:val="28"/>
                <w:szCs w:val="28"/>
              </w:rPr>
              <w:t>Average length of stay, up from shorter wellness breaks</w:t>
            </w:r>
          </w:p>
        </w:tc>
        <w:tc>
          <w:tcPr>
            <w:tcW w:w="3106" w:type="dxa"/>
            <w:tcBorders>
              <w:left w:val="single" w:color="231A3D" w:sz="3" w:space="0"/>
            </w:tcBorders>
            <w:shd w:val="clear" w:color="auto" w:fill="1A1035"/>
            <w:tcMar>
              <w:top w:w="180" w:type="dxa"/>
              <w:left w:w="180" w:type="dxa"/>
              <w:bottom w:w="180" w:type="dxa"/>
              <w:right w:w="140" w:type="dxa"/>
            </w:tcMar>
          </w:tcPr>
          <w:p w:rsidRPr="00C02855" w:rsidR="009E0062" w:rsidRDefault="001A7A6F" w14:paraId="05E5F0D2" w14:textId="77777777">
            <w:pPr>
              <w:spacing w:after="50"/>
              <w:rPr>
                <w:rFonts w:ascii="Montserrat" w:hAnsi="Montserrat"/>
                <w:sz w:val="28"/>
                <w:szCs w:val="28"/>
              </w:rPr>
            </w:pPr>
            <w:r w:rsidRPr="00C02855">
              <w:rPr>
                <w:rFonts w:ascii="Montserrat" w:hAnsi="Montserrat"/>
                <w:b/>
                <w:bCs/>
                <w:color w:val="C9A84C"/>
                <w:sz w:val="28"/>
                <w:szCs w:val="28"/>
              </w:rPr>
              <w:t>$9.8T</w:t>
            </w:r>
          </w:p>
          <w:p w:rsidRPr="00C02855" w:rsidR="009E0062" w:rsidRDefault="001A7A6F" w14:paraId="615458B1" w14:textId="77777777">
            <w:pPr>
              <w:rPr>
                <w:rFonts w:ascii="Montserrat" w:hAnsi="Montserrat"/>
                <w:sz w:val="28"/>
                <w:szCs w:val="28"/>
              </w:rPr>
            </w:pPr>
            <w:r w:rsidRPr="00C02855">
              <w:rPr>
                <w:rFonts w:ascii="Montserrat" w:hAnsi="Montserrat" w:eastAsia="Garamond" w:cs="Garamond"/>
                <w:i/>
                <w:iCs/>
                <w:color w:val="CCCCCC"/>
                <w:sz w:val="28"/>
                <w:szCs w:val="28"/>
              </w:rPr>
              <w:t>Projected global wellness economy by 2029 (Global Wellness Institute)</w:t>
            </w:r>
          </w:p>
        </w:tc>
      </w:tr>
      <w:tr w:rsidRPr="00D2445D" w:rsidR="009E0062" w14:paraId="31DC9796" w14:textId="77777777">
        <w:tc>
          <w:tcPr>
            <w:tcW w:w="9314" w:type="dxa"/>
            <w:gridSpan w:val="3"/>
            <w:tcBorders>
              <w:left w:val="single" w:color="B8922A" w:sz="12" w:space="0"/>
            </w:tcBorders>
            <w:shd w:val="clear" w:color="auto" w:fill="F2EEE8"/>
            <w:tcMar>
              <w:top w:w="160" w:type="dxa"/>
              <w:left w:w="220" w:type="dxa"/>
              <w:bottom w:w="160" w:type="dxa"/>
              <w:right w:w="220" w:type="dxa"/>
            </w:tcMar>
          </w:tcPr>
          <w:p w:rsidRPr="00C02855" w:rsidR="009E0062" w:rsidRDefault="001A7A6F" w14:paraId="2AC55840" w14:textId="77777777">
            <w:pPr>
              <w:spacing w:after="80"/>
              <w:rPr>
                <w:rFonts w:ascii="Montserrat" w:hAnsi="Montserrat"/>
              </w:rPr>
            </w:pPr>
            <w:r w:rsidRPr="00C02855">
              <w:rPr>
                <w:rFonts w:ascii="Montserrat" w:hAnsi="Montserrat"/>
                <w:b/>
                <w:bCs/>
                <w:caps/>
                <w:color w:val="1A1035"/>
              </w:rPr>
              <w:t>THE LONGEVITY STACK</w:t>
            </w:r>
          </w:p>
          <w:p w:rsidRPr="00C02855" w:rsidR="009E0062" w:rsidRDefault="001A7A6F" w14:paraId="6FD74E1D" w14:textId="77777777">
            <w:pPr>
              <w:rPr>
                <w:rFonts w:ascii="Montserrat" w:hAnsi="Montserrat"/>
              </w:rPr>
            </w:pPr>
            <w:r w:rsidRPr="00C02855">
              <w:rPr>
                <w:rFonts w:ascii="Montserrat" w:hAnsi="Montserrat" w:eastAsia="Garamond" w:cs="Garamond"/>
              </w:rPr>
              <w:t>Diagnostics   •   Sleep   •   Nutrition   •   Strength   •   Recovery   •   Mental fitness   •   Ongoing monitoring</w:t>
            </w:r>
          </w:p>
        </w:tc>
      </w:tr>
    </w:tbl>
    <w:p w:rsidR="007C20E1" w:rsidRDefault="007C20E1" w14:paraId="76B0224A" w14:textId="77777777"/>
    <w:p w:rsidR="000A7379" w:rsidRDefault="000A7379" w14:paraId="7E8D989C" w14:textId="77777777"/>
    <w:p w:rsidRPr="00D2445D" w:rsidR="000A7379" w:rsidRDefault="000A7379" w14:paraId="2BB63ECD" w14:textId="77777777"/>
    <w:sectPr w:rsidRPr="00D2445D" w:rsidR="000A7379">
      <w:pgSz w:w="11906" w:h="16838" w:orient="portrait"/>
      <w:pgMar w:top="1296" w:right="1296" w:bottom="1296" w:left="1296"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S" w:author="Anurita Sinha" w:date="2026-06-19T16:13:00Z" w:id="0">
    <w:p w:rsidR="00943A4F" w:rsidRDefault="00943A4F" w14:paraId="503BA498" w14:textId="77BA9F87">
      <w:r>
        <w:annotationRef/>
      </w:r>
      <w:r w:rsidRPr="466DAEB6">
        <w:t>section breaker page</w:t>
      </w:r>
    </w:p>
  </w:comment>
  <w:comment w:initials="AS" w:author="Anurita Sinha" w:date="2026-06-19T16:23:00Z" w:id="1">
    <w:p w:rsidR="007B2947" w:rsidRDefault="007B2947" w14:paraId="3B2F481B" w14:textId="5019C573">
      <w:pPr>
        <w:pStyle w:val="CommentText"/>
      </w:pPr>
      <w:r>
        <w:rPr>
          <w:rStyle w:val="CommentReference"/>
        </w:rPr>
        <w:annotationRef/>
      </w:r>
      <w:r w:rsidRPr="58FDFAC7">
        <w:t>title and the accompanying text</w:t>
      </w:r>
    </w:p>
  </w:comment>
</w:comments>
</file>

<file path=word/commentsExtended.xml><?xml version="1.0" encoding="utf-8"?>
<w15:commentsEx xmlns:mc="http://schemas.openxmlformats.org/markup-compatibility/2006" xmlns:w15="http://schemas.microsoft.com/office/word/2012/wordml" mc:Ignorable="w15">
  <w15:commentEx w15:done="1" w15:paraId="503BA498"/>
  <w15:commentEx w15:done="1" w15:paraId="3B2F481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288D9F9" w16cex:dateUtc="2026-06-19T10:43:00Z"/>
  <w16cex:commentExtensible w16cex:durableId="070DD093" w16cex:dateUtc="2026-06-19T10:53:00Z"/>
</w16cex:commentsExtensible>
</file>

<file path=word/commentsIds.xml><?xml version="1.0" encoding="utf-8"?>
<w16cid:commentsIds xmlns:mc="http://schemas.openxmlformats.org/markup-compatibility/2006" xmlns:w16cid="http://schemas.microsoft.com/office/word/2016/wordml/cid" mc:Ignorable="w16cid">
  <w16cid:commentId w16cid:paraId="503BA498" w16cid:durableId="5288D9F9"/>
  <w16cid:commentId w16cid:paraId="3B2F481B" w16cid:durableId="070DD09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strument Serif">
    <w:altName w:val="Calibri"/>
    <w:charset w:val="00"/>
    <w:family w:val="auto"/>
    <w:pitch w:val="variable"/>
    <w:sig w:usb0="A000006F" w:usb1="0000004A" w:usb2="00000000" w:usb3="00000000" w:csb0="00000093" w:csb1="00000000"/>
  </w:font>
  <w:font w:name="Montserrat">
    <w:altName w:val="Calibri"/>
    <w:charset w:val="4D"/>
    <w:family w:val="auto"/>
    <w:pitch w:val="variable"/>
    <w:sig w:usb0="A00002FF" w:usb1="4000247B" w:usb2="00000000" w:usb3="00000000" w:csb0="00000197" w:csb1="00000000"/>
  </w:font>
  <w:font w:name="Garamond">
    <w:altName w:val="Cambria"/>
    <w:charset w:val="00"/>
    <w:family w:val="roman"/>
    <w:pitch w:val="variable"/>
    <w:sig w:usb0="0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A0359"/>
    <w:multiLevelType w:val="hybridMultilevel"/>
    <w:tmpl w:val="5672A80E"/>
    <w:lvl w:ilvl="0" w:tplc="9288ED3C">
      <w:start w:val="1"/>
      <w:numFmt w:val="bullet"/>
      <w:lvlText w:val="●"/>
      <w:lvlJc w:val="left"/>
      <w:pPr>
        <w:ind w:left="720" w:hanging="360"/>
      </w:pPr>
    </w:lvl>
    <w:lvl w:ilvl="1" w:tplc="99863B30">
      <w:start w:val="1"/>
      <w:numFmt w:val="bullet"/>
      <w:lvlText w:val="○"/>
      <w:lvlJc w:val="left"/>
      <w:pPr>
        <w:ind w:left="1440" w:hanging="360"/>
      </w:pPr>
    </w:lvl>
    <w:lvl w:ilvl="2" w:tplc="FC7E1FAE">
      <w:start w:val="1"/>
      <w:numFmt w:val="bullet"/>
      <w:lvlText w:val="■"/>
      <w:lvlJc w:val="left"/>
      <w:pPr>
        <w:ind w:left="2160" w:hanging="360"/>
      </w:pPr>
    </w:lvl>
    <w:lvl w:ilvl="3" w:tplc="B7D88568">
      <w:start w:val="1"/>
      <w:numFmt w:val="bullet"/>
      <w:lvlText w:val="●"/>
      <w:lvlJc w:val="left"/>
      <w:pPr>
        <w:ind w:left="2880" w:hanging="360"/>
      </w:pPr>
    </w:lvl>
    <w:lvl w:ilvl="4" w:tplc="6700D1AC">
      <w:start w:val="1"/>
      <w:numFmt w:val="bullet"/>
      <w:lvlText w:val="○"/>
      <w:lvlJc w:val="left"/>
      <w:pPr>
        <w:ind w:left="3600" w:hanging="360"/>
      </w:pPr>
    </w:lvl>
    <w:lvl w:ilvl="5" w:tplc="36804EE8">
      <w:start w:val="1"/>
      <w:numFmt w:val="bullet"/>
      <w:lvlText w:val="■"/>
      <w:lvlJc w:val="left"/>
      <w:pPr>
        <w:ind w:left="4320" w:hanging="360"/>
      </w:pPr>
    </w:lvl>
    <w:lvl w:ilvl="6" w:tplc="AE28BDA4">
      <w:start w:val="1"/>
      <w:numFmt w:val="bullet"/>
      <w:lvlText w:val="●"/>
      <w:lvlJc w:val="left"/>
      <w:pPr>
        <w:ind w:left="5040" w:hanging="360"/>
      </w:pPr>
    </w:lvl>
    <w:lvl w:ilvl="7" w:tplc="C8E21078">
      <w:start w:val="1"/>
      <w:numFmt w:val="bullet"/>
      <w:lvlText w:val="●"/>
      <w:lvlJc w:val="left"/>
      <w:pPr>
        <w:ind w:left="5760" w:hanging="360"/>
      </w:pPr>
    </w:lvl>
    <w:lvl w:ilvl="8" w:tplc="1B641A50">
      <w:start w:val="1"/>
      <w:numFmt w:val="bullet"/>
      <w:lvlText w:val="●"/>
      <w:lvlJc w:val="left"/>
      <w:pPr>
        <w:ind w:left="6480" w:hanging="360"/>
      </w:pPr>
    </w:lvl>
  </w:abstractNum>
  <w:num w:numId="1" w16cid:durableId="176445358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urita Sinha">
    <w15:presenceInfo w15:providerId="AD" w15:userId="S::anurita.sinha@neo.group::cdcf363e-f804-4bd1-8b4f-19d5457a9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062"/>
    <w:rsid w:val="00011119"/>
    <w:rsid w:val="000A7379"/>
    <w:rsid w:val="000D6012"/>
    <w:rsid w:val="000FBE78"/>
    <w:rsid w:val="00145BDF"/>
    <w:rsid w:val="001A7A6F"/>
    <w:rsid w:val="001D46A3"/>
    <w:rsid w:val="00297120"/>
    <w:rsid w:val="00334176"/>
    <w:rsid w:val="0039192D"/>
    <w:rsid w:val="003A0F1B"/>
    <w:rsid w:val="00452AA7"/>
    <w:rsid w:val="0045393E"/>
    <w:rsid w:val="00460791"/>
    <w:rsid w:val="0046600A"/>
    <w:rsid w:val="004E1B99"/>
    <w:rsid w:val="007B2947"/>
    <w:rsid w:val="007C20E1"/>
    <w:rsid w:val="007D2770"/>
    <w:rsid w:val="007F1968"/>
    <w:rsid w:val="00853924"/>
    <w:rsid w:val="00943A4F"/>
    <w:rsid w:val="009E0062"/>
    <w:rsid w:val="00A32F5B"/>
    <w:rsid w:val="00A77735"/>
    <w:rsid w:val="00AA6A0D"/>
    <w:rsid w:val="00AB285A"/>
    <w:rsid w:val="00C02855"/>
    <w:rsid w:val="00D2445D"/>
    <w:rsid w:val="00D256AA"/>
    <w:rsid w:val="00D80CAC"/>
    <w:rsid w:val="00E46486"/>
    <w:rsid w:val="00FE5F51"/>
    <w:rsid w:val="00FF72EC"/>
    <w:rsid w:val="08B474DB"/>
    <w:rsid w:val="1A6B5EF3"/>
    <w:rsid w:val="1F408C2C"/>
    <w:rsid w:val="21C1D073"/>
    <w:rsid w:val="266C225E"/>
    <w:rsid w:val="31E79809"/>
    <w:rsid w:val="3AB9BBB2"/>
    <w:rsid w:val="3B8F2907"/>
    <w:rsid w:val="4FAB126A"/>
    <w:rsid w:val="4FAF58F7"/>
    <w:rsid w:val="53577758"/>
    <w:rsid w:val="64A1CCBE"/>
    <w:rsid w:val="68E05605"/>
    <w:rsid w:val="79E4A4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503C3E2"/>
  <w15:docId w15:val="{D5C823A0-2CD7-427B-BB77-7FC5105E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555555"/>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CommentText">
    <w:name w:val="annotation text"/>
    <w:basedOn w:val="Normal"/>
    <w:link w:val="CommentTextChar"/>
    <w:uiPriority w:val="99"/>
    <w:semiHidden/>
    <w:unhideWhenUsed/>
    <w:rsid w:val="00FE5F51"/>
  </w:style>
  <w:style w:type="character" w:styleId="CommentTextChar" w:customStyle="1">
    <w:name w:val="Comment Text Char"/>
    <w:basedOn w:val="DefaultParagraphFont"/>
    <w:link w:val="CommentText"/>
    <w:uiPriority w:val="99"/>
    <w:semiHidden/>
    <w:rsid w:val="00FE5F51"/>
  </w:style>
  <w:style w:type="character" w:styleId="CommentReference">
    <w:name w:val="annotation reference"/>
    <w:basedOn w:val="DefaultParagraphFont"/>
    <w:uiPriority w:val="99"/>
    <w:semiHidden/>
    <w:unhideWhenUsed/>
    <w:rsid w:val="00FE5F5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Anurita Sinha</lastModifiedBy>
  <revision>15</revision>
  <dcterms:created xsi:type="dcterms:W3CDTF">2026-06-17T09:34:00.0000000Z</dcterms:created>
  <dcterms:modified xsi:type="dcterms:W3CDTF">2026-06-26T07:27:27.3919094Z</dcterms:modified>
</coreProperties>
</file>