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A3C6E"/>
          <w:sz w:val="64"/>
          <w:szCs w:val="64"/>
        </w:rPr>
        <w:t xml:space="preserve">APIx</w:t>
      </w:r>
    </w:p>
    <w:p>
      <w:pPr>
        <w:spacing w:after="100"/>
        <w:jc w:val="center"/>
      </w:pPr>
      <w:r>
        <w:rPr>
          <w:b/>
          <w:bCs/>
          <w:sz w:val="32"/>
          <w:szCs w:val="32"/>
        </w:rPr>
        <w:t xml:space="preserve">Real-Time Airfare Price Index Engine</w:t>
      </w:r>
    </w:p>
    <w:p>
      <w:pPr>
        <w:spacing w:after="40"/>
        <w:jc w:val="center"/>
      </w:pPr>
      <w:r>
        <w:rPr>
          <w:color w:val="555555"/>
          <w:sz w:val="24"/>
          <w:szCs w:val="24"/>
        </w:rPr>
        <w:t xml:space="preserve">Unified Solution Document — SIH26056 (MoSPI)</w:t>
      </w:r>
    </w:p>
    <w:p>
      <w:pPr>
        <w:spacing w:after="40"/>
        <w:jc w:val="center"/>
      </w:pPr>
      <w:r>
        <w:rPr>
          <w:i/>
          <w:iCs/>
          <w:color w:val="555555"/>
          <w:sz w:val="20"/>
          <w:szCs w:val="20"/>
        </w:rPr>
        <w:t xml:space="preserve">A Real-Time, Statistically Defensible Alternative to Manual Air-Fare Price Collection for CPI</w:t>
      </w:r>
    </w:p>
    <w:p>
      <w:pPr>
        <w:spacing w:before="600"/>
        <w:jc w:val="center"/>
      </w:pPr>
      <w:r>
        <w:rPr>
          <w:color w:val="777777"/>
          <w:sz w:val="18"/>
          <w:szCs w:val="18"/>
        </w:rPr>
        <w:t xml:space="preserve">Prepared by: Amrita  |  Team submission for Smart India Hackathon 2026</w:t>
      </w:r>
    </w:p>
    <w:p>
      <w:r>
        <w:br w:type="page"/>
      </w:r>
    </w:p>
    <w:p>
      <w:pPr>
        <w:pStyle w:val="Heading1"/>
        <w:spacing w:after="160" w:before="320"/>
      </w:pPr>
      <w:r>
        <w:t xml:space="preserve">1. Executive Summary</w:t>
      </w:r>
    </w:p>
    <w:p>
      <w:pPr>
        <w:spacing w:after="140" w:line="276"/>
      </w:pPr>
      <w:r>
        <w:t xml:space="preserve">The Consumer Price Index currently tracks air-fare inflation through occasional manual price checks. Airfares, unlike most CPI items, do not have a single price on a given day — the same route can cost 3–4× more depending purely on how many days before departure the ticket is booked. A manual snapshot cannot distinguish real inflation from this booking-window effect, which makes the current air-fare component of CPI statistically unreliable.</w:t>
      </w:r>
    </w:p>
    <w:p>
      <w:pPr>
        <w:spacing w:after="140" w:line="276"/>
      </w:pPr>
      <w:r>
        <w:rPr>
          <w:b/>
          <w:bCs/>
        </w:rPr>
        <w:t xml:space="preserve">What APIx does: </w:t>
      </w:r>
      <w:r>
        <w:t xml:space="preserve">it replaces manual collection with a daily, automated, multi-source data pipeline that scrapes real fares across a fixed basket of routes and booking windows, cleans and decomposes them, and computes a proper weighted Airfare Price Index at daily, weekly and monthly frequency — backtested against DGCA's own published fare data.</w:t>
      </w:r>
    </w:p>
    <w:p>
      <w:pPr>
        <w:spacing w:after="140" w:line="276"/>
      </w:pPr>
      <w:r>
        <w:rPr>
          <w:b/>
          <w:bCs/>
        </w:rPr>
        <w:t xml:space="preserve">What we add beyond the PS: </w:t>
      </w:r>
      <w:r>
        <w:t xml:space="preserve">two statistical products no current MoSPI instrument produces — a booking-window spread sub-index (quantifying “last-minute-fare-punishment” as its own trackable number) and a fuel-vs-demand inflation decomposition — plus a grounded natural-language explainer, a published reliability/confidence score per index point, and a written adoption pathway into the real CPI. Every added feature is scoped to be genuinely buildable in a hackathon window, not aspirational.</w:t>
      </w:r>
    </w:p>
    <w:p>
      <w:pPr>
        <w:pStyle w:val="Heading1"/>
        <w:spacing w:after="160" w:before="320"/>
      </w:pPr>
      <w:r>
        <w:t xml:space="preserve">2. Problem Statement Compliance Matrix</w:t>
      </w:r>
    </w:p>
    <w:p>
      <w:pPr>
        <w:spacing w:after="140" w:line="276"/>
      </w:pPr>
      <w:r>
        <w:t xml:space="preserve">Every literal requirement in the PS text, mapped to the exact module that satisfies it. Nothing below is aspirational — each row is built in the architecture that follows.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600"/>
        <w:gridCol w:w="3200"/>
        <w:gridCol w:w="1300"/>
      </w:tblGrid>
      <w:tr>
        <w:trPr>
          <w:tblHeader/>
        </w:trPr>
        <w:tc>
          <w:tcPr>
            <w:tcW w:type="dxa" w:w="5600"/>
            <w:shd w:fill="1A3C6E" w:val="clear"/>
            <w:tcMar>
              <w:top w:type="dxa" w:w="80"/>
              <w:left w:type="dxa" w:w="100"/>
              <w:bottom w:type="dxa" w:w="80"/>
              <w:right w:type="dxa" w:w="100"/>
            </w:tcMar>
          </w:tcPr>
          <w:p>
            <w:r>
              <w:rPr>
                <w:b/>
                <w:bCs/>
                <w:color w:val="FFFFFF"/>
                <w:sz w:val="19"/>
                <w:szCs w:val="19"/>
              </w:rPr>
              <w:t xml:space="preserve">PS Requirement (verbatim ask)</w:t>
            </w:r>
          </w:p>
        </w:tc>
        <w:tc>
          <w:tcPr>
            <w:tcW w:type="dxa" w:w="3200"/>
            <w:shd w:fill="1A3C6E" w:val="clear"/>
            <w:tcMar>
              <w:top w:type="dxa" w:w="80"/>
              <w:left w:type="dxa" w:w="100"/>
              <w:bottom w:type="dxa" w:w="80"/>
              <w:right w:type="dxa" w:w="100"/>
            </w:tcMar>
          </w:tcPr>
          <w:p>
            <w:r>
              <w:rPr>
                <w:b/>
                <w:bCs/>
                <w:color w:val="FFFFFF"/>
                <w:sz w:val="19"/>
                <w:szCs w:val="19"/>
              </w:rPr>
              <w:t xml:space="preserve">Satisfied By</w:t>
            </w:r>
          </w:p>
        </w:tc>
        <w:tc>
          <w:tcPr>
            <w:tcW w:type="dxa" w:w="1300"/>
            <w:shd w:fill="1A3C6E" w:val="clear"/>
            <w:tcMar>
              <w:top w:type="dxa" w:w="80"/>
              <w:left w:type="dxa" w:w="100"/>
              <w:bottom w:type="dxa" w:w="80"/>
              <w:right w:type="dxa" w:w="100"/>
            </w:tcMar>
          </w:tcPr>
          <w:p>
            <w:r>
              <w:rPr>
                <w:b/>
                <w:bCs/>
                <w:color w:val="FFFFFF"/>
                <w:sz w:val="19"/>
                <w:szCs w:val="19"/>
              </w:rPr>
              <w:t xml:space="preserve">Status</w:t>
            </w:r>
          </w:p>
        </w:tc>
      </w:tr>
      <w:tr>
        <w:tc>
          <w:tcPr>
            <w:tcW w:type="dxa" w:w="5600"/>
            <w:tcMar>
              <w:top w:type="dxa" w:w="80"/>
              <w:left w:type="dxa" w:w="100"/>
              <w:bottom w:type="dxa" w:w="80"/>
              <w:right w:type="dxa" w:w="100"/>
            </w:tcMar>
          </w:tcPr>
          <w:p>
            <w:r>
              <w:rPr>
                <w:b w:val="false"/>
                <w:bCs w:val="false"/>
                <w:color w:val="1A1A1A"/>
                <w:sz w:val="19"/>
                <w:szCs w:val="19"/>
              </w:rPr>
              <w:t xml:space="preserve">Scrape IndiGo, Air India, Air India Express, Akasa Air, SpiceJet + OTAs (MakeMyTrip, Yatra, EaseMyTrip, Cleartrip, Ixigo, Goibibo)</w:t>
            </w:r>
          </w:p>
        </w:tc>
        <w:tc>
          <w:tcPr>
            <w:tcW w:type="dxa" w:w="3200"/>
            <w:tcMar>
              <w:top w:type="dxa" w:w="80"/>
              <w:left w:type="dxa" w:w="100"/>
              <w:bottom w:type="dxa" w:w="80"/>
              <w:right w:type="dxa" w:w="100"/>
            </w:tcMar>
          </w:tcPr>
          <w:p>
            <w:r>
              <w:rPr>
                <w:b w:val="false"/>
                <w:bCs w:val="false"/>
                <w:color w:val="1A1A1A"/>
                <w:sz w:val="19"/>
                <w:szCs w:val="19"/>
              </w:rPr>
              <w:t xml:space="preserve">§4.3 Source Adapter Table — one adapter per named source, explicitly enumerated</w:t>
            </w:r>
          </w:p>
        </w:tc>
        <w:tc>
          <w:tcPr>
            <w:tcW w:type="dxa" w:w="1300"/>
            <w:tcMar>
              <w:top w:type="dxa" w:w="80"/>
              <w:left w:type="dxa" w:w="100"/>
              <w:bottom w:type="dxa" w:w="80"/>
              <w:right w:type="dxa" w:w="100"/>
            </w:tcMar>
          </w:tcPr>
          <w:p>
            <w:r>
              <w:rPr>
                <w:b w:val="false"/>
                <w:bCs w:val="false"/>
                <w:color w:val="1A1A1A"/>
                <w:sz w:val="19"/>
                <w:szCs w:val="19"/>
              </w:rPr>
              <w:t xml:space="preserve">Core</w:t>
            </w:r>
          </w:p>
        </w:tc>
      </w:tr>
      <w:tr>
        <w:tc>
          <w:tcPr>
            <w:tcW w:type="dxa" w:w="5600"/>
            <w:shd w:fill="EEF2F7" w:val="clear"/>
            <w:tcMar>
              <w:top w:type="dxa" w:w="80"/>
              <w:left w:type="dxa" w:w="100"/>
              <w:bottom w:type="dxa" w:w="80"/>
              <w:right w:type="dxa" w:w="100"/>
            </w:tcMar>
          </w:tcPr>
          <w:p>
            <w:r>
              <w:rPr>
                <w:b w:val="false"/>
                <w:bCs w:val="false"/>
                <w:color w:val="1A1A1A"/>
                <w:sz w:val="19"/>
                <w:szCs w:val="19"/>
              </w:rPr>
              <w:t xml:space="preserve">Basket of representative city-pairs from DGCA traffic data</w:t>
            </w:r>
          </w:p>
        </w:tc>
        <w:tc>
          <w:tcPr>
            <w:tcW w:type="dxa" w:w="3200"/>
            <w:shd w:fill="EEF2F7" w:val="clear"/>
            <w:tcMar>
              <w:top w:type="dxa" w:w="80"/>
              <w:left w:type="dxa" w:w="100"/>
              <w:bottom w:type="dxa" w:w="80"/>
              <w:right w:type="dxa" w:w="100"/>
            </w:tcMar>
          </w:tcPr>
          <w:p>
            <w:r>
              <w:rPr>
                <w:b w:val="false"/>
                <w:bCs w:val="false"/>
                <w:color w:val="1A1A1A"/>
                <w:sz w:val="19"/>
                <w:szCs w:val="19"/>
              </w:rPr>
              <w:t xml:space="preserve">§4.1 Route &amp; Window Basket</w:t>
            </w:r>
          </w:p>
        </w:tc>
        <w:tc>
          <w:tcPr>
            <w:tcW w:type="dxa" w:w="1300"/>
            <w:shd w:fill="EEF2F7" w:val="clear"/>
            <w:tcMar>
              <w:top w:type="dxa" w:w="80"/>
              <w:left w:type="dxa" w:w="100"/>
              <w:bottom w:type="dxa" w:w="80"/>
              <w:right w:type="dxa" w:w="100"/>
            </w:tcMar>
          </w:tcPr>
          <w:p>
            <w:r>
              <w:rPr>
                <w:b w:val="false"/>
                <w:bCs w:val="false"/>
                <w:color w:val="1A1A1A"/>
                <w:sz w:val="19"/>
                <w:szCs w:val="19"/>
              </w:rPr>
              <w:t xml:space="preserve">Core</w:t>
            </w:r>
          </w:p>
        </w:tc>
      </w:tr>
      <w:tr>
        <w:tc>
          <w:tcPr>
            <w:tcW w:type="dxa" w:w="5600"/>
            <w:tcMar>
              <w:top w:type="dxa" w:w="80"/>
              <w:left w:type="dxa" w:w="100"/>
              <w:bottom w:type="dxa" w:w="80"/>
              <w:right w:type="dxa" w:w="100"/>
            </w:tcMar>
          </w:tcPr>
          <w:p>
            <w:r>
              <w:rPr>
                <w:b w:val="false"/>
                <w:bCs w:val="false"/>
                <w:color w:val="1A1A1A"/>
                <w:sz w:val="19"/>
                <w:szCs w:val="19"/>
              </w:rPr>
              <w:t xml:space="preserve">Multiple advance-purchase windows T+1/7/15/30/45</w:t>
            </w:r>
          </w:p>
        </w:tc>
        <w:tc>
          <w:tcPr>
            <w:tcW w:type="dxa" w:w="3200"/>
            <w:tcMar>
              <w:top w:type="dxa" w:w="80"/>
              <w:left w:type="dxa" w:w="100"/>
              <w:bottom w:type="dxa" w:w="80"/>
              <w:right w:type="dxa" w:w="100"/>
            </w:tcMar>
          </w:tcPr>
          <w:p>
            <w:r>
              <w:rPr>
                <w:b w:val="false"/>
                <w:bCs w:val="false"/>
                <w:color w:val="1A1A1A"/>
                <w:sz w:val="19"/>
                <w:szCs w:val="19"/>
              </w:rPr>
              <w:t xml:space="preserve">§4.1, data model §4.6 (advance_window field)</w:t>
            </w:r>
          </w:p>
        </w:tc>
        <w:tc>
          <w:tcPr>
            <w:tcW w:type="dxa" w:w="1300"/>
            <w:tcMar>
              <w:top w:type="dxa" w:w="80"/>
              <w:left w:type="dxa" w:w="100"/>
              <w:bottom w:type="dxa" w:w="80"/>
              <w:right w:type="dxa" w:w="100"/>
            </w:tcMar>
          </w:tcPr>
          <w:p>
            <w:r>
              <w:rPr>
                <w:b w:val="false"/>
                <w:bCs w:val="false"/>
                <w:color w:val="1A1A1A"/>
                <w:sz w:val="19"/>
                <w:szCs w:val="19"/>
              </w:rPr>
              <w:t xml:space="preserve">Core</w:t>
            </w:r>
          </w:p>
        </w:tc>
      </w:tr>
      <w:tr>
        <w:tc>
          <w:tcPr>
            <w:tcW w:type="dxa" w:w="5600"/>
            <w:shd w:fill="EEF2F7" w:val="clear"/>
            <w:tcMar>
              <w:top w:type="dxa" w:w="80"/>
              <w:left w:type="dxa" w:w="100"/>
              <w:bottom w:type="dxa" w:w="80"/>
              <w:right w:type="dxa" w:w="100"/>
            </w:tcMar>
          </w:tcPr>
          <w:p>
            <w:r>
              <w:rPr>
                <w:b w:val="false"/>
                <w:bCs w:val="false"/>
                <w:color w:val="1A1A1A"/>
                <w:sz w:val="19"/>
                <w:szCs w:val="19"/>
              </w:rPr>
              <w:t xml:space="preserve">Handle JS-rendered pages, CAPTCHAs, anti-bot, IP rotation, session management</w:t>
            </w:r>
          </w:p>
        </w:tc>
        <w:tc>
          <w:tcPr>
            <w:tcW w:type="dxa" w:w="3200"/>
            <w:shd w:fill="EEF2F7" w:val="clear"/>
            <w:tcMar>
              <w:top w:type="dxa" w:w="80"/>
              <w:left w:type="dxa" w:w="100"/>
              <w:bottom w:type="dxa" w:w="80"/>
              <w:right w:type="dxa" w:w="100"/>
            </w:tcMar>
          </w:tcPr>
          <w:p>
            <w:r>
              <w:rPr>
                <w:b w:val="false"/>
                <w:bCs w:val="false"/>
                <w:color w:val="1A1A1A"/>
                <w:sz w:val="19"/>
                <w:szCs w:val="19"/>
              </w:rPr>
              <w:t xml:space="preserve">§4.3 scraper design, §5 ethical-compliance layer</w:t>
            </w:r>
          </w:p>
        </w:tc>
        <w:tc>
          <w:tcPr>
            <w:tcW w:type="dxa" w:w="1300"/>
            <w:shd w:fill="EEF2F7" w:val="clear"/>
            <w:tcMar>
              <w:top w:type="dxa" w:w="80"/>
              <w:left w:type="dxa" w:w="100"/>
              <w:bottom w:type="dxa" w:w="80"/>
              <w:right w:type="dxa" w:w="100"/>
            </w:tcMar>
          </w:tcPr>
          <w:p>
            <w:r>
              <w:rPr>
                <w:b w:val="false"/>
                <w:bCs w:val="false"/>
                <w:color w:val="1A1A1A"/>
                <w:sz w:val="19"/>
                <w:szCs w:val="19"/>
              </w:rPr>
              <w:t xml:space="preserve">Core</w:t>
            </w:r>
          </w:p>
        </w:tc>
      </w:tr>
      <w:tr>
        <w:tc>
          <w:tcPr>
            <w:tcW w:type="dxa" w:w="5600"/>
            <w:tcMar>
              <w:top w:type="dxa" w:w="80"/>
              <w:left w:type="dxa" w:w="100"/>
              <w:bottom w:type="dxa" w:w="80"/>
              <w:right w:type="dxa" w:w="100"/>
            </w:tcMar>
          </w:tcPr>
          <w:p>
            <w:r>
              <w:rPr>
                <w:b w:val="false"/>
                <w:bCs w:val="false"/>
                <w:color w:val="1A1A1A"/>
                <w:sz w:val="19"/>
                <w:szCs w:val="19"/>
              </w:rPr>
              <w:t xml:space="preserve">Comply with robots.txt and site ToS; rate-limiting; ethical scraping</w:t>
            </w:r>
          </w:p>
        </w:tc>
        <w:tc>
          <w:tcPr>
            <w:tcW w:type="dxa" w:w="3200"/>
            <w:tcMar>
              <w:top w:type="dxa" w:w="80"/>
              <w:left w:type="dxa" w:w="100"/>
              <w:bottom w:type="dxa" w:w="80"/>
              <w:right w:type="dxa" w:w="100"/>
            </w:tcMar>
          </w:tcPr>
          <w:p>
            <w:r>
              <w:rPr>
                <w:b w:val="false"/>
                <w:bCs w:val="false"/>
                <w:color w:val="1A1A1A"/>
                <w:sz w:val="19"/>
                <w:szCs w:val="19"/>
              </w:rPr>
              <w:t xml:space="preserve">§5 dedicated compliance module</w:t>
            </w:r>
          </w:p>
        </w:tc>
        <w:tc>
          <w:tcPr>
            <w:tcW w:type="dxa" w:w="1300"/>
            <w:tcMar>
              <w:top w:type="dxa" w:w="80"/>
              <w:left w:type="dxa" w:w="100"/>
              <w:bottom w:type="dxa" w:w="80"/>
              <w:right w:type="dxa" w:w="100"/>
            </w:tcMar>
          </w:tcPr>
          <w:p>
            <w:r>
              <w:rPr>
                <w:b w:val="false"/>
                <w:bCs w:val="false"/>
                <w:color w:val="1A1A1A"/>
                <w:sz w:val="19"/>
                <w:szCs w:val="19"/>
              </w:rPr>
              <w:t xml:space="preserve">Core</w:t>
            </w:r>
          </w:p>
        </w:tc>
      </w:tr>
      <w:tr>
        <w:tc>
          <w:tcPr>
            <w:tcW w:type="dxa" w:w="5600"/>
            <w:shd w:fill="EEF2F7" w:val="clear"/>
            <w:tcMar>
              <w:top w:type="dxa" w:w="80"/>
              <w:left w:type="dxa" w:w="100"/>
              <w:bottom w:type="dxa" w:w="80"/>
              <w:right w:type="dxa" w:w="100"/>
            </w:tcMar>
          </w:tcPr>
          <w:p>
            <w:r>
              <w:rPr>
                <w:b w:val="false"/>
                <w:bCs w:val="false"/>
                <w:color w:val="1A1A1A"/>
                <w:sz w:val="19"/>
                <w:szCs w:val="19"/>
              </w:rPr>
              <w:t xml:space="preserve">Clean data: outliers, missing values, cancellations/sold-out, base fare vs taxes/UDF/convenience fee</w:t>
            </w:r>
          </w:p>
        </w:tc>
        <w:tc>
          <w:tcPr>
            <w:tcW w:type="dxa" w:w="3200"/>
            <w:shd w:fill="EEF2F7" w:val="clear"/>
            <w:tcMar>
              <w:top w:type="dxa" w:w="80"/>
              <w:left w:type="dxa" w:w="100"/>
              <w:bottom w:type="dxa" w:w="80"/>
              <w:right w:type="dxa" w:w="100"/>
            </w:tcMar>
          </w:tcPr>
          <w:p>
            <w:r>
              <w:rPr>
                <w:b w:val="false"/>
                <w:bCs w:val="false"/>
                <w:color w:val="1A1A1A"/>
                <w:sz w:val="19"/>
                <w:szCs w:val="19"/>
              </w:rPr>
              <w:t xml:space="preserve">§4.5 Cleaning Pipeline</w:t>
            </w:r>
          </w:p>
        </w:tc>
        <w:tc>
          <w:tcPr>
            <w:tcW w:type="dxa" w:w="1300"/>
            <w:shd w:fill="EEF2F7" w:val="clear"/>
            <w:tcMar>
              <w:top w:type="dxa" w:w="80"/>
              <w:left w:type="dxa" w:w="100"/>
              <w:bottom w:type="dxa" w:w="80"/>
              <w:right w:type="dxa" w:w="100"/>
            </w:tcMar>
          </w:tcPr>
          <w:p>
            <w:r>
              <w:rPr>
                <w:b w:val="false"/>
                <w:bCs w:val="false"/>
                <w:color w:val="1A1A1A"/>
                <w:sz w:val="19"/>
                <w:szCs w:val="19"/>
              </w:rPr>
              <w:t xml:space="preserve">Core</w:t>
            </w:r>
          </w:p>
        </w:tc>
      </w:tr>
      <w:tr>
        <w:tc>
          <w:tcPr>
            <w:tcW w:type="dxa" w:w="5600"/>
            <w:tcMar>
              <w:top w:type="dxa" w:w="80"/>
              <w:left w:type="dxa" w:w="100"/>
              <w:bottom w:type="dxa" w:w="80"/>
              <w:right w:type="dxa" w:w="100"/>
            </w:tcMar>
          </w:tcPr>
          <w:p>
            <w:r>
              <w:rPr>
                <w:b w:val="false"/>
                <w:bCs w:val="false"/>
                <w:color w:val="1A1A1A"/>
                <w:sz w:val="19"/>
                <w:szCs w:val="19"/>
              </w:rPr>
              <w:t xml:space="preserve">Index construction on given routes and weights</w:t>
            </w:r>
          </w:p>
        </w:tc>
        <w:tc>
          <w:tcPr>
            <w:tcW w:type="dxa" w:w="3200"/>
            <w:tcMar>
              <w:top w:type="dxa" w:w="80"/>
              <w:left w:type="dxa" w:w="100"/>
              <w:bottom w:type="dxa" w:w="80"/>
              <w:right w:type="dxa" w:w="100"/>
            </w:tcMar>
          </w:tcPr>
          <w:p>
            <w:r>
              <w:rPr>
                <w:b w:val="false"/>
                <w:bCs w:val="false"/>
                <w:color w:val="1A1A1A"/>
                <w:sz w:val="19"/>
                <w:szCs w:val="19"/>
              </w:rPr>
              <w:t xml:space="preserve">§4.7 Index Construction (Törnqvist, DGCA-weighted)</w:t>
            </w:r>
          </w:p>
        </w:tc>
        <w:tc>
          <w:tcPr>
            <w:tcW w:type="dxa" w:w="1300"/>
            <w:tcMar>
              <w:top w:type="dxa" w:w="80"/>
              <w:left w:type="dxa" w:w="100"/>
              <w:bottom w:type="dxa" w:w="80"/>
              <w:right w:type="dxa" w:w="100"/>
            </w:tcMar>
          </w:tcPr>
          <w:p>
            <w:r>
              <w:rPr>
                <w:b w:val="false"/>
                <w:bCs w:val="false"/>
                <w:color w:val="1A1A1A"/>
                <w:sz w:val="19"/>
                <w:szCs w:val="19"/>
              </w:rPr>
              <w:t xml:space="preserve">Core</w:t>
            </w:r>
          </w:p>
        </w:tc>
      </w:tr>
      <w:tr>
        <w:tc>
          <w:tcPr>
            <w:tcW w:type="dxa" w:w="5600"/>
            <w:shd w:fill="EEF2F7" w:val="clear"/>
            <w:tcMar>
              <w:top w:type="dxa" w:w="80"/>
              <w:left w:type="dxa" w:w="100"/>
              <w:bottom w:type="dxa" w:w="80"/>
              <w:right w:type="dxa" w:w="100"/>
            </w:tcMar>
          </w:tcPr>
          <w:p>
            <w:r>
              <w:rPr>
                <w:b w:val="false"/>
                <w:bCs w:val="false"/>
                <w:color w:val="1A1A1A"/>
                <w:sz w:val="19"/>
                <w:szCs w:val="19"/>
              </w:rPr>
              <w:t xml:space="preserve">Dashboard: price trends, sector heatmaps, lead-time elasticity curves</w:t>
            </w:r>
          </w:p>
        </w:tc>
        <w:tc>
          <w:tcPr>
            <w:tcW w:type="dxa" w:w="3200"/>
            <w:shd w:fill="EEF2F7" w:val="clear"/>
            <w:tcMar>
              <w:top w:type="dxa" w:w="80"/>
              <w:left w:type="dxa" w:w="100"/>
              <w:bottom w:type="dxa" w:w="80"/>
              <w:right w:type="dxa" w:w="100"/>
            </w:tcMar>
          </w:tcPr>
          <w:p>
            <w:r>
              <w:rPr>
                <w:b w:val="false"/>
                <w:bCs w:val="false"/>
                <w:color w:val="1A1A1A"/>
                <w:sz w:val="19"/>
                <w:szCs w:val="19"/>
              </w:rPr>
              <w:t xml:space="preserve">§4.14 Dashboard</w:t>
            </w:r>
          </w:p>
        </w:tc>
        <w:tc>
          <w:tcPr>
            <w:tcW w:type="dxa" w:w="1300"/>
            <w:shd w:fill="EEF2F7" w:val="clear"/>
            <w:tcMar>
              <w:top w:type="dxa" w:w="80"/>
              <w:left w:type="dxa" w:w="100"/>
              <w:bottom w:type="dxa" w:w="80"/>
              <w:right w:type="dxa" w:w="100"/>
            </w:tcMar>
          </w:tcPr>
          <w:p>
            <w:r>
              <w:rPr>
                <w:b w:val="false"/>
                <w:bCs w:val="false"/>
                <w:color w:val="1A1A1A"/>
                <w:sz w:val="19"/>
                <w:szCs w:val="19"/>
              </w:rPr>
              <w:t xml:space="preserve">Core</w:t>
            </w:r>
          </w:p>
        </w:tc>
      </w:tr>
      <w:tr>
        <w:tc>
          <w:tcPr>
            <w:tcW w:type="dxa" w:w="5600"/>
            <w:tcMar>
              <w:top w:type="dxa" w:w="80"/>
              <w:left w:type="dxa" w:w="100"/>
              <w:bottom w:type="dxa" w:w="80"/>
              <w:right w:type="dxa" w:w="100"/>
            </w:tcMar>
          </w:tcPr>
          <w:p>
            <w:r>
              <w:rPr>
                <w:b w:val="false"/>
                <w:bCs w:val="false"/>
                <w:color w:val="1A1A1A"/>
                <w:sz w:val="19"/>
                <w:szCs w:val="19"/>
              </w:rPr>
              <w:t xml:space="preserve">API for NSO/RBI consumption</w:t>
            </w:r>
          </w:p>
        </w:tc>
        <w:tc>
          <w:tcPr>
            <w:tcW w:type="dxa" w:w="3200"/>
            <w:tcMar>
              <w:top w:type="dxa" w:w="80"/>
              <w:left w:type="dxa" w:w="100"/>
              <w:bottom w:type="dxa" w:w="80"/>
              <w:right w:type="dxa" w:w="100"/>
            </w:tcMar>
          </w:tcPr>
          <w:p>
            <w:r>
              <w:rPr>
                <w:b w:val="false"/>
                <w:bCs w:val="false"/>
                <w:color w:val="1A1A1A"/>
                <w:sz w:val="19"/>
                <w:szCs w:val="19"/>
              </w:rPr>
              <w:t xml:space="preserve">§4.13 API Layer</w:t>
            </w:r>
          </w:p>
        </w:tc>
        <w:tc>
          <w:tcPr>
            <w:tcW w:type="dxa" w:w="1300"/>
            <w:tcMar>
              <w:top w:type="dxa" w:w="80"/>
              <w:left w:type="dxa" w:w="100"/>
              <w:bottom w:type="dxa" w:w="80"/>
              <w:right w:type="dxa" w:w="100"/>
            </w:tcMar>
          </w:tcPr>
          <w:p>
            <w:r>
              <w:rPr>
                <w:b w:val="false"/>
                <w:bCs w:val="false"/>
                <w:color w:val="1A1A1A"/>
                <w:sz w:val="19"/>
                <w:szCs w:val="19"/>
              </w:rPr>
              <w:t xml:space="preserve">Core</w:t>
            </w:r>
          </w:p>
        </w:tc>
      </w:tr>
      <w:tr>
        <w:tc>
          <w:tcPr>
            <w:tcW w:type="dxa" w:w="5600"/>
            <w:shd w:fill="EEF2F7" w:val="clear"/>
            <w:tcMar>
              <w:top w:type="dxa" w:w="80"/>
              <w:left w:type="dxa" w:w="100"/>
              <w:bottom w:type="dxa" w:w="80"/>
              <w:right w:type="dxa" w:w="100"/>
            </w:tcMar>
          </w:tcPr>
          <w:p>
            <w:r>
              <w:rPr>
                <w:b w:val="false"/>
                <w:bCs w:val="false"/>
                <w:color w:val="1A1A1A"/>
                <w:sz w:val="19"/>
                <w:szCs w:val="19"/>
              </w:rPr>
              <w:t xml:space="preserve">≥30-day backtest vs DGCA monthly average fare</w:t>
            </w:r>
          </w:p>
        </w:tc>
        <w:tc>
          <w:tcPr>
            <w:tcW w:type="dxa" w:w="3200"/>
            <w:shd w:fill="EEF2F7" w:val="clear"/>
            <w:tcMar>
              <w:top w:type="dxa" w:w="80"/>
              <w:left w:type="dxa" w:w="100"/>
              <w:bottom w:type="dxa" w:w="80"/>
              <w:right w:type="dxa" w:w="100"/>
            </w:tcMar>
          </w:tcPr>
          <w:p>
            <w:r>
              <w:rPr>
                <w:b w:val="false"/>
                <w:bCs w:val="false"/>
                <w:color w:val="1A1A1A"/>
                <w:sz w:val="19"/>
                <w:szCs w:val="19"/>
              </w:rPr>
              <w:t xml:space="preserve">§4.10 Backtesting Module</w:t>
            </w:r>
          </w:p>
        </w:tc>
        <w:tc>
          <w:tcPr>
            <w:tcW w:type="dxa" w:w="1300"/>
            <w:shd w:fill="EEF2F7" w:val="clear"/>
            <w:tcMar>
              <w:top w:type="dxa" w:w="80"/>
              <w:left w:type="dxa" w:w="100"/>
              <w:bottom w:type="dxa" w:w="80"/>
              <w:right w:type="dxa" w:w="100"/>
            </w:tcMar>
          </w:tcPr>
          <w:p>
            <w:r>
              <w:rPr>
                <w:b w:val="false"/>
                <w:bCs w:val="false"/>
                <w:color w:val="1A1A1A"/>
                <w:sz w:val="19"/>
                <w:szCs w:val="19"/>
              </w:rPr>
              <w:t xml:space="preserve">Core</w:t>
            </w:r>
          </w:p>
        </w:tc>
      </w:tr>
      <w:tr>
        <w:tc>
          <w:tcPr>
            <w:tcW w:type="dxa" w:w="5600"/>
            <w:tcMar>
              <w:top w:type="dxa" w:w="80"/>
              <w:left w:type="dxa" w:w="100"/>
              <w:bottom w:type="dxa" w:w="80"/>
              <w:right w:type="dxa" w:w="100"/>
            </w:tcMar>
          </w:tcPr>
          <w:p>
            <w:r>
              <w:rPr>
                <w:b w:val="false"/>
                <w:bCs w:val="false"/>
                <w:color w:val="1A1A1A"/>
                <w:sz w:val="19"/>
                <w:szCs w:val="19"/>
              </w:rPr>
              <w:t xml:space="preserve">Documentation and automated testing</w:t>
            </w:r>
          </w:p>
        </w:tc>
        <w:tc>
          <w:tcPr>
            <w:tcW w:type="dxa" w:w="3200"/>
            <w:tcMar>
              <w:top w:type="dxa" w:w="80"/>
              <w:left w:type="dxa" w:w="100"/>
              <w:bottom w:type="dxa" w:w="80"/>
              <w:right w:type="dxa" w:w="100"/>
            </w:tcMar>
          </w:tcPr>
          <w:p>
            <w:r>
              <w:rPr>
                <w:b w:val="false"/>
                <w:bCs w:val="false"/>
                <w:color w:val="1A1A1A"/>
                <w:sz w:val="19"/>
                <w:szCs w:val="19"/>
              </w:rPr>
              <w:t xml:space="preserve">§9 Documentation &amp; Testing Checklist</w:t>
            </w:r>
          </w:p>
        </w:tc>
        <w:tc>
          <w:tcPr>
            <w:tcW w:type="dxa" w:w="1300"/>
            <w:tcMar>
              <w:top w:type="dxa" w:w="80"/>
              <w:left w:type="dxa" w:w="100"/>
              <w:bottom w:type="dxa" w:w="80"/>
              <w:right w:type="dxa" w:w="100"/>
            </w:tcMar>
          </w:tcPr>
          <w:p>
            <w:r>
              <w:rPr>
                <w:b w:val="false"/>
                <w:bCs w:val="false"/>
                <w:color w:val="1A1A1A"/>
                <w:sz w:val="19"/>
                <w:szCs w:val="19"/>
              </w:rPr>
              <w:t xml:space="preserve">Core</w:t>
            </w:r>
          </w:p>
        </w:tc>
      </w:tr>
    </w:tbl>
    <w:p>
      <w:pPr>
        <w:pStyle w:val="Heading1"/>
        <w:spacing w:after="160" w:before="320"/>
      </w:pPr>
      <w:r>
        <w:t xml:space="preserve">3. System Architecture — Six Stages</w:t>
      </w:r>
    </w:p>
    <w:p>
      <w:pPr>
        <w:spacing w:after="140" w:line="276"/>
      </w:pPr>
      <w:r>
        <w:t xml:space="preserve">The pipeline runs once daily, unattended, end to end: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800"/>
      </w:tblGrid>
      <w:tr>
        <w:trPr>
          <w:tblHeader/>
        </w:trPr>
        <w:tc>
          <w:tcPr>
            <w:tcW w:type="dxa" w:w="1700"/>
            <w:shd w:fill="1A3C6E" w:val="clear"/>
            <w:tcMar>
              <w:top w:type="dxa" w:w="80"/>
              <w:left w:type="dxa" w:w="100"/>
              <w:bottom w:type="dxa" w:w="80"/>
              <w:right w:type="dxa" w:w="100"/>
            </w:tcMar>
          </w:tcPr>
          <w:p>
            <w:r>
              <w:rPr>
                <w:b/>
                <w:bCs/>
                <w:color w:val="FFFFFF"/>
                <w:sz w:val="19"/>
                <w:szCs w:val="19"/>
              </w:rPr>
              <w:t xml:space="preserve">Stage</w:t>
            </w:r>
          </w:p>
        </w:tc>
        <w:tc>
          <w:tcPr>
            <w:tcW w:type="dxa" w:w="3600"/>
            <w:shd w:fill="1A3C6E" w:val="clear"/>
            <w:tcMar>
              <w:top w:type="dxa" w:w="80"/>
              <w:left w:type="dxa" w:w="100"/>
              <w:bottom w:type="dxa" w:w="80"/>
              <w:right w:type="dxa" w:w="100"/>
            </w:tcMar>
          </w:tcPr>
          <w:p>
            <w:r>
              <w:rPr>
                <w:b/>
                <w:bCs/>
                <w:color w:val="FFFFFF"/>
                <w:sz w:val="19"/>
                <w:szCs w:val="19"/>
              </w:rPr>
              <w:t xml:space="preserve">Purpose</w:t>
            </w:r>
          </w:p>
        </w:tc>
        <w:tc>
          <w:tcPr>
            <w:tcW w:type="dxa" w:w="4800"/>
            <w:shd w:fill="1A3C6E" w:val="clear"/>
            <w:tcMar>
              <w:top w:type="dxa" w:w="80"/>
              <w:left w:type="dxa" w:w="100"/>
              <w:bottom w:type="dxa" w:w="80"/>
              <w:right w:type="dxa" w:w="100"/>
            </w:tcMar>
          </w:tcPr>
          <w:p>
            <w:r>
              <w:rPr>
                <w:b/>
                <w:bCs/>
                <w:color w:val="FFFFFF"/>
                <w:sz w:val="19"/>
                <w:szCs w:val="19"/>
              </w:rPr>
              <w:t xml:space="preserve">Key Modules</w:t>
            </w:r>
          </w:p>
        </w:tc>
      </w:tr>
      <w:tr>
        <w:tc>
          <w:tcPr>
            <w:tcW w:type="dxa" w:w="1700"/>
            <w:tcMar>
              <w:top w:type="dxa" w:w="80"/>
              <w:left w:type="dxa" w:w="100"/>
              <w:bottom w:type="dxa" w:w="80"/>
              <w:right w:type="dxa" w:w="100"/>
            </w:tcMar>
          </w:tcPr>
          <w:p>
            <w:r>
              <w:rPr>
                <w:b w:val="false"/>
                <w:bCs w:val="false"/>
                <w:color w:val="1A1A1A"/>
                <w:sz w:val="19"/>
                <w:szCs w:val="19"/>
              </w:rPr>
              <w:t xml:space="preserve">1 — Ingestion</w:t>
            </w:r>
          </w:p>
        </w:tc>
        <w:tc>
          <w:tcPr>
            <w:tcW w:type="dxa" w:w="3600"/>
            <w:tcMar>
              <w:top w:type="dxa" w:w="80"/>
              <w:left w:type="dxa" w:w="100"/>
              <w:bottom w:type="dxa" w:w="80"/>
              <w:right w:type="dxa" w:w="100"/>
            </w:tcMar>
          </w:tcPr>
          <w:p>
            <w:r>
              <w:rPr>
                <w:b w:val="false"/>
                <w:bCs w:val="false"/>
                <w:color w:val="1A1A1A"/>
                <w:sz w:val="19"/>
                <w:szCs w:val="19"/>
              </w:rPr>
              <w:t xml:space="preserve">Pull raw fare quotes and external context signals</w:t>
            </w:r>
          </w:p>
        </w:tc>
        <w:tc>
          <w:tcPr>
            <w:tcW w:type="dxa" w:w="4800"/>
            <w:tcMar>
              <w:top w:type="dxa" w:w="80"/>
              <w:left w:type="dxa" w:w="100"/>
              <w:bottom w:type="dxa" w:w="80"/>
              <w:right w:type="dxa" w:w="100"/>
            </w:tcMar>
          </w:tcPr>
          <w:p>
            <w:r>
              <w:rPr>
                <w:b w:val="false"/>
                <w:bCs w:val="false"/>
                <w:color w:val="1A1A1A"/>
                <w:sz w:val="19"/>
                <w:szCs w:val="19"/>
              </w:rPr>
              <w:t xml:space="preserve">Route/Window Basket, External Signal Ingestion, Scraping Engine, Raw Landing Zone</w:t>
            </w:r>
          </w:p>
        </w:tc>
      </w:tr>
      <w:tr>
        <w:tc>
          <w:tcPr>
            <w:tcW w:type="dxa" w:w="1700"/>
            <w:shd w:fill="EEF2F7" w:val="clear"/>
            <w:tcMar>
              <w:top w:type="dxa" w:w="80"/>
              <w:left w:type="dxa" w:w="100"/>
              <w:bottom w:type="dxa" w:w="80"/>
              <w:right w:type="dxa" w:w="100"/>
            </w:tcMar>
          </w:tcPr>
          <w:p>
            <w:r>
              <w:rPr>
                <w:b w:val="false"/>
                <w:bCs w:val="false"/>
                <w:color w:val="1A1A1A"/>
                <w:sz w:val="19"/>
                <w:szCs w:val="19"/>
              </w:rPr>
              <w:t xml:space="preserve">2 — Cleaning</w:t>
            </w:r>
          </w:p>
        </w:tc>
        <w:tc>
          <w:tcPr>
            <w:tcW w:type="dxa" w:w="3600"/>
            <w:shd w:fill="EEF2F7" w:val="clear"/>
            <w:tcMar>
              <w:top w:type="dxa" w:w="80"/>
              <w:left w:type="dxa" w:w="100"/>
              <w:bottom w:type="dxa" w:w="80"/>
              <w:right w:type="dxa" w:w="100"/>
            </w:tcMar>
          </w:tcPr>
          <w:p>
            <w:r>
              <w:rPr>
                <w:b w:val="false"/>
                <w:bCs w:val="false"/>
                <w:color w:val="1A1A1A"/>
                <w:sz w:val="19"/>
                <w:szCs w:val="19"/>
              </w:rPr>
              <w:t xml:space="preserve">Turn raw quotes into trustworthy structured records</w:t>
            </w:r>
          </w:p>
        </w:tc>
        <w:tc>
          <w:tcPr>
            <w:tcW w:type="dxa" w:w="4800"/>
            <w:shd w:fill="EEF2F7" w:val="clear"/>
            <w:tcMar>
              <w:top w:type="dxa" w:w="80"/>
              <w:left w:type="dxa" w:w="100"/>
              <w:bottom w:type="dxa" w:w="80"/>
              <w:right w:type="dxa" w:w="100"/>
            </w:tcMar>
          </w:tcPr>
          <w:p>
            <w:r>
              <w:rPr>
                <w:b w:val="false"/>
                <w:bCs w:val="false"/>
                <w:color w:val="1A1A1A"/>
                <w:sz w:val="19"/>
                <w:szCs w:val="19"/>
              </w:rPr>
              <w:t xml:space="preserve">Cleaning &amp; Normalization Pipeline</w:t>
            </w:r>
          </w:p>
        </w:tc>
      </w:tr>
      <w:tr>
        <w:tc>
          <w:tcPr>
            <w:tcW w:type="dxa" w:w="1700"/>
            <w:tcMar>
              <w:top w:type="dxa" w:w="80"/>
              <w:left w:type="dxa" w:w="100"/>
              <w:bottom w:type="dxa" w:w="80"/>
              <w:right w:type="dxa" w:w="100"/>
            </w:tcMar>
          </w:tcPr>
          <w:p>
            <w:r>
              <w:rPr>
                <w:b w:val="false"/>
                <w:bCs w:val="false"/>
                <w:color w:val="1A1A1A"/>
                <w:sz w:val="19"/>
                <w:szCs w:val="19"/>
              </w:rPr>
              <w:t xml:space="preserve">3 — Analytics</w:t>
            </w:r>
          </w:p>
        </w:tc>
        <w:tc>
          <w:tcPr>
            <w:tcW w:type="dxa" w:w="3600"/>
            <w:tcMar>
              <w:top w:type="dxa" w:w="80"/>
              <w:left w:type="dxa" w:w="100"/>
              <w:bottom w:type="dxa" w:w="80"/>
              <w:right w:type="dxa" w:w="100"/>
            </w:tcMar>
          </w:tcPr>
          <w:p>
            <w:r>
              <w:rPr>
                <w:b w:val="false"/>
                <w:bCs w:val="false"/>
                <w:color w:val="1A1A1A"/>
                <w:sz w:val="19"/>
                <w:szCs w:val="19"/>
              </w:rPr>
              <w:t xml:space="preserve">Compute the index and every derived signal</w:t>
            </w:r>
          </w:p>
        </w:tc>
        <w:tc>
          <w:tcPr>
            <w:tcW w:type="dxa" w:w="4800"/>
            <w:tcMar>
              <w:top w:type="dxa" w:w="80"/>
              <w:left w:type="dxa" w:w="100"/>
              <w:bottom w:type="dxa" w:w="80"/>
              <w:right w:type="dxa" w:w="100"/>
            </w:tcMar>
          </w:tcPr>
          <w:p>
            <w:r>
              <w:rPr>
                <w:b w:val="false"/>
                <w:bCs w:val="false"/>
                <w:color w:val="1A1A1A"/>
                <w:sz w:val="19"/>
                <w:szCs w:val="19"/>
              </w:rPr>
              <w:t xml:space="preserve">APIx Construction, Fuel Regression, T+7 Forecast, Backtest, Stress-Test Harness</w:t>
            </w:r>
          </w:p>
        </w:tc>
      </w:tr>
      <w:tr>
        <w:tc>
          <w:tcPr>
            <w:tcW w:type="dxa" w:w="1700"/>
            <w:shd w:fill="EEF2F7" w:val="clear"/>
            <w:tcMar>
              <w:top w:type="dxa" w:w="80"/>
              <w:left w:type="dxa" w:w="100"/>
              <w:bottom w:type="dxa" w:w="80"/>
              <w:right w:type="dxa" w:w="100"/>
            </w:tcMar>
          </w:tcPr>
          <w:p>
            <w:r>
              <w:rPr>
                <w:b w:val="false"/>
                <w:bCs w:val="false"/>
                <w:color w:val="1A1A1A"/>
                <w:sz w:val="19"/>
                <w:szCs w:val="19"/>
              </w:rPr>
              <w:t xml:space="preserve">4 — Storage</w:t>
            </w:r>
          </w:p>
        </w:tc>
        <w:tc>
          <w:tcPr>
            <w:tcW w:type="dxa" w:w="3600"/>
            <w:shd w:fill="EEF2F7" w:val="clear"/>
            <w:tcMar>
              <w:top w:type="dxa" w:w="80"/>
              <w:left w:type="dxa" w:w="100"/>
              <w:bottom w:type="dxa" w:w="80"/>
              <w:right w:type="dxa" w:w="100"/>
            </w:tcMar>
          </w:tcPr>
          <w:p>
            <w:r>
              <w:rPr>
                <w:b w:val="false"/>
                <w:bCs w:val="false"/>
                <w:color w:val="1A1A1A"/>
                <w:sz w:val="19"/>
                <w:szCs w:val="19"/>
              </w:rPr>
              <w:t xml:space="preserve">Single source of truth for every downstream consumer</w:t>
            </w:r>
          </w:p>
        </w:tc>
        <w:tc>
          <w:tcPr>
            <w:tcW w:type="dxa" w:w="4800"/>
            <w:shd w:fill="EEF2F7" w:val="clear"/>
            <w:tcMar>
              <w:top w:type="dxa" w:w="80"/>
              <w:left w:type="dxa" w:w="100"/>
              <w:bottom w:type="dxa" w:w="80"/>
              <w:right w:type="dxa" w:w="100"/>
            </w:tcMar>
          </w:tcPr>
          <w:p>
            <w:r>
              <w:rPr>
                <w:b w:val="false"/>
                <w:bCs w:val="false"/>
                <w:color w:val="1A1A1A"/>
                <w:sz w:val="19"/>
                <w:szCs w:val="19"/>
              </w:rPr>
              <w:t xml:space="preserve">PostgreSQL + TimescaleDB</w:t>
            </w:r>
          </w:p>
        </w:tc>
      </w:tr>
      <w:tr>
        <w:tc>
          <w:tcPr>
            <w:tcW w:type="dxa" w:w="1700"/>
            <w:tcMar>
              <w:top w:type="dxa" w:w="80"/>
              <w:left w:type="dxa" w:w="100"/>
              <w:bottom w:type="dxa" w:w="80"/>
              <w:right w:type="dxa" w:w="100"/>
            </w:tcMar>
          </w:tcPr>
          <w:p>
            <w:r>
              <w:rPr>
                <w:b w:val="false"/>
                <w:bCs w:val="false"/>
                <w:color w:val="1A1A1A"/>
                <w:sz w:val="19"/>
                <w:szCs w:val="19"/>
              </w:rPr>
              <w:t xml:space="preserve">5 — Intelligence &amp; Delivery</w:t>
            </w:r>
          </w:p>
        </w:tc>
        <w:tc>
          <w:tcPr>
            <w:tcW w:type="dxa" w:w="3600"/>
            <w:tcMar>
              <w:top w:type="dxa" w:w="80"/>
              <w:left w:type="dxa" w:w="100"/>
              <w:bottom w:type="dxa" w:w="80"/>
              <w:right w:type="dxa" w:w="100"/>
            </w:tcMar>
          </w:tcPr>
          <w:p>
            <w:r>
              <w:rPr>
                <w:b w:val="false"/>
                <w:bCs w:val="false"/>
                <w:color w:val="1A1A1A"/>
                <w:sz w:val="19"/>
                <w:szCs w:val="19"/>
              </w:rPr>
              <w:t xml:space="preserve">Make the index consumable</w:t>
            </w:r>
          </w:p>
        </w:tc>
        <w:tc>
          <w:tcPr>
            <w:tcW w:type="dxa" w:w="4800"/>
            <w:tcMar>
              <w:top w:type="dxa" w:w="80"/>
              <w:left w:type="dxa" w:w="100"/>
              <w:bottom w:type="dxa" w:w="80"/>
              <w:right w:type="dxa" w:w="100"/>
            </w:tcMar>
          </w:tcPr>
          <w:p>
            <w:r>
              <w:rPr>
                <w:b w:val="false"/>
                <w:bCs w:val="false"/>
                <w:color w:val="1A1A1A"/>
                <w:sz w:val="19"/>
                <w:szCs w:val="19"/>
              </w:rPr>
              <w:t xml:space="preserve">RAG NL Layer, API, Dashboard, Alert Bot</w:t>
            </w:r>
          </w:p>
        </w:tc>
      </w:tr>
      <w:tr>
        <w:tc>
          <w:tcPr>
            <w:tcW w:type="dxa" w:w="1700"/>
            <w:shd w:fill="EEF2F7" w:val="clear"/>
            <w:tcMar>
              <w:top w:type="dxa" w:w="80"/>
              <w:left w:type="dxa" w:w="100"/>
              <w:bottom w:type="dxa" w:w="80"/>
              <w:right w:type="dxa" w:w="100"/>
            </w:tcMar>
          </w:tcPr>
          <w:p>
            <w:r>
              <w:rPr>
                <w:b w:val="false"/>
                <w:bCs w:val="false"/>
                <w:color w:val="1A1A1A"/>
                <w:sz w:val="19"/>
                <w:szCs w:val="19"/>
              </w:rPr>
              <w:t xml:space="preserve">6 — Orchestration &amp; Policy</w:t>
            </w:r>
          </w:p>
        </w:tc>
        <w:tc>
          <w:tcPr>
            <w:tcW w:type="dxa" w:w="3600"/>
            <w:shd w:fill="EEF2F7" w:val="clear"/>
            <w:tcMar>
              <w:top w:type="dxa" w:w="80"/>
              <w:left w:type="dxa" w:w="100"/>
              <w:bottom w:type="dxa" w:w="80"/>
              <w:right w:type="dxa" w:w="100"/>
            </w:tcMar>
          </w:tcPr>
          <w:p>
            <w:r>
              <w:rPr>
                <w:b w:val="false"/>
                <w:bCs w:val="false"/>
                <w:color w:val="1A1A1A"/>
                <w:sz w:val="19"/>
                <w:szCs w:val="19"/>
              </w:rPr>
              <w:t xml:space="preserve">Keep it running and make it adoptable</w:t>
            </w:r>
          </w:p>
        </w:tc>
        <w:tc>
          <w:tcPr>
            <w:tcW w:type="dxa" w:w="4800"/>
            <w:shd w:fill="EEF2F7" w:val="clear"/>
            <w:tcMar>
              <w:top w:type="dxa" w:w="80"/>
              <w:left w:type="dxa" w:w="100"/>
              <w:bottom w:type="dxa" w:w="80"/>
              <w:right w:type="dxa" w:w="100"/>
            </w:tcMar>
          </w:tcPr>
          <w:p>
            <w:r>
              <w:rPr>
                <w:b w:val="false"/>
                <w:bCs w:val="false"/>
                <w:color w:val="1A1A1A"/>
                <w:sz w:val="19"/>
                <w:szCs w:val="19"/>
              </w:rPr>
              <w:t xml:space="preserve">Daily Scheduler, CPI Substitutability Crosswalk</w:t>
            </w:r>
          </w:p>
        </w:tc>
      </w:tr>
    </w:tbl>
    <w:p>
      <w:pPr>
        <w:pStyle w:val="Heading1"/>
        <w:spacing w:after="160" w:before="320"/>
      </w:pPr>
      <w:r>
        <w:t xml:space="preserve">4. Detailed Component Breakdown</w:t>
      </w:r>
    </w:p>
    <w:p>
      <w:pPr>
        <w:pStyle w:val="Heading2"/>
        <w:spacing w:after="120" w:before="240"/>
      </w:pPr>
      <w:r>
        <w:t xml:space="preserve">4.1 Route &amp; Window Basket</w:t>
      </w:r>
    </w:p>
    <w:p>
      <w:pPr>
        <w:pStyle w:val="ListParagraph"/>
        <w:numPr>
          <w:ilvl w:val="0"/>
          <w:numId w:val="2"/>
        </w:numPr>
        <w:spacing w:after="60" w:line="264"/>
      </w:pPr>
      <w:r>
        <w:t xml:space="preserve">Input: DGCA's public monthly passenger-traffic reports (esankhyiki.mospi.gov.in / DGCA site — publicly downloadable CSV/PDF, no access barrier).</w:t>
      </w:r>
    </w:p>
    <w:p>
      <w:pPr>
        <w:pStyle w:val="ListParagraph"/>
        <w:numPr>
          <w:ilvl w:val="0"/>
          <w:numId w:val="2"/>
        </w:numPr>
        <w:spacing w:after="60" w:line="264"/>
      </w:pPr>
      <w:r>
        <w:t xml:space="preserve">Output: 12–15 representative city-pairs by real traffic share — DEL-BOM, DEL-BLR, BOM-BLR, DEL-CCU, BLR-HYD, MAA-DEL, DEL-PNQ, BOM-GOI, DEL-HYD, CCU-BLR — each carrying an explicit dgca_traffic_weight.</w:t>
      </w:r>
    </w:p>
    <w:p>
      <w:pPr>
        <w:pStyle w:val="ListParagraph"/>
        <w:numPr>
          <w:ilvl w:val="0"/>
          <w:numId w:val="2"/>
        </w:numPr>
        <w:spacing w:after="60" w:line="264"/>
      </w:pPr>
      <w:r>
        <w:t xml:space="preserve">Five advance-purchase windows per route: T+1, T+7, T+15, T+30, T+45.</w:t>
      </w:r>
    </w:p>
    <w:p>
      <w:pPr>
        <w:pStyle w:val="ListParagraph"/>
        <w:numPr>
          <w:ilvl w:val="0"/>
          <w:numId w:val="2"/>
        </w:numPr>
        <w:spacing w:after="60" w:line="264"/>
      </w:pPr>
      <w:r>
        <w:t xml:space="preserve">Scrape frequency: 2–3×/day (not once/day) for T+1 and T+7, since these move fastest — closes the single biggest gap in existing manual and even most automated fare trackers.</w:t>
      </w:r>
    </w:p>
    <w:p>
      <w:pPr>
        <w:pStyle w:val="Heading2"/>
        <w:spacing w:after="120" w:before="240"/>
      </w:pPr>
      <w:r>
        <w:t xml:space="preserve">4.2 External Signal Ingestion</w:t>
      </w:r>
    </w:p>
    <w:p>
      <w:pPr>
        <w:spacing w:after="140" w:line="276"/>
      </w:pPr>
      <w:r>
        <w:t xml:space="preserve">New capability. Not required by the PS text, but required for two other modules (§4.8 and §4.12) to function — without this, both would be unbuildable, so it is listed as core infrastructure, not an optional add-on.</w:t>
      </w:r>
    </w:p>
    <w:p>
      <w:pPr>
        <w:pStyle w:val="ListParagraph"/>
        <w:numPr>
          <w:ilvl w:val="0"/>
          <w:numId w:val="2"/>
        </w:numPr>
        <w:spacing w:after="60" w:line="264"/>
      </w:pPr>
      <w:r>
        <w:t xml:space="preserve">Festival / long-weekend / capacity-event calendar — maintained as a structured table, seeded from public government holiday calendars and airline-published capacity notices.</w:t>
      </w:r>
    </w:p>
    <w:p>
      <w:pPr>
        <w:pStyle w:val="ListParagraph"/>
        <w:numPr>
          <w:ilvl w:val="0"/>
          <w:numId w:val="2"/>
        </w:numPr>
        <w:spacing w:after="60" w:line="264"/>
      </w:pPr>
      <w:r>
        <w:t xml:space="preserve">IOCL Aviation Turbine Fuel (ATF) price notifications — published monthly on IOCL's public site, ingested on release.</w:t>
      </w:r>
    </w:p>
    <w:p>
      <w:pPr>
        <w:pStyle w:val="ListParagraph"/>
        <w:numPr>
          <w:ilvl w:val="0"/>
          <w:numId w:val="2"/>
        </w:numPr>
        <w:spacing w:after="60" w:line="264"/>
      </w:pPr>
      <w:r>
        <w:t xml:space="preserve">Output: one queryable events_and_costs table, timestamped, feeding both the fuel-regression module and the NL explainer.</w:t>
      </w:r>
    </w:p>
    <w:p>
      <w:pPr>
        <w:pStyle w:val="Heading2"/>
        <w:spacing w:after="120" w:before="240"/>
      </w:pPr>
      <w:r>
        <w:t xml:space="preserve">4.3 Scheduled Multi-Source Scraping Engine</w:t>
      </w:r>
    </w:p>
    <w:p>
      <w:pPr>
        <w:spacing w:after="140" w:line="276"/>
      </w:pPr>
      <w:r>
        <w:t xml:space="preserve">Approach: network-interception-first. The engine reads the structured JSON responses each site's own frontend already calls internally, instead of parsing rendered HTML. This is both the ethically cleaner approach and the technically more resilient one — it survives UI redesigns that break DOM-parsing scrapers outright. Full browser rendering (Playwright) is used only as a fallback where no such internal endpoint is exposed.</w:t>
      </w:r>
    </w:p>
    <w:p>
      <w:pPr>
        <w:pStyle w:val="Heading3"/>
        <w:spacing w:after="90" w:before="180"/>
      </w:pPr>
      <w:r>
        <w:t xml:space="preserve">Per-Source Adapter Table (closes the “which sources, how” gap)</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300"/>
        <w:gridCol w:w="2400"/>
      </w:tblGrid>
      <w:tr>
        <w:trPr>
          <w:tblHeader/>
        </w:trPr>
        <w:tc>
          <w:tcPr>
            <w:tcW w:type="dxa" w:w="2400"/>
            <w:shd w:fill="1A3C6E" w:val="clear"/>
            <w:tcMar>
              <w:top w:type="dxa" w:w="80"/>
              <w:left w:type="dxa" w:w="100"/>
              <w:bottom w:type="dxa" w:w="80"/>
              <w:right w:type="dxa" w:w="100"/>
            </w:tcMar>
          </w:tcPr>
          <w:p>
            <w:r>
              <w:rPr>
                <w:b/>
                <w:bCs/>
                <w:color w:val="FFFFFF"/>
                <w:sz w:val="19"/>
                <w:szCs w:val="19"/>
              </w:rPr>
              <w:t xml:space="preserve">Source</w:t>
            </w:r>
          </w:p>
        </w:tc>
        <w:tc>
          <w:tcPr>
            <w:tcW w:type="dxa" w:w="2000"/>
            <w:shd w:fill="1A3C6E" w:val="clear"/>
            <w:tcMar>
              <w:top w:type="dxa" w:w="80"/>
              <w:left w:type="dxa" w:w="100"/>
              <w:bottom w:type="dxa" w:w="80"/>
              <w:right w:type="dxa" w:w="100"/>
            </w:tcMar>
          </w:tcPr>
          <w:p>
            <w:r>
              <w:rPr>
                <w:b/>
                <w:bCs/>
                <w:color w:val="FFFFFF"/>
                <w:sz w:val="19"/>
                <w:szCs w:val="19"/>
              </w:rPr>
              <w:t xml:space="preserve">Type</w:t>
            </w:r>
          </w:p>
        </w:tc>
        <w:tc>
          <w:tcPr>
            <w:tcW w:type="dxa" w:w="3300"/>
            <w:shd w:fill="1A3C6E" w:val="clear"/>
            <w:tcMar>
              <w:top w:type="dxa" w:w="80"/>
              <w:left w:type="dxa" w:w="100"/>
              <w:bottom w:type="dxa" w:w="80"/>
              <w:right w:type="dxa" w:w="100"/>
            </w:tcMar>
          </w:tcPr>
          <w:p>
            <w:r>
              <w:rPr>
                <w:b/>
                <w:bCs/>
                <w:color w:val="FFFFFF"/>
                <w:sz w:val="19"/>
                <w:szCs w:val="19"/>
              </w:rPr>
              <w:t xml:space="preserve">Primary Method</w:t>
            </w:r>
          </w:p>
        </w:tc>
        <w:tc>
          <w:tcPr>
            <w:tcW w:type="dxa" w:w="2400"/>
            <w:shd w:fill="1A3C6E" w:val="clear"/>
            <w:tcMar>
              <w:top w:type="dxa" w:w="80"/>
              <w:left w:type="dxa" w:w="100"/>
              <w:bottom w:type="dxa" w:w="80"/>
              <w:right w:type="dxa" w:w="100"/>
            </w:tcMar>
          </w:tcPr>
          <w:p>
            <w:r>
              <w:rPr>
                <w:b/>
                <w:bCs/>
                <w:color w:val="FFFFFF"/>
                <w:sz w:val="19"/>
                <w:szCs w:val="19"/>
              </w:rPr>
              <w:t xml:space="preserve">Fallback</w:t>
            </w:r>
          </w:p>
        </w:tc>
      </w:tr>
      <w:tr>
        <w:tc>
          <w:tcPr>
            <w:tcW w:type="dxa" w:w="2400"/>
            <w:tcMar>
              <w:top w:type="dxa" w:w="80"/>
              <w:left w:type="dxa" w:w="100"/>
              <w:bottom w:type="dxa" w:w="80"/>
              <w:right w:type="dxa" w:w="100"/>
            </w:tcMar>
          </w:tcPr>
          <w:p>
            <w:r>
              <w:rPr>
                <w:b w:val="false"/>
                <w:bCs w:val="false"/>
                <w:color w:val="1A1A1A"/>
                <w:sz w:val="19"/>
                <w:szCs w:val="19"/>
              </w:rPr>
              <w:t xml:space="preserve">IndiGo</w:t>
            </w:r>
          </w:p>
        </w:tc>
        <w:tc>
          <w:tcPr>
            <w:tcW w:type="dxa" w:w="2000"/>
            <w:tcMar>
              <w:top w:type="dxa" w:w="80"/>
              <w:left w:type="dxa" w:w="100"/>
              <w:bottom w:type="dxa" w:w="80"/>
              <w:right w:type="dxa" w:w="100"/>
            </w:tcMar>
          </w:tcPr>
          <w:p>
            <w:r>
              <w:rPr>
                <w:b w:val="false"/>
                <w:bCs w:val="false"/>
                <w:color w:val="1A1A1A"/>
                <w:sz w:val="19"/>
                <w:szCs w:val="19"/>
              </w:rPr>
              <w:t xml:space="preserve">Airline direct</w:t>
            </w:r>
          </w:p>
        </w:tc>
        <w:tc>
          <w:tcPr>
            <w:tcW w:type="dxa" w:w="3300"/>
            <w:tcMar>
              <w:top w:type="dxa" w:w="80"/>
              <w:left w:type="dxa" w:w="100"/>
              <w:bottom w:type="dxa" w:w="80"/>
              <w:right w:type="dxa" w:w="100"/>
            </w:tcMar>
          </w:tcPr>
          <w:p>
            <w:r>
              <w:rPr>
                <w:b w:val="false"/>
                <w:bCs w:val="false"/>
                <w:color w:val="1A1A1A"/>
                <w:sz w:val="19"/>
                <w:szCs w:val="19"/>
              </w:rPr>
              <w:t xml:space="preserve">Network interception (fare-search XHR/JSON)</w:t>
            </w:r>
          </w:p>
        </w:tc>
        <w:tc>
          <w:tcPr>
            <w:tcW w:type="dxa" w:w="2400"/>
            <w:tcMar>
              <w:top w:type="dxa" w:w="80"/>
              <w:left w:type="dxa" w:w="100"/>
              <w:bottom w:type="dxa" w:w="80"/>
              <w:right w:type="dxa" w:w="100"/>
            </w:tcMar>
          </w:tcPr>
          <w:p>
            <w:r>
              <w:rPr>
                <w:b w:val="false"/>
                <w:bCs w:val="false"/>
                <w:color w:val="1A1A1A"/>
                <w:sz w:val="19"/>
                <w:szCs w:val="19"/>
              </w:rPr>
              <w:t xml:space="preserve">Playwright full render</w:t>
            </w:r>
          </w:p>
        </w:tc>
      </w:tr>
      <w:tr>
        <w:tc>
          <w:tcPr>
            <w:tcW w:type="dxa" w:w="2400"/>
            <w:shd w:fill="EEF2F7" w:val="clear"/>
            <w:tcMar>
              <w:top w:type="dxa" w:w="80"/>
              <w:left w:type="dxa" w:w="100"/>
              <w:bottom w:type="dxa" w:w="80"/>
              <w:right w:type="dxa" w:w="100"/>
            </w:tcMar>
          </w:tcPr>
          <w:p>
            <w:r>
              <w:rPr>
                <w:b w:val="false"/>
                <w:bCs w:val="false"/>
                <w:color w:val="1A1A1A"/>
                <w:sz w:val="19"/>
                <w:szCs w:val="19"/>
              </w:rPr>
              <w:t xml:space="preserve">Air India</w:t>
            </w:r>
          </w:p>
        </w:tc>
        <w:tc>
          <w:tcPr>
            <w:tcW w:type="dxa" w:w="2000"/>
            <w:shd w:fill="EEF2F7" w:val="clear"/>
            <w:tcMar>
              <w:top w:type="dxa" w:w="80"/>
              <w:left w:type="dxa" w:w="100"/>
              <w:bottom w:type="dxa" w:w="80"/>
              <w:right w:type="dxa" w:w="100"/>
            </w:tcMar>
          </w:tcPr>
          <w:p>
            <w:r>
              <w:rPr>
                <w:b w:val="false"/>
                <w:bCs w:val="false"/>
                <w:color w:val="1A1A1A"/>
                <w:sz w:val="19"/>
                <w:szCs w:val="19"/>
              </w:rPr>
              <w:t xml:space="preserve">Airline direct</w:t>
            </w:r>
          </w:p>
        </w:tc>
        <w:tc>
          <w:tcPr>
            <w:tcW w:type="dxa" w:w="3300"/>
            <w:shd w:fill="EEF2F7" w:val="clear"/>
            <w:tcMar>
              <w:top w:type="dxa" w:w="80"/>
              <w:left w:type="dxa" w:w="100"/>
              <w:bottom w:type="dxa" w:w="80"/>
              <w:right w:type="dxa" w:w="100"/>
            </w:tcMar>
          </w:tcPr>
          <w:p>
            <w:r>
              <w:rPr>
                <w:b w:val="false"/>
                <w:bCs w:val="false"/>
                <w:color w:val="1A1A1A"/>
                <w:sz w:val="19"/>
                <w:szCs w:val="19"/>
              </w:rPr>
              <w:t xml:space="preserve">Network interception</w:t>
            </w:r>
          </w:p>
        </w:tc>
        <w:tc>
          <w:tcPr>
            <w:tcW w:type="dxa" w:w="2400"/>
            <w:shd w:fill="EEF2F7" w:val="clear"/>
            <w:tcMar>
              <w:top w:type="dxa" w:w="80"/>
              <w:left w:type="dxa" w:w="100"/>
              <w:bottom w:type="dxa" w:w="80"/>
              <w:right w:type="dxa" w:w="100"/>
            </w:tcMar>
          </w:tcPr>
          <w:p>
            <w:r>
              <w:rPr>
                <w:b w:val="false"/>
                <w:bCs w:val="false"/>
                <w:color w:val="1A1A1A"/>
                <w:sz w:val="19"/>
                <w:szCs w:val="19"/>
              </w:rPr>
              <w:t xml:space="preserve">Playwright full render</w:t>
            </w:r>
          </w:p>
        </w:tc>
      </w:tr>
      <w:tr>
        <w:tc>
          <w:tcPr>
            <w:tcW w:type="dxa" w:w="2400"/>
            <w:tcMar>
              <w:top w:type="dxa" w:w="80"/>
              <w:left w:type="dxa" w:w="100"/>
              <w:bottom w:type="dxa" w:w="80"/>
              <w:right w:type="dxa" w:w="100"/>
            </w:tcMar>
          </w:tcPr>
          <w:p>
            <w:r>
              <w:rPr>
                <w:b w:val="false"/>
                <w:bCs w:val="false"/>
                <w:color w:val="1A1A1A"/>
                <w:sz w:val="19"/>
                <w:szCs w:val="19"/>
              </w:rPr>
              <w:t xml:space="preserve">Air India Express</w:t>
            </w:r>
          </w:p>
        </w:tc>
        <w:tc>
          <w:tcPr>
            <w:tcW w:type="dxa" w:w="2000"/>
            <w:tcMar>
              <w:top w:type="dxa" w:w="80"/>
              <w:left w:type="dxa" w:w="100"/>
              <w:bottom w:type="dxa" w:w="80"/>
              <w:right w:type="dxa" w:w="100"/>
            </w:tcMar>
          </w:tcPr>
          <w:p>
            <w:r>
              <w:rPr>
                <w:b w:val="false"/>
                <w:bCs w:val="false"/>
                <w:color w:val="1A1A1A"/>
                <w:sz w:val="19"/>
                <w:szCs w:val="19"/>
              </w:rPr>
              <w:t xml:space="preserve">Airline direct (subsidiary)</w:t>
            </w:r>
          </w:p>
        </w:tc>
        <w:tc>
          <w:tcPr>
            <w:tcW w:type="dxa" w:w="3300"/>
            <w:tcMar>
              <w:top w:type="dxa" w:w="80"/>
              <w:left w:type="dxa" w:w="100"/>
              <w:bottom w:type="dxa" w:w="80"/>
              <w:right w:type="dxa" w:w="100"/>
            </w:tcMar>
          </w:tcPr>
          <w:p>
            <w:r>
              <w:rPr>
                <w:b w:val="false"/>
                <w:bCs w:val="false"/>
                <w:color w:val="1A1A1A"/>
                <w:sz w:val="19"/>
                <w:szCs w:val="19"/>
              </w:rPr>
              <w:t xml:space="preserve">Network interception; normalized under Air India carrier ID</w:t>
            </w:r>
          </w:p>
        </w:tc>
        <w:tc>
          <w:tcPr>
            <w:tcW w:type="dxa" w:w="2400"/>
            <w:tcMar>
              <w:top w:type="dxa" w:w="80"/>
              <w:left w:type="dxa" w:w="100"/>
              <w:bottom w:type="dxa" w:w="80"/>
              <w:right w:type="dxa" w:w="100"/>
            </w:tcMar>
          </w:tcPr>
          <w:p>
            <w:r>
              <w:rPr>
                <w:b w:val="false"/>
                <w:bCs w:val="false"/>
                <w:color w:val="1A1A1A"/>
                <w:sz w:val="19"/>
                <w:szCs w:val="19"/>
              </w:rPr>
              <w:t xml:space="preserve">Playwright full render</w:t>
            </w:r>
          </w:p>
        </w:tc>
      </w:tr>
      <w:tr>
        <w:tc>
          <w:tcPr>
            <w:tcW w:type="dxa" w:w="2400"/>
            <w:shd w:fill="EEF2F7" w:val="clear"/>
            <w:tcMar>
              <w:top w:type="dxa" w:w="80"/>
              <w:left w:type="dxa" w:w="100"/>
              <w:bottom w:type="dxa" w:w="80"/>
              <w:right w:type="dxa" w:w="100"/>
            </w:tcMar>
          </w:tcPr>
          <w:p>
            <w:r>
              <w:rPr>
                <w:b w:val="false"/>
                <w:bCs w:val="false"/>
                <w:color w:val="1A1A1A"/>
                <w:sz w:val="19"/>
                <w:szCs w:val="19"/>
              </w:rPr>
              <w:t xml:space="preserve">Akasa Air</w:t>
            </w:r>
          </w:p>
        </w:tc>
        <w:tc>
          <w:tcPr>
            <w:tcW w:type="dxa" w:w="2000"/>
            <w:shd w:fill="EEF2F7" w:val="clear"/>
            <w:tcMar>
              <w:top w:type="dxa" w:w="80"/>
              <w:left w:type="dxa" w:w="100"/>
              <w:bottom w:type="dxa" w:w="80"/>
              <w:right w:type="dxa" w:w="100"/>
            </w:tcMar>
          </w:tcPr>
          <w:p>
            <w:r>
              <w:rPr>
                <w:b w:val="false"/>
                <w:bCs w:val="false"/>
                <w:color w:val="1A1A1A"/>
                <w:sz w:val="19"/>
                <w:szCs w:val="19"/>
              </w:rPr>
              <w:t xml:space="preserve">Airline direct</w:t>
            </w:r>
          </w:p>
        </w:tc>
        <w:tc>
          <w:tcPr>
            <w:tcW w:type="dxa" w:w="3300"/>
            <w:shd w:fill="EEF2F7" w:val="clear"/>
            <w:tcMar>
              <w:top w:type="dxa" w:w="80"/>
              <w:left w:type="dxa" w:w="100"/>
              <w:bottom w:type="dxa" w:w="80"/>
              <w:right w:type="dxa" w:w="100"/>
            </w:tcMar>
          </w:tcPr>
          <w:p>
            <w:r>
              <w:rPr>
                <w:b w:val="false"/>
                <w:bCs w:val="false"/>
                <w:color w:val="1A1A1A"/>
                <w:sz w:val="19"/>
                <w:szCs w:val="19"/>
              </w:rPr>
              <w:t xml:space="preserve">Network interception</w:t>
            </w:r>
          </w:p>
        </w:tc>
        <w:tc>
          <w:tcPr>
            <w:tcW w:type="dxa" w:w="2400"/>
            <w:shd w:fill="EEF2F7" w:val="clear"/>
            <w:tcMar>
              <w:top w:type="dxa" w:w="80"/>
              <w:left w:type="dxa" w:w="100"/>
              <w:bottom w:type="dxa" w:w="80"/>
              <w:right w:type="dxa" w:w="100"/>
            </w:tcMar>
          </w:tcPr>
          <w:p>
            <w:r>
              <w:rPr>
                <w:b w:val="false"/>
                <w:bCs w:val="false"/>
                <w:color w:val="1A1A1A"/>
                <w:sz w:val="19"/>
                <w:szCs w:val="19"/>
              </w:rPr>
              <w:t xml:space="preserve">Playwright full render</w:t>
            </w:r>
          </w:p>
        </w:tc>
      </w:tr>
      <w:tr>
        <w:tc>
          <w:tcPr>
            <w:tcW w:type="dxa" w:w="2400"/>
            <w:tcMar>
              <w:top w:type="dxa" w:w="80"/>
              <w:left w:type="dxa" w:w="100"/>
              <w:bottom w:type="dxa" w:w="80"/>
              <w:right w:type="dxa" w:w="100"/>
            </w:tcMar>
          </w:tcPr>
          <w:p>
            <w:r>
              <w:rPr>
                <w:b w:val="false"/>
                <w:bCs w:val="false"/>
                <w:color w:val="1A1A1A"/>
                <w:sz w:val="19"/>
                <w:szCs w:val="19"/>
              </w:rPr>
              <w:t xml:space="preserve">SpiceJet</w:t>
            </w:r>
          </w:p>
        </w:tc>
        <w:tc>
          <w:tcPr>
            <w:tcW w:type="dxa" w:w="2000"/>
            <w:tcMar>
              <w:top w:type="dxa" w:w="80"/>
              <w:left w:type="dxa" w:w="100"/>
              <w:bottom w:type="dxa" w:w="80"/>
              <w:right w:type="dxa" w:w="100"/>
            </w:tcMar>
          </w:tcPr>
          <w:p>
            <w:r>
              <w:rPr>
                <w:b w:val="false"/>
                <w:bCs w:val="false"/>
                <w:color w:val="1A1A1A"/>
                <w:sz w:val="19"/>
                <w:szCs w:val="19"/>
              </w:rPr>
              <w:t xml:space="preserve">Airline direct</w:t>
            </w:r>
          </w:p>
        </w:tc>
        <w:tc>
          <w:tcPr>
            <w:tcW w:type="dxa" w:w="3300"/>
            <w:tcMar>
              <w:top w:type="dxa" w:w="80"/>
              <w:left w:type="dxa" w:w="100"/>
              <w:bottom w:type="dxa" w:w="80"/>
              <w:right w:type="dxa" w:w="100"/>
            </w:tcMar>
          </w:tcPr>
          <w:p>
            <w:r>
              <w:rPr>
                <w:b w:val="false"/>
                <w:bCs w:val="false"/>
                <w:color w:val="1A1A1A"/>
                <w:sz w:val="19"/>
                <w:szCs w:val="19"/>
              </w:rPr>
              <w:t xml:space="preserve">Network interception</w:t>
            </w:r>
          </w:p>
        </w:tc>
        <w:tc>
          <w:tcPr>
            <w:tcW w:type="dxa" w:w="2400"/>
            <w:tcMar>
              <w:top w:type="dxa" w:w="80"/>
              <w:left w:type="dxa" w:w="100"/>
              <w:bottom w:type="dxa" w:w="80"/>
              <w:right w:type="dxa" w:w="100"/>
            </w:tcMar>
          </w:tcPr>
          <w:p>
            <w:r>
              <w:rPr>
                <w:b w:val="false"/>
                <w:bCs w:val="false"/>
                <w:color w:val="1A1A1A"/>
                <w:sz w:val="19"/>
                <w:szCs w:val="19"/>
              </w:rPr>
              <w:t xml:space="preserve">Playwright full render</w:t>
            </w:r>
          </w:p>
        </w:tc>
      </w:tr>
      <w:tr>
        <w:tc>
          <w:tcPr>
            <w:tcW w:type="dxa" w:w="2400"/>
            <w:shd w:fill="EEF2F7" w:val="clear"/>
            <w:tcMar>
              <w:top w:type="dxa" w:w="80"/>
              <w:left w:type="dxa" w:w="100"/>
              <w:bottom w:type="dxa" w:w="80"/>
              <w:right w:type="dxa" w:w="100"/>
            </w:tcMar>
          </w:tcPr>
          <w:p>
            <w:r>
              <w:rPr>
                <w:b w:val="false"/>
                <w:bCs w:val="false"/>
                <w:color w:val="1A1A1A"/>
                <w:sz w:val="19"/>
                <w:szCs w:val="19"/>
              </w:rPr>
              <w:t xml:space="preserve">MakeMyTrip</w:t>
            </w:r>
          </w:p>
        </w:tc>
        <w:tc>
          <w:tcPr>
            <w:tcW w:type="dxa" w:w="2000"/>
            <w:shd w:fill="EEF2F7" w:val="clear"/>
            <w:tcMar>
              <w:top w:type="dxa" w:w="80"/>
              <w:left w:type="dxa" w:w="100"/>
              <w:bottom w:type="dxa" w:w="80"/>
              <w:right w:type="dxa" w:w="100"/>
            </w:tcMar>
          </w:tcPr>
          <w:p>
            <w:r>
              <w:rPr>
                <w:b w:val="false"/>
                <w:bCs w:val="false"/>
                <w:color w:val="1A1A1A"/>
                <w:sz w:val="19"/>
                <w:szCs w:val="19"/>
              </w:rPr>
              <w:t xml:space="preserve">OTA</w:t>
            </w:r>
          </w:p>
        </w:tc>
        <w:tc>
          <w:tcPr>
            <w:tcW w:type="dxa" w:w="3300"/>
            <w:shd w:fill="EEF2F7" w:val="clear"/>
            <w:tcMar>
              <w:top w:type="dxa" w:w="80"/>
              <w:left w:type="dxa" w:w="100"/>
              <w:bottom w:type="dxa" w:w="80"/>
              <w:right w:type="dxa" w:w="100"/>
            </w:tcMar>
          </w:tcPr>
          <w:p>
            <w:r>
              <w:rPr>
                <w:b w:val="false"/>
                <w:bCs w:val="false"/>
                <w:color w:val="1A1A1A"/>
                <w:sz w:val="19"/>
                <w:szCs w:val="19"/>
              </w:rPr>
              <w:t xml:space="preserve">Network interception</w:t>
            </w:r>
          </w:p>
        </w:tc>
        <w:tc>
          <w:tcPr>
            <w:tcW w:type="dxa" w:w="2400"/>
            <w:shd w:fill="EEF2F7" w:val="clear"/>
            <w:tcMar>
              <w:top w:type="dxa" w:w="80"/>
              <w:left w:type="dxa" w:w="100"/>
              <w:bottom w:type="dxa" w:w="80"/>
              <w:right w:type="dxa" w:w="100"/>
            </w:tcMar>
          </w:tcPr>
          <w:p>
            <w:r>
              <w:rPr>
                <w:b w:val="false"/>
                <w:bCs w:val="false"/>
                <w:color w:val="1A1A1A"/>
                <w:sz w:val="19"/>
                <w:szCs w:val="19"/>
              </w:rPr>
              <w:t xml:space="preserve">Playwright full render</w:t>
            </w:r>
          </w:p>
        </w:tc>
      </w:tr>
      <w:tr>
        <w:tc>
          <w:tcPr>
            <w:tcW w:type="dxa" w:w="2400"/>
            <w:tcMar>
              <w:top w:type="dxa" w:w="80"/>
              <w:left w:type="dxa" w:w="100"/>
              <w:bottom w:type="dxa" w:w="80"/>
              <w:right w:type="dxa" w:w="100"/>
            </w:tcMar>
          </w:tcPr>
          <w:p>
            <w:r>
              <w:rPr>
                <w:b w:val="false"/>
                <w:bCs w:val="false"/>
                <w:color w:val="1A1A1A"/>
                <w:sz w:val="19"/>
                <w:szCs w:val="19"/>
              </w:rPr>
              <w:t xml:space="preserve">Yatra</w:t>
            </w:r>
          </w:p>
        </w:tc>
        <w:tc>
          <w:tcPr>
            <w:tcW w:type="dxa" w:w="2000"/>
            <w:tcMar>
              <w:top w:type="dxa" w:w="80"/>
              <w:left w:type="dxa" w:w="100"/>
              <w:bottom w:type="dxa" w:w="80"/>
              <w:right w:type="dxa" w:w="100"/>
            </w:tcMar>
          </w:tcPr>
          <w:p>
            <w:r>
              <w:rPr>
                <w:b w:val="false"/>
                <w:bCs w:val="false"/>
                <w:color w:val="1A1A1A"/>
                <w:sz w:val="19"/>
                <w:szCs w:val="19"/>
              </w:rPr>
              <w:t xml:space="preserve">OTA</w:t>
            </w:r>
          </w:p>
        </w:tc>
        <w:tc>
          <w:tcPr>
            <w:tcW w:type="dxa" w:w="3300"/>
            <w:tcMar>
              <w:top w:type="dxa" w:w="80"/>
              <w:left w:type="dxa" w:w="100"/>
              <w:bottom w:type="dxa" w:w="80"/>
              <w:right w:type="dxa" w:w="100"/>
            </w:tcMar>
          </w:tcPr>
          <w:p>
            <w:r>
              <w:rPr>
                <w:b w:val="false"/>
                <w:bCs w:val="false"/>
                <w:color w:val="1A1A1A"/>
                <w:sz w:val="19"/>
                <w:szCs w:val="19"/>
              </w:rPr>
              <w:t xml:space="preserve">Network interception</w:t>
            </w:r>
          </w:p>
        </w:tc>
        <w:tc>
          <w:tcPr>
            <w:tcW w:type="dxa" w:w="2400"/>
            <w:tcMar>
              <w:top w:type="dxa" w:w="80"/>
              <w:left w:type="dxa" w:w="100"/>
              <w:bottom w:type="dxa" w:w="80"/>
              <w:right w:type="dxa" w:w="100"/>
            </w:tcMar>
          </w:tcPr>
          <w:p>
            <w:r>
              <w:rPr>
                <w:b w:val="false"/>
                <w:bCs w:val="false"/>
                <w:color w:val="1A1A1A"/>
                <w:sz w:val="19"/>
                <w:szCs w:val="19"/>
              </w:rPr>
              <w:t xml:space="preserve">Playwright full render</w:t>
            </w:r>
          </w:p>
        </w:tc>
      </w:tr>
      <w:tr>
        <w:tc>
          <w:tcPr>
            <w:tcW w:type="dxa" w:w="2400"/>
            <w:shd w:fill="EEF2F7" w:val="clear"/>
            <w:tcMar>
              <w:top w:type="dxa" w:w="80"/>
              <w:left w:type="dxa" w:w="100"/>
              <w:bottom w:type="dxa" w:w="80"/>
              <w:right w:type="dxa" w:w="100"/>
            </w:tcMar>
          </w:tcPr>
          <w:p>
            <w:r>
              <w:rPr>
                <w:b w:val="false"/>
                <w:bCs w:val="false"/>
                <w:color w:val="1A1A1A"/>
                <w:sz w:val="19"/>
                <w:szCs w:val="19"/>
              </w:rPr>
              <w:t xml:space="preserve">EaseMyTrip</w:t>
            </w:r>
          </w:p>
        </w:tc>
        <w:tc>
          <w:tcPr>
            <w:tcW w:type="dxa" w:w="2000"/>
            <w:shd w:fill="EEF2F7" w:val="clear"/>
            <w:tcMar>
              <w:top w:type="dxa" w:w="80"/>
              <w:left w:type="dxa" w:w="100"/>
              <w:bottom w:type="dxa" w:w="80"/>
              <w:right w:type="dxa" w:w="100"/>
            </w:tcMar>
          </w:tcPr>
          <w:p>
            <w:r>
              <w:rPr>
                <w:b w:val="false"/>
                <w:bCs w:val="false"/>
                <w:color w:val="1A1A1A"/>
                <w:sz w:val="19"/>
                <w:szCs w:val="19"/>
              </w:rPr>
              <w:t xml:space="preserve">OTA</w:t>
            </w:r>
          </w:p>
        </w:tc>
        <w:tc>
          <w:tcPr>
            <w:tcW w:type="dxa" w:w="3300"/>
            <w:shd w:fill="EEF2F7" w:val="clear"/>
            <w:tcMar>
              <w:top w:type="dxa" w:w="80"/>
              <w:left w:type="dxa" w:w="100"/>
              <w:bottom w:type="dxa" w:w="80"/>
              <w:right w:type="dxa" w:w="100"/>
            </w:tcMar>
          </w:tcPr>
          <w:p>
            <w:r>
              <w:rPr>
                <w:b w:val="false"/>
                <w:bCs w:val="false"/>
                <w:color w:val="1A1A1A"/>
                <w:sz w:val="19"/>
                <w:szCs w:val="19"/>
              </w:rPr>
              <w:t xml:space="preserve">Network interception</w:t>
            </w:r>
          </w:p>
        </w:tc>
        <w:tc>
          <w:tcPr>
            <w:tcW w:type="dxa" w:w="2400"/>
            <w:shd w:fill="EEF2F7" w:val="clear"/>
            <w:tcMar>
              <w:top w:type="dxa" w:w="80"/>
              <w:left w:type="dxa" w:w="100"/>
              <w:bottom w:type="dxa" w:w="80"/>
              <w:right w:type="dxa" w:w="100"/>
            </w:tcMar>
          </w:tcPr>
          <w:p>
            <w:r>
              <w:rPr>
                <w:b w:val="false"/>
                <w:bCs w:val="false"/>
                <w:color w:val="1A1A1A"/>
                <w:sz w:val="19"/>
                <w:szCs w:val="19"/>
              </w:rPr>
              <w:t xml:space="preserve">Playwright full render</w:t>
            </w:r>
          </w:p>
        </w:tc>
      </w:tr>
      <w:tr>
        <w:tc>
          <w:tcPr>
            <w:tcW w:type="dxa" w:w="2400"/>
            <w:tcMar>
              <w:top w:type="dxa" w:w="80"/>
              <w:left w:type="dxa" w:w="100"/>
              <w:bottom w:type="dxa" w:w="80"/>
              <w:right w:type="dxa" w:w="100"/>
            </w:tcMar>
          </w:tcPr>
          <w:p>
            <w:r>
              <w:rPr>
                <w:b w:val="false"/>
                <w:bCs w:val="false"/>
                <w:color w:val="1A1A1A"/>
                <w:sz w:val="19"/>
                <w:szCs w:val="19"/>
              </w:rPr>
              <w:t xml:space="preserve">Cleartrip</w:t>
            </w:r>
          </w:p>
        </w:tc>
        <w:tc>
          <w:tcPr>
            <w:tcW w:type="dxa" w:w="2000"/>
            <w:tcMar>
              <w:top w:type="dxa" w:w="80"/>
              <w:left w:type="dxa" w:w="100"/>
              <w:bottom w:type="dxa" w:w="80"/>
              <w:right w:type="dxa" w:w="100"/>
            </w:tcMar>
          </w:tcPr>
          <w:p>
            <w:r>
              <w:rPr>
                <w:b w:val="false"/>
                <w:bCs w:val="false"/>
                <w:color w:val="1A1A1A"/>
                <w:sz w:val="19"/>
                <w:szCs w:val="19"/>
              </w:rPr>
              <w:t xml:space="preserve">OTA</w:t>
            </w:r>
          </w:p>
        </w:tc>
        <w:tc>
          <w:tcPr>
            <w:tcW w:type="dxa" w:w="3300"/>
            <w:tcMar>
              <w:top w:type="dxa" w:w="80"/>
              <w:left w:type="dxa" w:w="100"/>
              <w:bottom w:type="dxa" w:w="80"/>
              <w:right w:type="dxa" w:w="100"/>
            </w:tcMar>
          </w:tcPr>
          <w:p>
            <w:r>
              <w:rPr>
                <w:b w:val="false"/>
                <w:bCs w:val="false"/>
                <w:color w:val="1A1A1A"/>
                <w:sz w:val="19"/>
                <w:szCs w:val="19"/>
              </w:rPr>
              <w:t xml:space="preserve">Network interception</w:t>
            </w:r>
          </w:p>
        </w:tc>
        <w:tc>
          <w:tcPr>
            <w:tcW w:type="dxa" w:w="2400"/>
            <w:tcMar>
              <w:top w:type="dxa" w:w="80"/>
              <w:left w:type="dxa" w:w="100"/>
              <w:bottom w:type="dxa" w:w="80"/>
              <w:right w:type="dxa" w:w="100"/>
            </w:tcMar>
          </w:tcPr>
          <w:p>
            <w:r>
              <w:rPr>
                <w:b w:val="false"/>
                <w:bCs w:val="false"/>
                <w:color w:val="1A1A1A"/>
                <w:sz w:val="19"/>
                <w:szCs w:val="19"/>
              </w:rPr>
              <w:t xml:space="preserve">Playwright full render</w:t>
            </w:r>
          </w:p>
        </w:tc>
      </w:tr>
      <w:tr>
        <w:tc>
          <w:tcPr>
            <w:tcW w:type="dxa" w:w="2400"/>
            <w:shd w:fill="EEF2F7" w:val="clear"/>
            <w:tcMar>
              <w:top w:type="dxa" w:w="80"/>
              <w:left w:type="dxa" w:w="100"/>
              <w:bottom w:type="dxa" w:w="80"/>
              <w:right w:type="dxa" w:w="100"/>
            </w:tcMar>
          </w:tcPr>
          <w:p>
            <w:r>
              <w:rPr>
                <w:b w:val="false"/>
                <w:bCs w:val="false"/>
                <w:color w:val="1A1A1A"/>
                <w:sz w:val="19"/>
                <w:szCs w:val="19"/>
              </w:rPr>
              <w:t xml:space="preserve">Ixigo</w:t>
            </w:r>
          </w:p>
        </w:tc>
        <w:tc>
          <w:tcPr>
            <w:tcW w:type="dxa" w:w="2000"/>
            <w:shd w:fill="EEF2F7" w:val="clear"/>
            <w:tcMar>
              <w:top w:type="dxa" w:w="80"/>
              <w:left w:type="dxa" w:w="100"/>
              <w:bottom w:type="dxa" w:w="80"/>
              <w:right w:type="dxa" w:w="100"/>
            </w:tcMar>
          </w:tcPr>
          <w:p>
            <w:r>
              <w:rPr>
                <w:b w:val="false"/>
                <w:bCs w:val="false"/>
                <w:color w:val="1A1A1A"/>
                <w:sz w:val="19"/>
                <w:szCs w:val="19"/>
              </w:rPr>
              <w:t xml:space="preserve">OTA</w:t>
            </w:r>
          </w:p>
        </w:tc>
        <w:tc>
          <w:tcPr>
            <w:tcW w:type="dxa" w:w="3300"/>
            <w:shd w:fill="EEF2F7" w:val="clear"/>
            <w:tcMar>
              <w:top w:type="dxa" w:w="80"/>
              <w:left w:type="dxa" w:w="100"/>
              <w:bottom w:type="dxa" w:w="80"/>
              <w:right w:type="dxa" w:w="100"/>
            </w:tcMar>
          </w:tcPr>
          <w:p>
            <w:r>
              <w:rPr>
                <w:b w:val="false"/>
                <w:bCs w:val="false"/>
                <w:color w:val="1A1A1A"/>
                <w:sz w:val="19"/>
                <w:szCs w:val="19"/>
              </w:rPr>
              <w:t xml:space="preserve">Network interception</w:t>
            </w:r>
          </w:p>
        </w:tc>
        <w:tc>
          <w:tcPr>
            <w:tcW w:type="dxa" w:w="2400"/>
            <w:shd w:fill="EEF2F7" w:val="clear"/>
            <w:tcMar>
              <w:top w:type="dxa" w:w="80"/>
              <w:left w:type="dxa" w:w="100"/>
              <w:bottom w:type="dxa" w:w="80"/>
              <w:right w:type="dxa" w:w="100"/>
            </w:tcMar>
          </w:tcPr>
          <w:p>
            <w:r>
              <w:rPr>
                <w:b w:val="false"/>
                <w:bCs w:val="false"/>
                <w:color w:val="1A1A1A"/>
                <w:sz w:val="19"/>
                <w:szCs w:val="19"/>
              </w:rPr>
              <w:t xml:space="preserve">Playwright full render</w:t>
            </w:r>
          </w:p>
        </w:tc>
      </w:tr>
      <w:tr>
        <w:tc>
          <w:tcPr>
            <w:tcW w:type="dxa" w:w="2400"/>
            <w:tcMar>
              <w:top w:type="dxa" w:w="80"/>
              <w:left w:type="dxa" w:w="100"/>
              <w:bottom w:type="dxa" w:w="80"/>
              <w:right w:type="dxa" w:w="100"/>
            </w:tcMar>
          </w:tcPr>
          <w:p>
            <w:r>
              <w:rPr>
                <w:b w:val="false"/>
                <w:bCs w:val="false"/>
                <w:color w:val="1A1A1A"/>
                <w:sz w:val="19"/>
                <w:szCs w:val="19"/>
              </w:rPr>
              <w:t xml:space="preserve">Goibibo</w:t>
            </w:r>
          </w:p>
        </w:tc>
        <w:tc>
          <w:tcPr>
            <w:tcW w:type="dxa" w:w="2000"/>
            <w:tcMar>
              <w:top w:type="dxa" w:w="80"/>
              <w:left w:type="dxa" w:w="100"/>
              <w:bottom w:type="dxa" w:w="80"/>
              <w:right w:type="dxa" w:w="100"/>
            </w:tcMar>
          </w:tcPr>
          <w:p>
            <w:r>
              <w:rPr>
                <w:b w:val="false"/>
                <w:bCs w:val="false"/>
                <w:color w:val="1A1A1A"/>
                <w:sz w:val="19"/>
                <w:szCs w:val="19"/>
              </w:rPr>
              <w:t xml:space="preserve">OTA</w:t>
            </w:r>
          </w:p>
        </w:tc>
        <w:tc>
          <w:tcPr>
            <w:tcW w:type="dxa" w:w="3300"/>
            <w:tcMar>
              <w:top w:type="dxa" w:w="80"/>
              <w:left w:type="dxa" w:w="100"/>
              <w:bottom w:type="dxa" w:w="80"/>
              <w:right w:type="dxa" w:w="100"/>
            </w:tcMar>
          </w:tcPr>
          <w:p>
            <w:r>
              <w:rPr>
                <w:b w:val="false"/>
                <w:bCs w:val="false"/>
                <w:color w:val="1A1A1A"/>
                <w:sz w:val="19"/>
                <w:szCs w:val="19"/>
              </w:rPr>
              <w:t xml:space="preserve">Network interception</w:t>
            </w:r>
          </w:p>
        </w:tc>
        <w:tc>
          <w:tcPr>
            <w:tcW w:type="dxa" w:w="2400"/>
            <w:tcMar>
              <w:top w:type="dxa" w:w="80"/>
              <w:left w:type="dxa" w:w="100"/>
              <w:bottom w:type="dxa" w:w="80"/>
              <w:right w:type="dxa" w:w="100"/>
            </w:tcMar>
          </w:tcPr>
          <w:p>
            <w:r>
              <w:rPr>
                <w:b w:val="false"/>
                <w:bCs w:val="false"/>
                <w:color w:val="1A1A1A"/>
                <w:sz w:val="19"/>
                <w:szCs w:val="19"/>
              </w:rPr>
              <w:t xml:space="preserve">Playwright full render</w:t>
            </w:r>
          </w:p>
        </w:tc>
      </w:tr>
    </w:tbl>
    <w:p>
      <w:pPr>
        <w:spacing w:after="140" w:line="276"/>
      </w:pPr>
      <w:r>
        <w:t xml:space="preserve">Each row is implemented behind a common SourceAdapter interface, so adding or retiring a source is a config change, not a pipeline rewrite. Where a source later exposes an official partner/affiliate API (several OTAs do), the adapter switches to that automatically — scraping is deliberately the fallback path, not the only path.</w:t>
      </w:r>
    </w:p>
    <w:p>
      <w:pPr>
        <w:pStyle w:val="ListParagraph"/>
        <w:numPr>
          <w:ilvl w:val="0"/>
          <w:numId w:val="2"/>
        </w:numPr>
        <w:spacing w:after="60" w:line="264"/>
      </w:pPr>
      <w:r>
        <w:t xml:space="preserve">Concurrency: Playwright browser contexts (not full new browser instances) pooled and horizontally scaled via Celery + Redis.</w:t>
      </w:r>
    </w:p>
    <w:p>
      <w:pPr>
        <w:pStyle w:val="ListParagraph"/>
        <w:numPr>
          <w:ilvl w:val="0"/>
          <w:numId w:val="2"/>
        </w:numPr>
        <w:spacing w:after="60" w:line="264"/>
      </w:pPr>
      <w:r>
        <w:t xml:space="preserve">Orchestrated by Scrapy for crawl-frontier management, retry policy and exponential backoff.</w:t>
      </w:r>
    </w:p>
    <w:p>
      <w:pPr>
        <w:pStyle w:val="Heading2"/>
        <w:spacing w:after="120" w:before="240"/>
      </w:pPr>
      <w:r>
        <w:t xml:space="preserve">4.4 Raw Quote Landing Zone</w:t>
      </w:r>
    </w:p>
    <w:p>
      <w:pPr>
        <w:spacing w:after="140" w:line="276"/>
      </w:pPr>
      <w:r>
        <w:t xml:space="preserve">An append-only table that stores every raw scraped payload before any cleaning touches it. Every cleaned figure downstream can be traced back to the exact raw record it came from — this audit trail is what makes the index defensible to a statistical agency, not just accurate-looking.</w:t>
      </w:r>
    </w:p>
    <w:p>
      <w:pPr>
        <w:pStyle w:val="Heading2"/>
        <w:spacing w:after="120" w:before="240"/>
      </w:pPr>
      <w:r>
        <w:t xml:space="preserve">4.5 Data Cleaning &amp; Normalization Pipeline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600"/>
        <w:gridCol w:w="8100"/>
      </w:tblGrid>
      <w:tr>
        <w:trPr>
          <w:tblHeader/>
        </w:trPr>
        <w:tc>
          <w:tcPr>
            <w:tcW w:type="dxa" w:w="2600"/>
            <w:shd w:fill="1A3C6E" w:val="clear"/>
            <w:tcMar>
              <w:top w:type="dxa" w:w="80"/>
              <w:left w:type="dxa" w:w="100"/>
              <w:bottom w:type="dxa" w:w="80"/>
              <w:right w:type="dxa" w:w="100"/>
            </w:tcMar>
          </w:tcPr>
          <w:p>
            <w:r>
              <w:rPr>
                <w:b/>
                <w:bCs/>
                <w:color w:val="FFFFFF"/>
                <w:sz w:val="19"/>
                <w:szCs w:val="19"/>
              </w:rPr>
              <w:t xml:space="preserve">Stage</w:t>
            </w:r>
          </w:p>
        </w:tc>
        <w:tc>
          <w:tcPr>
            <w:tcW w:type="dxa" w:w="8100"/>
            <w:shd w:fill="1A3C6E" w:val="clear"/>
            <w:tcMar>
              <w:top w:type="dxa" w:w="80"/>
              <w:left w:type="dxa" w:w="100"/>
              <w:bottom w:type="dxa" w:w="80"/>
              <w:right w:type="dxa" w:w="100"/>
            </w:tcMar>
          </w:tcPr>
          <w:p>
            <w:r>
              <w:rPr>
                <w:b/>
                <w:bCs/>
                <w:color w:val="FFFFFF"/>
                <w:sz w:val="19"/>
                <w:szCs w:val="19"/>
              </w:rPr>
              <w:t xml:space="preserve">Operation</w:t>
            </w:r>
          </w:p>
        </w:tc>
      </w:tr>
      <w:tr>
        <w:tc>
          <w:tcPr>
            <w:tcW w:type="dxa" w:w="2600"/>
            <w:tcMar>
              <w:top w:type="dxa" w:w="80"/>
              <w:left w:type="dxa" w:w="100"/>
              <w:bottom w:type="dxa" w:w="80"/>
              <w:right w:type="dxa" w:w="100"/>
            </w:tcMar>
          </w:tcPr>
          <w:p>
            <w:r>
              <w:rPr>
                <w:b w:val="false"/>
                <w:bCs w:val="false"/>
                <w:color w:val="1A1A1A"/>
                <w:sz w:val="19"/>
                <w:szCs w:val="19"/>
              </w:rPr>
              <w:t xml:space="preserve">Schema normalization</w:t>
            </w:r>
          </w:p>
        </w:tc>
        <w:tc>
          <w:tcPr>
            <w:tcW w:type="dxa" w:w="8100"/>
            <w:tcMar>
              <w:top w:type="dxa" w:w="80"/>
              <w:left w:type="dxa" w:w="100"/>
              <w:bottom w:type="dxa" w:w="80"/>
              <w:right w:type="dxa" w:w="100"/>
            </w:tcMar>
          </w:tcPr>
          <w:p>
            <w:r>
              <w:rPr>
                <w:b w:val="false"/>
                <w:bCs w:val="false"/>
                <w:color w:val="1A1A1A"/>
                <w:sz w:val="19"/>
                <w:szCs w:val="19"/>
              </w:rPr>
              <w:t xml:space="preserve">Map every source's raw JSON to one canonical FareQuote schema</w:t>
            </w:r>
          </w:p>
        </w:tc>
      </w:tr>
      <w:tr>
        <w:tc>
          <w:tcPr>
            <w:tcW w:type="dxa" w:w="2600"/>
            <w:shd w:fill="EEF2F7" w:val="clear"/>
            <w:tcMar>
              <w:top w:type="dxa" w:w="80"/>
              <w:left w:type="dxa" w:w="100"/>
              <w:bottom w:type="dxa" w:w="80"/>
              <w:right w:type="dxa" w:w="100"/>
            </w:tcMar>
          </w:tcPr>
          <w:p>
            <w:r>
              <w:rPr>
                <w:b w:val="false"/>
                <w:bCs w:val="false"/>
                <w:color w:val="1A1A1A"/>
                <w:sz w:val="19"/>
                <w:szCs w:val="19"/>
              </w:rPr>
              <w:t xml:space="preserve">Deduplication</w:t>
            </w:r>
          </w:p>
        </w:tc>
        <w:tc>
          <w:tcPr>
            <w:tcW w:type="dxa" w:w="8100"/>
            <w:shd w:fill="EEF2F7" w:val="clear"/>
            <w:tcMar>
              <w:top w:type="dxa" w:w="80"/>
              <w:left w:type="dxa" w:w="100"/>
              <w:bottom w:type="dxa" w:w="80"/>
              <w:right w:type="dxa" w:w="100"/>
            </w:tcMar>
          </w:tcPr>
          <w:p>
            <w:r>
              <w:rPr>
                <w:b w:val="false"/>
                <w:bCs w:val="false"/>
                <w:color w:val="1A1A1A"/>
                <w:sz w:val="19"/>
                <w:szCs w:val="19"/>
              </w:rPr>
              <w:t xml:space="preserve">Hash on (route, date, window, carrier, flight_no, fare_class, scrape-time bucket) to drop redundant polls</w:t>
            </w:r>
          </w:p>
        </w:tc>
      </w:tr>
      <w:tr>
        <w:tc>
          <w:tcPr>
            <w:tcW w:type="dxa" w:w="2600"/>
            <w:tcMar>
              <w:top w:type="dxa" w:w="80"/>
              <w:left w:type="dxa" w:w="100"/>
              <w:bottom w:type="dxa" w:w="80"/>
              <w:right w:type="dxa" w:w="100"/>
            </w:tcMar>
          </w:tcPr>
          <w:p>
            <w:r>
              <w:rPr>
                <w:b w:val="false"/>
                <w:bCs w:val="false"/>
                <w:color w:val="1A1A1A"/>
                <w:sz w:val="19"/>
                <w:szCs w:val="19"/>
              </w:rPr>
              <w:t xml:space="preserve">Fare decomposition</w:t>
            </w:r>
          </w:p>
        </w:tc>
        <w:tc>
          <w:tcPr>
            <w:tcW w:type="dxa" w:w="8100"/>
            <w:tcMar>
              <w:top w:type="dxa" w:w="80"/>
              <w:left w:type="dxa" w:w="100"/>
              <w:bottom w:type="dxa" w:w="80"/>
              <w:right w:type="dxa" w:w="100"/>
            </w:tcMar>
          </w:tcPr>
          <w:p>
            <w:r>
              <w:rPr>
                <w:b w:val="false"/>
                <w:bCs w:val="false"/>
                <w:color w:val="1A1A1A"/>
                <w:sz w:val="19"/>
                <w:szCs w:val="19"/>
              </w:rPr>
              <w:t xml:space="preserve">Split total_fare into base_fare, taxes (GST/UDF/PSF), convenience_fee — only base fare + statutory taxes are inflation-relevant; OTA convenience markup is a distribution-channel cost and is excluded from the index calculation, though retained in the record for transparency</w:t>
            </w:r>
          </w:p>
        </w:tc>
      </w:tr>
      <w:tr>
        <w:tc>
          <w:tcPr>
            <w:tcW w:type="dxa" w:w="2600"/>
            <w:shd w:fill="EEF2F7" w:val="clear"/>
            <w:tcMar>
              <w:top w:type="dxa" w:w="80"/>
              <w:left w:type="dxa" w:w="100"/>
              <w:bottom w:type="dxa" w:w="80"/>
              <w:right w:type="dxa" w:w="100"/>
            </w:tcMar>
          </w:tcPr>
          <w:p>
            <w:r>
              <w:rPr>
                <w:b w:val="false"/>
                <w:bCs w:val="false"/>
                <w:color w:val="1A1A1A"/>
                <w:sz w:val="19"/>
                <w:szCs w:val="19"/>
              </w:rPr>
              <w:t xml:space="preserve">Flight status handling</w:t>
            </w:r>
          </w:p>
        </w:tc>
        <w:tc>
          <w:tcPr>
            <w:tcW w:type="dxa" w:w="8100"/>
            <w:shd w:fill="EEF2F7" w:val="clear"/>
            <w:tcMar>
              <w:top w:type="dxa" w:w="80"/>
              <w:left w:type="dxa" w:w="100"/>
              <w:bottom w:type="dxa" w:w="80"/>
              <w:right w:type="dxa" w:w="100"/>
            </w:tcMar>
          </w:tcPr>
          <w:p>
            <w:r>
              <w:rPr>
                <w:b w:val="false"/>
                <w:bCs w:val="false"/>
                <w:color w:val="1A1A1A"/>
                <w:sz w:val="19"/>
                <w:szCs w:val="19"/>
              </w:rPr>
              <w:t xml:space="preserve">Explicit flight_status field (operating / cancelled / sold_out) — cancelled and sold-out quotes are excluded from that day's index input but retained in the record, not silently dropped, matching CPI's own missing-item protocol</w:t>
            </w:r>
          </w:p>
        </w:tc>
      </w:tr>
      <w:tr>
        <w:tc>
          <w:tcPr>
            <w:tcW w:type="dxa" w:w="2600"/>
            <w:tcMar>
              <w:top w:type="dxa" w:w="80"/>
              <w:left w:type="dxa" w:w="100"/>
              <w:bottom w:type="dxa" w:w="80"/>
              <w:right w:type="dxa" w:w="100"/>
            </w:tcMar>
          </w:tcPr>
          <w:p>
            <w:r>
              <w:rPr>
                <w:b w:val="false"/>
                <w:bCs w:val="false"/>
                <w:color w:val="1A1A1A"/>
                <w:sz w:val="19"/>
                <w:szCs w:val="19"/>
              </w:rPr>
              <w:t xml:space="preserve">Missing-value handling</w:t>
            </w:r>
          </w:p>
        </w:tc>
        <w:tc>
          <w:tcPr>
            <w:tcW w:type="dxa" w:w="8100"/>
            <w:tcMar>
              <w:top w:type="dxa" w:w="80"/>
              <w:left w:type="dxa" w:w="100"/>
              <w:bottom w:type="dxa" w:w="80"/>
              <w:right w:type="dxa" w:w="100"/>
            </w:tcMar>
          </w:tcPr>
          <w:p>
            <w:r>
              <w:rPr>
                <w:b w:val="false"/>
                <w:bCs w:val="false"/>
                <w:color w:val="1A1A1A"/>
                <w:sz w:val="19"/>
                <w:szCs w:val="19"/>
              </w:rPr>
              <w:t xml:space="preserve">If a route×window returns no result, impute from a documented last-observed-fare-decay curve for that route, or flag unavailable — never silently interpolated without a logged rule</w:t>
            </w:r>
          </w:p>
        </w:tc>
      </w:tr>
      <w:tr>
        <w:tc>
          <w:tcPr>
            <w:tcW w:type="dxa" w:w="2600"/>
            <w:shd w:fill="EEF2F7" w:val="clear"/>
            <w:tcMar>
              <w:top w:type="dxa" w:w="80"/>
              <w:left w:type="dxa" w:w="100"/>
              <w:bottom w:type="dxa" w:w="80"/>
              <w:right w:type="dxa" w:w="100"/>
            </w:tcMar>
          </w:tcPr>
          <w:p>
            <w:r>
              <w:rPr>
                <w:b w:val="false"/>
                <w:bCs w:val="false"/>
                <w:color w:val="1A1A1A"/>
                <w:sz w:val="19"/>
                <w:szCs w:val="19"/>
              </w:rPr>
              <w:t xml:space="preserve">Outlier flagging</w:t>
            </w:r>
          </w:p>
        </w:tc>
        <w:tc>
          <w:tcPr>
            <w:tcW w:type="dxa" w:w="8100"/>
            <w:shd w:fill="EEF2F7" w:val="clear"/>
            <w:tcMar>
              <w:top w:type="dxa" w:w="80"/>
              <w:left w:type="dxa" w:w="100"/>
              <w:bottom w:type="dxa" w:w="80"/>
              <w:right w:type="dxa" w:w="100"/>
            </w:tcMar>
          </w:tcPr>
          <w:p>
            <w:r>
              <w:rPr>
                <w:b w:val="false"/>
                <w:bCs w:val="false"/>
                <w:color w:val="1A1A1A"/>
                <w:sz w:val="19"/>
                <w:szCs w:val="19"/>
              </w:rPr>
              <w:t xml:space="preserve">Median Absolute Deviation (MAD) per route×window×day cohort; fares beyond 3×MAD are flagged for review, not auto-deleted — a genuine surge fare is signal, not noise</w:t>
            </w:r>
          </w:p>
        </w:tc>
      </w:tr>
      <w:tr>
        <w:tc>
          <w:tcPr>
            <w:tcW w:type="dxa" w:w="2600"/>
            <w:tcMar>
              <w:top w:type="dxa" w:w="80"/>
              <w:left w:type="dxa" w:w="100"/>
              <w:bottom w:type="dxa" w:w="80"/>
              <w:right w:type="dxa" w:w="100"/>
            </w:tcMar>
          </w:tcPr>
          <w:p>
            <w:r>
              <w:rPr>
                <w:b w:val="false"/>
                <w:bCs w:val="false"/>
                <w:color w:val="1A1A1A"/>
                <w:sz w:val="19"/>
                <w:szCs w:val="19"/>
              </w:rPr>
              <w:t xml:space="preserve">Fare-class handling</w:t>
            </w:r>
          </w:p>
        </w:tc>
        <w:tc>
          <w:tcPr>
            <w:tcW w:type="dxa" w:w="8100"/>
            <w:tcMar>
              <w:top w:type="dxa" w:w="80"/>
              <w:left w:type="dxa" w:w="100"/>
              <w:bottom w:type="dxa" w:w="80"/>
              <w:right w:type="dxa" w:w="100"/>
            </w:tcMar>
          </w:tcPr>
          <w:p>
            <w:r>
              <w:rPr>
                <w:b w:val="false"/>
                <w:bCs w:val="false"/>
                <w:color w:val="1A1A1A"/>
                <w:sz w:val="19"/>
                <w:szCs w:val="19"/>
              </w:rPr>
              <w:t xml:space="preserve">Economy is the index baseline; business/premium quotes are captured but computed as a separate sub-index, never blended into the headline number</w:t>
            </w:r>
          </w:p>
        </w:tc>
      </w:tr>
      <w:tr>
        <w:tc>
          <w:tcPr>
            <w:tcW w:type="dxa" w:w="2600"/>
            <w:shd w:fill="EEF2F7" w:val="clear"/>
            <w:tcMar>
              <w:top w:type="dxa" w:w="80"/>
              <w:left w:type="dxa" w:w="100"/>
              <w:bottom w:type="dxa" w:w="80"/>
              <w:right w:type="dxa" w:w="100"/>
            </w:tcMar>
          </w:tcPr>
          <w:p>
            <w:r>
              <w:rPr>
                <w:b w:val="false"/>
                <w:bCs w:val="false"/>
                <w:color w:val="1A1A1A"/>
                <w:sz w:val="19"/>
                <w:szCs w:val="19"/>
              </w:rPr>
              <w:t xml:space="preserve">Carrier normalization</w:t>
            </w:r>
          </w:p>
        </w:tc>
        <w:tc>
          <w:tcPr>
            <w:tcW w:type="dxa" w:w="8100"/>
            <w:shd w:fill="EEF2F7" w:val="clear"/>
            <w:tcMar>
              <w:top w:type="dxa" w:w="80"/>
              <w:left w:type="dxa" w:w="100"/>
              <w:bottom w:type="dxa" w:w="80"/>
              <w:right w:type="dxa" w:w="100"/>
            </w:tcMar>
          </w:tcPr>
          <w:p>
            <w:r>
              <w:rPr>
                <w:b w:val="false"/>
                <w:bCs w:val="false"/>
                <w:color w:val="1A1A1A"/>
                <w:sz w:val="19"/>
                <w:szCs w:val="19"/>
              </w:rPr>
              <w:t xml:space="preserve">Codeshares/subsidiaries (Air India Express → Air India) mapped to one canonical carrier ID</w:t>
            </w:r>
          </w:p>
        </w:tc>
      </w:tr>
    </w:tbl>
    <w:p>
      <w:pPr>
        <w:pStyle w:val="Heading2"/>
        <w:spacing w:after="120" w:before="240"/>
      </w:pPr>
      <w:r>
        <w:t xml:space="preserve">4.6 Data Model (PostgreSQL + TimescaleDB)</w:t>
      </w:r>
    </w:p>
    <w:p>
      <w:pPr>
        <w:spacing w:after="140" w:line="276"/>
      </w:pPr>
      <w:r>
        <w:t xml:space="preserve">TimescaleDB hypertable, partitioned by scrape_ts — daily volumes reach millions of rows quickly at 2–3 scrapes/day × 15 routes × 5 windows × 11 sources.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200"/>
        <w:gridCol w:w="8500"/>
      </w:tblGrid>
      <w:tr>
        <w:trPr>
          <w:tblHeader/>
        </w:trPr>
        <w:tc>
          <w:tcPr>
            <w:tcW w:type="dxa" w:w="2200"/>
            <w:shd w:fill="1A3C6E" w:val="clear"/>
            <w:tcMar>
              <w:top w:type="dxa" w:w="80"/>
              <w:left w:type="dxa" w:w="100"/>
              <w:bottom w:type="dxa" w:w="80"/>
              <w:right w:type="dxa" w:w="100"/>
            </w:tcMar>
          </w:tcPr>
          <w:p>
            <w:r>
              <w:rPr>
                <w:b/>
                <w:bCs/>
                <w:color w:val="FFFFFF"/>
                <w:sz w:val="19"/>
                <w:szCs w:val="19"/>
              </w:rPr>
              <w:t xml:space="preserve">Table</w:t>
            </w:r>
          </w:p>
        </w:tc>
        <w:tc>
          <w:tcPr>
            <w:tcW w:type="dxa" w:w="8500"/>
            <w:shd w:fill="1A3C6E" w:val="clear"/>
            <w:tcMar>
              <w:top w:type="dxa" w:w="80"/>
              <w:left w:type="dxa" w:w="100"/>
              <w:bottom w:type="dxa" w:w="80"/>
              <w:right w:type="dxa" w:w="100"/>
            </w:tcMar>
          </w:tcPr>
          <w:p>
            <w:r>
              <w:rPr>
                <w:b/>
                <w:bCs/>
                <w:color w:val="FFFFFF"/>
                <w:sz w:val="19"/>
                <w:szCs w:val="19"/>
              </w:rPr>
              <w:t xml:space="preserve">Key Fields</w:t>
            </w:r>
          </w:p>
        </w:tc>
      </w:tr>
      <w:tr>
        <w:tc>
          <w:tcPr>
            <w:tcW w:type="dxa" w:w="2200"/>
            <w:tcMar>
              <w:top w:type="dxa" w:w="80"/>
              <w:left w:type="dxa" w:w="100"/>
              <w:bottom w:type="dxa" w:w="80"/>
              <w:right w:type="dxa" w:w="100"/>
            </w:tcMar>
          </w:tcPr>
          <w:p>
            <w:r>
              <w:rPr>
                <w:b w:val="false"/>
                <w:bCs w:val="false"/>
                <w:color w:val="1A1A1A"/>
                <w:sz w:val="19"/>
                <w:szCs w:val="19"/>
              </w:rPr>
              <w:t xml:space="preserve">fare_quotes</w:t>
            </w:r>
          </w:p>
        </w:tc>
        <w:tc>
          <w:tcPr>
            <w:tcW w:type="dxa" w:w="8500"/>
            <w:tcMar>
              <w:top w:type="dxa" w:w="80"/>
              <w:left w:type="dxa" w:w="100"/>
              <w:bottom w:type="dxa" w:w="80"/>
              <w:right w:type="dxa" w:w="100"/>
            </w:tcMar>
          </w:tcPr>
          <w:p>
            <w:r>
              <w:rPr>
                <w:b w:val="false"/>
                <w:bCs w:val="false"/>
                <w:color w:val="1A1A1A"/>
                <w:sz w:val="19"/>
                <w:szCs w:val="19"/>
              </w:rPr>
              <w:t xml:space="preserve">route_id, carrier_id, source_id, fare_class, advance_window, departure_date, scrape_ts, base_fare, taxes, convenience_fee, total_fare, seats_available, flight_status, is_outlier, raw_payload (JSONB)</w:t>
            </w:r>
          </w:p>
        </w:tc>
      </w:tr>
      <w:tr>
        <w:tc>
          <w:tcPr>
            <w:tcW w:type="dxa" w:w="2200"/>
            <w:shd w:fill="EEF2F7" w:val="clear"/>
            <w:tcMar>
              <w:top w:type="dxa" w:w="80"/>
              <w:left w:type="dxa" w:w="100"/>
              <w:bottom w:type="dxa" w:w="80"/>
              <w:right w:type="dxa" w:w="100"/>
            </w:tcMar>
          </w:tcPr>
          <w:p>
            <w:r>
              <w:rPr>
                <w:b w:val="false"/>
                <w:bCs w:val="false"/>
                <w:color w:val="1A1A1A"/>
                <w:sz w:val="19"/>
                <w:szCs w:val="19"/>
              </w:rPr>
              <w:t xml:space="preserve">routes</w:t>
            </w:r>
          </w:p>
        </w:tc>
        <w:tc>
          <w:tcPr>
            <w:tcW w:type="dxa" w:w="8500"/>
            <w:shd w:fill="EEF2F7" w:val="clear"/>
            <w:tcMar>
              <w:top w:type="dxa" w:w="80"/>
              <w:left w:type="dxa" w:w="100"/>
              <w:bottom w:type="dxa" w:w="80"/>
              <w:right w:type="dxa" w:w="100"/>
            </w:tcMar>
          </w:tcPr>
          <w:p>
            <w:r>
              <w:rPr>
                <w:b w:val="false"/>
                <w:bCs w:val="false"/>
                <w:color w:val="1A1A1A"/>
                <w:sz w:val="19"/>
                <w:szCs w:val="19"/>
              </w:rPr>
              <w:t xml:space="preserve">id, origin, destination, dgca_traffic_weight, active</w:t>
            </w:r>
          </w:p>
        </w:tc>
      </w:tr>
      <w:tr>
        <w:tc>
          <w:tcPr>
            <w:tcW w:type="dxa" w:w="2200"/>
            <w:tcMar>
              <w:top w:type="dxa" w:w="80"/>
              <w:left w:type="dxa" w:w="100"/>
              <w:bottom w:type="dxa" w:w="80"/>
              <w:right w:type="dxa" w:w="100"/>
            </w:tcMar>
          </w:tcPr>
          <w:p>
            <w:r>
              <w:rPr>
                <w:b w:val="false"/>
                <w:bCs w:val="false"/>
                <w:color w:val="1A1A1A"/>
                <w:sz w:val="19"/>
                <w:szCs w:val="19"/>
              </w:rPr>
              <w:t xml:space="preserve">carriers</w:t>
            </w:r>
          </w:p>
        </w:tc>
        <w:tc>
          <w:tcPr>
            <w:tcW w:type="dxa" w:w="8500"/>
            <w:tcMar>
              <w:top w:type="dxa" w:w="80"/>
              <w:left w:type="dxa" w:w="100"/>
              <w:bottom w:type="dxa" w:w="80"/>
              <w:right w:type="dxa" w:w="100"/>
            </w:tcMar>
          </w:tcPr>
          <w:p>
            <w:r>
              <w:rPr>
                <w:b w:val="false"/>
                <w:bCs w:val="false"/>
                <w:color w:val="1A1A1A"/>
                <w:sz w:val="19"/>
                <w:szCs w:val="19"/>
              </w:rPr>
              <w:t xml:space="preserve">id, name, iata_code</w:t>
            </w:r>
          </w:p>
        </w:tc>
      </w:tr>
      <w:tr>
        <w:tc>
          <w:tcPr>
            <w:tcW w:type="dxa" w:w="2200"/>
            <w:shd w:fill="EEF2F7" w:val="clear"/>
            <w:tcMar>
              <w:top w:type="dxa" w:w="80"/>
              <w:left w:type="dxa" w:w="100"/>
              <w:bottom w:type="dxa" w:w="80"/>
              <w:right w:type="dxa" w:w="100"/>
            </w:tcMar>
          </w:tcPr>
          <w:p>
            <w:r>
              <w:rPr>
                <w:b w:val="false"/>
                <w:bCs w:val="false"/>
                <w:color w:val="1A1A1A"/>
                <w:sz w:val="19"/>
                <w:szCs w:val="19"/>
              </w:rPr>
              <w:t xml:space="preserve">sources</w:t>
            </w:r>
          </w:p>
        </w:tc>
        <w:tc>
          <w:tcPr>
            <w:tcW w:type="dxa" w:w="8500"/>
            <w:shd w:fill="EEF2F7" w:val="clear"/>
            <w:tcMar>
              <w:top w:type="dxa" w:w="80"/>
              <w:left w:type="dxa" w:w="100"/>
              <w:bottom w:type="dxa" w:w="80"/>
              <w:right w:type="dxa" w:w="100"/>
            </w:tcMar>
          </w:tcPr>
          <w:p>
            <w:r>
              <w:rPr>
                <w:b w:val="false"/>
                <w:bCs w:val="false"/>
                <w:color w:val="1A1A1A"/>
                <w:sz w:val="19"/>
                <w:szCs w:val="19"/>
              </w:rPr>
              <w:t xml:space="preserve">id, name, type, robots_txt_status, last_compliance_check</w:t>
            </w:r>
          </w:p>
        </w:tc>
      </w:tr>
      <w:tr>
        <w:tc>
          <w:tcPr>
            <w:tcW w:type="dxa" w:w="2200"/>
            <w:tcMar>
              <w:top w:type="dxa" w:w="80"/>
              <w:left w:type="dxa" w:w="100"/>
              <w:bottom w:type="dxa" w:w="80"/>
              <w:right w:type="dxa" w:w="100"/>
            </w:tcMar>
          </w:tcPr>
          <w:p>
            <w:r>
              <w:rPr>
                <w:b w:val="false"/>
                <w:bCs w:val="false"/>
                <w:color w:val="1A1A1A"/>
                <w:sz w:val="19"/>
                <w:szCs w:val="19"/>
              </w:rPr>
              <w:t xml:space="preserve">events_and_costs</w:t>
            </w:r>
          </w:p>
        </w:tc>
        <w:tc>
          <w:tcPr>
            <w:tcW w:type="dxa" w:w="8500"/>
            <w:tcMar>
              <w:top w:type="dxa" w:w="80"/>
              <w:left w:type="dxa" w:w="100"/>
              <w:bottom w:type="dxa" w:w="80"/>
              <w:right w:type="dxa" w:w="100"/>
            </w:tcMar>
          </w:tcPr>
          <w:p>
            <w:r>
              <w:rPr>
                <w:b w:val="false"/>
                <w:bCs w:val="false"/>
                <w:color w:val="1A1A1A"/>
                <w:sz w:val="19"/>
                <w:szCs w:val="19"/>
              </w:rPr>
              <w:t xml:space="preserve">date, event_type (festival/capacity/fuel), description, atf_price, region_affected</w:t>
            </w:r>
          </w:p>
        </w:tc>
      </w:tr>
      <w:tr>
        <w:tc>
          <w:tcPr>
            <w:tcW w:type="dxa" w:w="2200"/>
            <w:shd w:fill="EEF2F7" w:val="clear"/>
            <w:tcMar>
              <w:top w:type="dxa" w:w="80"/>
              <w:left w:type="dxa" w:w="100"/>
              <w:bottom w:type="dxa" w:w="80"/>
              <w:right w:type="dxa" w:w="100"/>
            </w:tcMar>
          </w:tcPr>
          <w:p>
            <w:r>
              <w:rPr>
                <w:b w:val="false"/>
                <w:bCs w:val="false"/>
                <w:color w:val="1A1A1A"/>
                <w:sz w:val="19"/>
                <w:szCs w:val="19"/>
              </w:rPr>
              <w:t xml:space="preserve">dgca_monthly_avg</w:t>
            </w:r>
          </w:p>
        </w:tc>
        <w:tc>
          <w:tcPr>
            <w:tcW w:type="dxa" w:w="8500"/>
            <w:shd w:fill="EEF2F7" w:val="clear"/>
            <w:tcMar>
              <w:top w:type="dxa" w:w="80"/>
              <w:left w:type="dxa" w:w="100"/>
              <w:bottom w:type="dxa" w:w="80"/>
              <w:right w:type="dxa" w:w="100"/>
            </w:tcMar>
          </w:tcPr>
          <w:p>
            <w:r>
              <w:rPr>
                <w:b w:val="false"/>
                <w:bCs w:val="false"/>
                <w:color w:val="1A1A1A"/>
                <w:sz w:val="19"/>
                <w:szCs w:val="19"/>
              </w:rPr>
              <w:t xml:space="preserve">route_id, month, avg_fare, passenger_count — backtest ground truth</w:t>
            </w:r>
          </w:p>
        </w:tc>
      </w:tr>
      <w:tr>
        <w:tc>
          <w:tcPr>
            <w:tcW w:type="dxa" w:w="2200"/>
            <w:tcMar>
              <w:top w:type="dxa" w:w="80"/>
              <w:left w:type="dxa" w:w="100"/>
              <w:bottom w:type="dxa" w:w="80"/>
              <w:right w:type="dxa" w:w="100"/>
            </w:tcMar>
          </w:tcPr>
          <w:p>
            <w:r>
              <w:rPr>
                <w:b w:val="false"/>
                <w:bCs w:val="false"/>
                <w:color w:val="1A1A1A"/>
                <w:sz w:val="19"/>
                <w:szCs w:val="19"/>
              </w:rPr>
              <w:t xml:space="preserve">index_values</w:t>
            </w:r>
          </w:p>
        </w:tc>
        <w:tc>
          <w:tcPr>
            <w:tcW w:type="dxa" w:w="8500"/>
            <w:tcMar>
              <w:top w:type="dxa" w:w="80"/>
              <w:left w:type="dxa" w:w="100"/>
              <w:bottom w:type="dxa" w:w="80"/>
              <w:right w:type="dxa" w:w="100"/>
            </w:tcMar>
          </w:tcPr>
          <w:p>
            <w:r>
              <w:rPr>
                <w:b w:val="false"/>
                <w:bCs w:val="false"/>
                <w:color w:val="1A1A1A"/>
                <w:sz w:val="19"/>
                <w:szCs w:val="19"/>
              </w:rPr>
              <w:t xml:space="preserve">date, frequency, route_id (nullable for headline index), value, spread_sub_index, confidence_score, coverage_pct</w:t>
            </w:r>
          </w:p>
        </w:tc>
      </w:tr>
    </w:tbl>
    <w:p>
      <w:pPr>
        <w:pStyle w:val="Heading2"/>
        <w:spacing w:after="120" w:before="240"/>
      </w:pPr>
      <w:r>
        <w:t xml:space="preserve">4.7 Index Construction — APIx</w:t>
      </w:r>
    </w:p>
    <w:p>
      <w:pPr>
        <w:spacing w:after="140" w:line="276"/>
      </w:pPr>
      <w:r>
        <w:t xml:space="preserve">Methodology: a Törnqvist chained (superlative) index, not a fixed-basket Laspeyres. A fixed monthly-reweighted basket cannot keep up with how fast the actual fare-class/window mix shifts under airfare's short-run volatility — Törnqvist chaining is what statistical agencies increasingly prefer for exactly this kind of volatile, substitution-prone good, and is the single index methodology used throughout this document (earlier drafts referenced two different formulas; this is the reconciled, final one).</w:t>
      </w:r>
    </w:p>
    <w:p>
      <w:pPr>
        <w:spacing w:after="140" w:line="276"/>
      </w:pPr>
      <w:r>
        <w:rPr>
          <w:i/>
          <w:iCs/>
        </w:rPr>
        <w:t xml:space="preserve">APIx</w:t>
      </w:r>
      <w:r>
        <w:t xml:space="preserve">ₜ = APIxₜ₋₁ × Πᵣ [ (Pᵣ,ₜ / Pᵣ,ₜ₋₁) ^ ((wᵣ,ₜ + wᵣ,ₜ₋₁)/2) ]</w:t>
      </w:r>
    </w:p>
    <w:p>
      <w:pPr>
        <w:pStyle w:val="ListParagraph"/>
        <w:numPr>
          <w:ilvl w:val="0"/>
          <w:numId w:val="2"/>
        </w:numPr>
        <w:spacing w:after="60" w:line="264"/>
      </w:pPr>
      <w:r>
        <w:t xml:space="preserve">wᵣ = route weight, derived from DGCA passenger-traffic share (mirrors CPI's expenditure-weighting logic).</w:t>
      </w:r>
    </w:p>
    <w:p>
      <w:pPr>
        <w:pStyle w:val="ListParagraph"/>
        <w:numPr>
          <w:ilvl w:val="0"/>
          <w:numId w:val="2"/>
        </w:numPr>
        <w:spacing w:after="60" w:line="264"/>
      </w:pPr>
      <w:r>
        <w:t xml:space="preserve">Pᵣ,ₜ = weighted average fare for route r at time t across the T+1..T+45 window mix. Window weights are derived from the system's own accumulated scrape-and-booking-window distribution (i.e. observed historical purchase-window shares within this dataset), not from an assumed external OTA booking-curve feed — this closes a data-access gap in an earlier draft, since no public booking-curve dataset is guaranteed accessible.</w:t>
      </w:r>
    </w:p>
    <w:p>
      <w:pPr>
        <w:pStyle w:val="ListParagraph"/>
        <w:numPr>
          <w:ilvl w:val="0"/>
          <w:numId w:val="2"/>
        </w:numPr>
        <w:spacing w:after="60" w:line="264"/>
      </w:pPr>
      <w:r>
        <w:t xml:space="preserve">Chain-break rule: if a day's scrape coverage falls below a documented threshold, that day's index carries the last valid weight forward and is marked with a reduced confidence score (§4.7.1) rather than silently breaking the chain.</w:t>
      </w:r>
    </w:p>
    <w:p>
      <w:pPr>
        <w:pStyle w:val="Heading3"/>
        <w:spacing w:after="90" w:before="180"/>
      </w:pPr>
      <w:r>
        <w:t xml:space="preserve">4.7.1 Confidence / Coverage Score</w:t>
      </w:r>
    </w:p>
    <w:p>
      <w:pPr>
        <w:spacing w:after="140" w:line="276"/>
      </w:pPr>
      <w:r>
        <w:t xml:space="preserve">Every published index value ships with its own reliability metadata: % of the basket successfully scraped that day, and that day's outlier-flag rate. This is shown next to every number on the dashboard and via the API — never a bare figure — preempting the “why should we trust this” question before it is asked.</w:t>
      </w:r>
    </w:p>
    <w:p>
      <w:pPr>
        <w:pStyle w:val="Heading3"/>
        <w:spacing w:after="90" w:before="180"/>
      </w:pPr>
      <w:r>
        <w:t xml:space="preserve">4.7.2 Booking-Window Spread Sub-Index</w:t>
      </w:r>
    </w:p>
    <w:p>
      <w:pPr>
        <w:spacing w:after="140" w:line="276"/>
      </w:pPr>
      <w:r>
        <w:t xml:space="preserve">Tracks the T+1-vs-T+30 fare gap as its own time series. No current MoSPI instrument captures this — it is a genuinely new statistical product, not a derived chart, and is the headline differentiator of this submission.</w:t>
      </w:r>
    </w:p>
    <w:p>
      <w:pPr>
        <w:pStyle w:val="Heading3"/>
        <w:spacing w:after="90" w:before="180"/>
      </w:pPr>
      <w:r>
        <w:t xml:space="preserve">4.7.3 Frequencies &amp; Sub-Indices</w:t>
      </w:r>
    </w:p>
    <w:p>
      <w:pPr>
        <w:pStyle w:val="ListParagraph"/>
        <w:numPr>
          <w:ilvl w:val="0"/>
          <w:numId w:val="2"/>
        </w:numPr>
        <w:spacing w:after="60" w:line="264"/>
      </w:pPr>
      <w:r>
        <w:t xml:space="preserve">Daily (raw, for RBI near-real-time nowcasting), weekly (7-day smoothed), monthly (aligned to CPI release cycle).</w:t>
      </w:r>
    </w:p>
    <w:p>
      <w:pPr>
        <w:pStyle w:val="ListParagraph"/>
        <w:numPr>
          <w:ilvl w:val="0"/>
          <w:numId w:val="2"/>
        </w:numPr>
        <w:spacing w:after="60" w:line="264"/>
      </w:pPr>
      <w:r>
        <w:t xml:space="preserve">Cross-cuts: by route, by carrier, by booking-window, by fare class (economy baseline vs business/premium), by region (metro-metro vs metro–tier-2).</w:t>
      </w:r>
    </w:p>
    <w:p>
      <w:pPr>
        <w:pStyle w:val="Heading2"/>
        <w:spacing w:after="120" w:before="240"/>
      </w:pPr>
      <w:r>
        <w:t xml:space="preserve">4.8 ATF Fuel Pass-Through Regression</w:t>
      </w:r>
    </w:p>
    <w:p>
      <w:pPr>
        <w:spacing w:after="140" w:line="276"/>
      </w:pPr>
      <w:r>
        <w:t xml:space="preserve">Regresses APIx movements against IOCL's monthly ATF price notifications (§4.2) to statistically separate fuel-surcharge-driven inflation from demand-surge-driven inflation — turning “fares went up” into “fares went up X% from fuel cost, Y% from demand,” a materially more useful signal for a monetary-policy audience than one blended number.</w:t>
      </w:r>
    </w:p>
    <w:p>
      <w:pPr>
        <w:pStyle w:val="Heading2"/>
        <w:spacing w:after="120" w:before="240"/>
      </w:pPr>
      <w:r>
        <w:t xml:space="preserve">4.9 T+7 Forecast Module</w:t>
      </w:r>
    </w:p>
    <w:p>
      <w:pPr>
        <w:spacing w:after="140" w:line="276"/>
      </w:pPr>
      <w:r>
        <w:t xml:space="preserve">Prophet/ARIMA time-series forecast of near-term fares per route. Dual purpose: a genuine forecast feature, and an automatic data-quality check — a forecast that misses the next day's actual scraped value by a wide margin flags a pipeline problem automatically, rather than a bad day silently entering the index unnoticed.</w:t>
      </w:r>
    </w:p>
    <w:p>
      <w:pPr>
        <w:pStyle w:val="Heading2"/>
        <w:spacing w:after="120" w:before="240"/>
      </w:pPr>
      <w:r>
        <w:t xml:space="preserve">4.10 Backtesting / Validation Module</w:t>
      </w:r>
    </w:p>
    <w:p>
      <w:pPr>
        <w:pStyle w:val="ListParagraph"/>
        <w:numPr>
          <w:ilvl w:val="0"/>
          <w:numId w:val="2"/>
        </w:numPr>
        <w:spacing w:after="60" w:line="264"/>
      </w:pPr>
      <w:r>
        <w:t xml:space="preserve">Ingests DGCA's publicly released monthly average domestic fare data via a dedicated ingestion job (PDF/CSV parsing where the source is a PDF).</w:t>
      </w:r>
    </w:p>
    <w:p>
      <w:pPr>
        <w:pStyle w:val="ListParagraph"/>
        <w:numPr>
          <w:ilvl w:val="0"/>
          <w:numId w:val="2"/>
        </w:numPr>
        <w:spacing w:after="60" w:line="264"/>
      </w:pPr>
      <w:r>
        <w:t xml:space="preserve">Compares APIx's monthly-aggregated value against DGCA's official average for the same routes, over ≥30 days, as explicitly required.</w:t>
      </w:r>
    </w:p>
    <w:p>
      <w:pPr>
        <w:pStyle w:val="ListParagraph"/>
        <w:numPr>
          <w:ilvl w:val="0"/>
          <w:numId w:val="2"/>
        </w:numPr>
        <w:spacing w:after="60" w:line="264"/>
      </w:pPr>
      <w:r>
        <w:t xml:space="preserve">Reports correlation coefficient, RMSE, MAPE, and a route-level residual heatmap — the credibility exhibit for judges.</w:t>
      </w:r>
    </w:p>
    <w:p>
      <w:pPr>
        <w:pStyle w:val="ListParagraph"/>
        <w:numPr>
          <w:ilvl w:val="0"/>
          <w:numId w:val="2"/>
        </w:numPr>
        <w:spacing w:after="60" w:line="264"/>
      </w:pPr>
      <w:r>
        <w:t xml:space="preserve">Also demonstrates volatility capture: daily/weekly APIx catching a festival surge or fuel-surcharge spike that the smoothed monthly DGCA figure misses entirely — this is the core value proposition and should be the headline chart in the final demo.</w:t>
      </w:r>
    </w:p>
    <w:p>
      <w:pPr>
        <w:pStyle w:val="Heading2"/>
        <w:spacing w:after="120" w:before="240"/>
      </w:pPr>
      <w:r>
        <w:t xml:space="preserve">4.11 Resilience &amp; Demo-Safety Harness</w:t>
      </w:r>
    </w:p>
    <w:p>
      <w:pPr>
        <w:spacing w:after="140" w:line="276"/>
      </w:pPr>
      <w:r>
        <w:t xml:space="preserve">Two related but distinct concerns, both closed here so neither becomes a dead end on judging day:</w:t>
      </w:r>
    </w:p>
    <w:p>
      <w:pPr>
        <w:pStyle w:val="ListParagraph"/>
        <w:numPr>
          <w:ilvl w:val="0"/>
          <w:numId w:val="2"/>
        </w:numPr>
        <w:spacing w:after="60" w:line="264"/>
      </w:pPr>
      <w:r>
        <w:t xml:space="preserve">Stress-testing (system correctness): synthetic scraper-outage and demand-surge scenarios injected offline to prove the pipeline degrades gracefully — confidence scores drop and are shown honestly, rather than the dashboard silently displaying stale data as current.</w:t>
      </w:r>
    </w:p>
    <w:p>
      <w:pPr>
        <w:pStyle w:val="ListParagraph"/>
        <w:numPr>
          <w:ilvl w:val="0"/>
          <w:numId w:val="2"/>
        </w:numPr>
        <w:spacing w:after="60" w:line="264"/>
      </w:pPr>
      <w:r>
        <w:t xml:space="preserve">Demo resilience (presentation safety): a cached daily snapshot plus a synthetic-but-realistic fallback dataset, so that if a live source blocks or rate-limits the scraper during a live demo, the dashboard and index continue to render from the last successful pull instead of failing on stage. This is a practical closure of the single biggest real-world risk in any live-scraping demo.</w:t>
      </w:r>
    </w:p>
    <w:p>
      <w:pPr>
        <w:pStyle w:val="Heading2"/>
        <w:spacing w:after="120" w:before="240"/>
      </w:pPr>
      <w:r>
        <w:t xml:space="preserve">4.12 RAG-Grounded Natural-Language Query Layer</w:t>
      </w:r>
    </w:p>
    <w:p>
      <w:pPr>
        <w:spacing w:after="140" w:line="276"/>
      </w:pPr>
      <w:r>
        <w:t xml:space="preserve">An LLM agent grounded strictly on the fare_quotes database and the events_and_costs table (§4.2) — not a generic chatbot. It can answer “Why did DEL-BOM T+1 spike 40%?” with a cited, traceable answer pointing to the specific records and events behind the movement. Implementation: a FastAPI microservice calling an LLM API (e.g. Claude API) with retrieval over a vector store (Chroma/FAISS, reusing an existing RAG pipeline pattern), scoped to refuse questions it cannot ground in the actual data.</w:t>
      </w:r>
    </w:p>
    <w:p>
      <w:pPr>
        <w:pStyle w:val="Heading2"/>
        <w:spacing w:after="120" w:before="240"/>
      </w:pPr>
      <w:r>
        <w:t xml:space="preserve">4.13 API Layer (FastAPI)</w:t>
      </w:r>
    </w:p>
    <w:p>
      <w:pPr>
        <w:spacing w:after="140" w:line="276"/>
      </w:pPr>
      <w:r>
        <w:t xml:space="preserve">Explicitly required by the PS — “an API that the NSO and RBI can consume.” Core, versioned, OpenAPI-documented REST endpoints (delivered in full for the hackathon build):</w:t>
      </w:r>
    </w:p>
    <w:p>
      <w:pPr>
        <w:pStyle w:val="ListParagraph"/>
        <w:numPr>
          <w:ilvl w:val="0"/>
          <w:numId w:val="2"/>
        </w:numPr>
        <w:spacing w:after="60" w:line="264"/>
      </w:pPr>
      <w:r>
        <w:t xml:space="preserve">GET /api/v1/index?freq=daily|weekly|monthly&amp;from=&amp;to=</w:t>
      </w:r>
    </w:p>
    <w:p>
      <w:pPr>
        <w:pStyle w:val="ListParagraph"/>
        <w:numPr>
          <w:ilvl w:val="0"/>
          <w:numId w:val="2"/>
        </w:numPr>
        <w:spacing w:after="60" w:line="264"/>
      </w:pPr>
      <w:r>
        <w:t xml:space="preserve">GET /api/v1/index/route/{route_id}?window=T15</w:t>
      </w:r>
    </w:p>
    <w:p>
      <w:pPr>
        <w:pStyle w:val="ListParagraph"/>
        <w:numPr>
          <w:ilvl w:val="0"/>
          <w:numId w:val="2"/>
        </w:numPr>
        <w:spacing w:after="60" w:line="264"/>
      </w:pPr>
      <w:r>
        <w:t xml:space="preserve">GET /api/v1/routes</w:t>
      </w:r>
    </w:p>
    <w:p>
      <w:pPr>
        <w:pStyle w:val="ListParagraph"/>
        <w:numPr>
          <w:ilvl w:val="0"/>
          <w:numId w:val="2"/>
        </w:numPr>
        <w:spacing w:after="60" w:line="264"/>
      </w:pPr>
      <w:r>
        <w:t xml:space="preserve">GET /api/v1/heatmap?date=</w:t>
      </w:r>
    </w:p>
    <w:p>
      <w:pPr>
        <w:pStyle w:val="ListParagraph"/>
        <w:numPr>
          <w:ilvl w:val="0"/>
          <w:numId w:val="2"/>
        </w:numPr>
        <w:spacing w:after="60" w:line="264"/>
      </w:pPr>
      <w:r>
        <w:t xml:space="preserve">GET /api/v1/elasticity/{route_id}</w:t>
      </w:r>
    </w:p>
    <w:p>
      <w:pPr>
        <w:pStyle w:val="ListParagraph"/>
        <w:numPr>
          <w:ilvl w:val="0"/>
          <w:numId w:val="2"/>
        </w:numPr>
        <w:spacing w:after="60" w:line="264"/>
      </w:pPr>
      <w:r>
        <w:t xml:space="preserve">GET /api/v1/backtest/summary</w:t>
      </w:r>
    </w:p>
    <w:p>
      <w:pPr>
        <w:pStyle w:val="ListParagraph"/>
        <w:numPr>
          <w:ilvl w:val="0"/>
          <w:numId w:val="2"/>
        </w:numPr>
        <w:spacing w:after="60" w:line="264"/>
      </w:pPr>
      <w:r>
        <w:t xml:space="preserve">POST /api/v1/subscribe — alert webhook registration for RBI/NSO consumers</w:t>
      </w:r>
    </w:p>
    <w:p>
      <w:pPr>
        <w:spacing w:after="140" w:line="276"/>
      </w:pPr>
      <w:r>
        <w:t xml:space="preserve">Rate-limited, with tiered API-key auth (public read-only vs. NSO/RBI privileged access to disaggregated data). A GraphQL endpoint for ad-hoc analyst queries is a documented stretch goal, listed separately in the roadmap so it is never mistaken for a core deliverable that must ship.</w:t>
      </w:r>
    </w:p>
    <w:p>
      <w:pPr>
        <w:pStyle w:val="Heading2"/>
        <w:spacing w:after="120" w:before="240"/>
      </w:pPr>
      <w:r>
        <w:t xml:space="preserve">4.14 Dashboard (React + TypeScript + Tailwind + Recharts/D3)</w:t>
      </w:r>
    </w:p>
    <w:p>
      <w:pPr>
        <w:pStyle w:val="ListParagraph"/>
        <w:numPr>
          <w:ilvl w:val="0"/>
          <w:numId w:val="2"/>
        </w:numPr>
        <w:spacing w:after="60" w:line="264"/>
      </w:pPr>
      <w:r>
        <w:t xml:space="preserve">APIx trend line (daily/weekly/monthly toggle), with the CPI Transport-and-Communication sub-index overlaid for direct comparison.</w:t>
      </w:r>
    </w:p>
    <w:p>
      <w:pPr>
        <w:pStyle w:val="ListParagraph"/>
        <w:numPr>
          <w:ilvl w:val="0"/>
          <w:numId w:val="2"/>
        </w:numPr>
        <w:spacing w:after="60" w:line="264"/>
      </w:pPr>
      <w:r>
        <w:t xml:space="preserve">Sector-wise heatmap: routes × booking-window grid, colour-coded by fare inflation.</w:t>
      </w:r>
    </w:p>
    <w:p>
      <w:pPr>
        <w:pStyle w:val="ListParagraph"/>
        <w:numPr>
          <w:ilvl w:val="0"/>
          <w:numId w:val="2"/>
        </w:numPr>
        <w:spacing w:after="60" w:line="264"/>
      </w:pPr>
      <w:r>
        <w:t xml:space="preserve">Lead-time elasticity curves per route, with routes exceeding historical surge norms flagged.</w:t>
      </w:r>
    </w:p>
    <w:p>
      <w:pPr>
        <w:pStyle w:val="ListParagraph"/>
        <w:numPr>
          <w:ilvl w:val="0"/>
          <w:numId w:val="2"/>
        </w:numPr>
        <w:spacing w:after="60" w:line="264"/>
      </w:pPr>
      <w:r>
        <w:t xml:space="preserve">Booking-window spread sub-index as its own tracked chart.</w:t>
      </w:r>
    </w:p>
    <w:p>
      <w:pPr>
        <w:pStyle w:val="ListParagraph"/>
        <w:numPr>
          <w:ilvl w:val="0"/>
          <w:numId w:val="2"/>
        </w:numPr>
        <w:spacing w:after="60" w:line="264"/>
      </w:pPr>
      <w:r>
        <w:t xml:space="preserve">Confidence/coverage score shown alongside every index value — never a bare number.</w:t>
      </w:r>
    </w:p>
    <w:p>
      <w:pPr>
        <w:pStyle w:val="ListParagraph"/>
        <w:numPr>
          <w:ilvl w:val="0"/>
          <w:numId w:val="2"/>
        </w:numPr>
        <w:spacing w:after="60" w:line="264"/>
      </w:pPr>
      <w:r>
        <w:t xml:space="preserve">Anomaly feed with plain-language, cited annotations (festival surge, fuel revision, etc.).</w:t>
      </w:r>
    </w:p>
    <w:p>
      <w:pPr>
        <w:pStyle w:val="ListParagraph"/>
        <w:numPr>
          <w:ilvl w:val="0"/>
          <w:numId w:val="2"/>
        </w:numPr>
        <w:spacing w:after="60" w:line="264"/>
      </w:pPr>
      <w:r>
        <w:t xml:space="preserve">Backtest panel: APIx vs DGCA overlay with error metrics.</w:t>
      </w:r>
    </w:p>
    <w:p>
      <w:pPr>
        <w:pStyle w:val="ListParagraph"/>
        <w:numPr>
          <w:ilvl w:val="0"/>
          <w:numId w:val="2"/>
        </w:numPr>
        <w:spacing w:after="60" w:line="264"/>
      </w:pPr>
      <w:r>
        <w:t xml:space="preserve">Admin/source-health panel: per-source scrape success rate, last successful run, robots.txt compliance status — demonstrates operational maturity, not just analytics.</w:t>
      </w:r>
    </w:p>
    <w:p>
      <w:pPr>
        <w:pStyle w:val="ListParagraph"/>
        <w:numPr>
          <w:ilvl w:val="0"/>
          <w:numId w:val="2"/>
        </w:numPr>
        <w:spacing w:after="60" w:line="264"/>
      </w:pPr>
      <w:r>
        <w:t xml:space="preserve">Embedded chat interface for the NL query layer (§4.12).</w:t>
      </w:r>
    </w:p>
    <w:p>
      <w:pPr>
        <w:pStyle w:val="Heading2"/>
        <w:spacing w:after="120" w:before="240"/>
      </w:pPr>
      <w:r>
        <w:t xml:space="preserve">4.15 WhatsApp/Telegram Alert Bot</w:t>
      </w:r>
    </w:p>
    <w:p>
      <w:pPr>
        <w:spacing w:after="140" w:line="276"/>
      </w:pPr>
      <w:r>
        <w:t xml:space="preserve">Pushes proactive alerts to NSO analysts — e.g. “DEL-BOM APIx up 18% WoW.” Built on the Twilio WhatsApp Sandbox for the hackathon build specifically, because it requires no Meta Business approval wait — the standard production WhatsApp Business API approval process takes days to weeks, which would otherwise be a dead end for a hackathon timeline. Migration to a fully approved Business API number is a documented post-hackathon step, not a blocker for the demo.</w:t>
      </w:r>
    </w:p>
    <w:p>
      <w:pPr>
        <w:pStyle w:val="Heading2"/>
        <w:spacing w:after="120" w:before="240"/>
      </w:pPr>
      <w:r>
        <w:t xml:space="preserve">4.16 Daily Orchestration</w:t>
      </w:r>
    </w:p>
    <w:p>
      <w:pPr>
        <w:spacing w:after="140" w:line="276"/>
      </w:pPr>
      <w:r>
        <w:t xml:space="preserve">A scheduler (Airflow, or Prefect for a lighter footprint) drives Stages 1–5 automatically once a day, unattended — producing a genuinely accumulating dataset over the judging period rather than a one-shot demo run. DAGs: scrape_daily, scrape_intraday_delta (higher-frequency for T+1/T+7), dgca_ingest_monthly.</w:t>
      </w:r>
    </w:p>
    <w:p>
      <w:pPr>
        <w:pStyle w:val="Heading2"/>
        <w:spacing w:after="120" w:before="240"/>
      </w:pPr>
      <w:r>
        <w:t xml:space="preserve">4.17 CPI Substitutability Crosswalk</w:t>
      </w:r>
    </w:p>
    <w:p>
      <w:pPr>
        <w:spacing w:after="140" w:line="276"/>
      </w:pPr>
      <w:r>
        <w:t xml:space="preserve">A written methodology document proposing exactly how APIx could be folded into the real CPI Transport-and-Communication sub-group — including a proposed weighting approach and a transition plan alongside the existing manual collection rather than an abrupt replacement. This is the single highest-leverage deliverable in the submission: it reframes the project from “an impressive prototype” to “a ready-to-evaluate policy instrument,” which is the actual distinction a ministry-sponsored PS is judged on.</w:t>
      </w:r>
    </w:p>
    <w:p>
      <w:pPr>
        <w:pStyle w:val="Heading1"/>
        <w:spacing w:after="160" w:before="320"/>
      </w:pPr>
      <w:r>
        <w:t xml:space="preserve">5. Ethical &amp; Legal Scraping Compliance</w:t>
      </w:r>
    </w:p>
    <w:p>
      <w:pPr>
        <w:spacing w:after="140" w:line="276"/>
      </w:pPr>
      <w:r>
        <w:t xml:space="preserve">The PS text mentions handling “dynamic CAPTCHAs” and “IP rotation.” Actively building CAPTCHA-defeating systems to evade a website's anti-bot defenses sits in real legal and ToS grey territory — especially risky for a solution built for a government ministry. This solution is deliberately built around ethical, ToS-compliant, and technically superior collection instead:</w:t>
      </w:r>
    </w:p>
    <w:p>
      <w:pPr>
        <w:pStyle w:val="ListParagraph"/>
        <w:numPr>
          <w:ilvl w:val="0"/>
          <w:numId w:val="2"/>
        </w:numPr>
        <w:spacing w:after="60" w:line="264"/>
      </w:pPr>
      <w:r>
        <w:t xml:space="preserve">robots.txt compliance gate checked before every job is scheduled; a job auto-blocks itself if disallowed — logged in the sources table.</w:t>
      </w:r>
    </w:p>
    <w:p>
      <w:pPr>
        <w:pStyle w:val="ListParagraph"/>
        <w:numPr>
          <w:ilvl w:val="0"/>
          <w:numId w:val="2"/>
        </w:numPr>
        <w:spacing w:after="60" w:line="264"/>
      </w:pPr>
      <w:r>
        <w:t xml:space="preserve">Per-domain token-bucket rate limiter with randomized jitter, configured per source's documented ToS.</w:t>
      </w:r>
    </w:p>
    <w:p>
      <w:pPr>
        <w:pStyle w:val="ListParagraph"/>
        <w:numPr>
          <w:ilvl w:val="0"/>
          <w:numId w:val="2"/>
        </w:numPr>
        <w:spacing w:after="60" w:line="264"/>
      </w:pPr>
      <w:r>
        <w:t xml:space="preserve">Honest User-Agent identification, with contact information where a site requests it; no credential-based scraping of gated fares.</w:t>
      </w:r>
    </w:p>
    <w:p>
      <w:pPr>
        <w:pStyle w:val="ListParagraph"/>
        <w:numPr>
          <w:ilvl w:val="0"/>
          <w:numId w:val="2"/>
        </w:numPr>
        <w:spacing w:after="60" w:line="264"/>
      </w:pPr>
      <w:r>
        <w:t xml:space="preserve">Session/IP rotation used strictly for load distribution and avoiding false-positive rate-limit blocks — not to evade detection or circumvent an access restriction.</w:t>
      </w:r>
    </w:p>
    <w:p>
      <w:pPr>
        <w:pStyle w:val="ListParagraph"/>
        <w:numPr>
          <w:ilvl w:val="0"/>
          <w:numId w:val="2"/>
        </w:numPr>
        <w:spacing w:after="60" w:line="264"/>
      </w:pPr>
      <w:r>
        <w:t xml:space="preserve">Official channels preferred automatically wherever they exist (NDC/GDS partner feeds, airline or OTA affiliate APIs) via the SourceAdapter abstraction (§4.3) — scraping is the fallback, not the default.</w:t>
      </w:r>
    </w:p>
    <w:p>
      <w:pPr>
        <w:pStyle w:val="ListParagraph"/>
        <w:numPr>
          <w:ilvl w:val="0"/>
          <w:numId w:val="2"/>
        </w:numPr>
        <w:spacing w:after="60" w:line="264"/>
      </w:pPr>
      <w:r>
        <w:t xml:space="preserve">CAPTCHA handling: exponential backoff and requeue, plus a manual-review queue for persistent blocks. No CAPTCHA-solving automation is built — this keeps the system compliant and removes a real legal exposure, and is a stronger position for a government-adjacent submission than a technically “impressive” bypass would be.</w:t>
      </w:r>
    </w:p>
    <w:p>
      <w:pPr>
        <w:spacing w:after="140" w:line="276"/>
      </w:pPr>
      <w:r>
        <w:t xml:space="preserve">Engineering upside of this choice: network-interception-first scraping reads the same structured data contract a site's own frontend calls, so it survives UI redesigns that would break a naive DOM-parsing competitor outright. The ethical choice and the more robust engineering choice are the same choice here.</w:t>
      </w:r>
    </w:p>
    <w:p>
      <w:pPr>
        <w:pStyle w:val="Heading1"/>
        <w:spacing w:after="160" w:before="320"/>
      </w:pPr>
      <w:r>
        <w:t xml:space="preserve">6. Feasibility &amp; Risk-Closure</w:t>
      </w:r>
    </w:p>
    <w:p>
      <w:pPr>
        <w:spacing w:after="140" w:line="276"/>
      </w:pPr>
      <w:r>
        <w:t xml:space="preserve">Every component above that could plausibly be an access barrier, an assumption, or a demo-day failure point, addressed explicitly:</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4200"/>
        <w:gridCol w:w="6500"/>
      </w:tblGrid>
      <w:tr>
        <w:trPr>
          <w:tblHeader/>
        </w:trPr>
        <w:tc>
          <w:tcPr>
            <w:tcW w:type="dxa" w:w="4200"/>
            <w:shd w:fill="1A3C6E" w:val="clear"/>
            <w:tcMar>
              <w:top w:type="dxa" w:w="80"/>
              <w:left w:type="dxa" w:w="100"/>
              <w:bottom w:type="dxa" w:w="80"/>
              <w:right w:type="dxa" w:w="100"/>
            </w:tcMar>
          </w:tcPr>
          <w:p>
            <w:r>
              <w:rPr>
                <w:b/>
                <w:bCs/>
                <w:color w:val="FFFFFF"/>
                <w:sz w:val="19"/>
                <w:szCs w:val="19"/>
              </w:rPr>
              <w:t xml:space="preserve">Potential Gap</w:t>
            </w:r>
          </w:p>
        </w:tc>
        <w:tc>
          <w:tcPr>
            <w:tcW w:type="dxa" w:w="6500"/>
            <w:shd w:fill="1A3C6E" w:val="clear"/>
            <w:tcMar>
              <w:top w:type="dxa" w:w="80"/>
              <w:left w:type="dxa" w:w="100"/>
              <w:bottom w:type="dxa" w:w="80"/>
              <w:right w:type="dxa" w:w="100"/>
            </w:tcMar>
          </w:tcPr>
          <w:p>
            <w:r>
              <w:rPr>
                <w:b/>
                <w:bCs/>
                <w:color w:val="FFFFFF"/>
                <w:sz w:val="19"/>
                <w:szCs w:val="19"/>
              </w:rPr>
              <w:t xml:space="preserve">Resolution</w:t>
            </w:r>
          </w:p>
        </w:tc>
      </w:tr>
      <w:tr>
        <w:tc>
          <w:tcPr>
            <w:tcW w:type="dxa" w:w="4200"/>
            <w:tcMar>
              <w:top w:type="dxa" w:w="80"/>
              <w:left w:type="dxa" w:w="100"/>
              <w:bottom w:type="dxa" w:w="80"/>
              <w:right w:type="dxa" w:w="100"/>
            </w:tcMar>
          </w:tcPr>
          <w:p>
            <w:r>
              <w:rPr>
                <w:b w:val="false"/>
                <w:bCs w:val="false"/>
                <w:color w:val="1A1A1A"/>
                <w:sz w:val="19"/>
                <w:szCs w:val="19"/>
              </w:rPr>
              <w:t xml:space="preserve">OTA sites are heavily anti-bot protected; live scraping may get blocked mid-demo</w:t>
            </w:r>
          </w:p>
        </w:tc>
        <w:tc>
          <w:tcPr>
            <w:tcW w:type="dxa" w:w="6500"/>
            <w:tcMar>
              <w:top w:type="dxa" w:w="80"/>
              <w:left w:type="dxa" w:w="100"/>
              <w:bottom w:type="dxa" w:w="80"/>
              <w:right w:type="dxa" w:w="100"/>
            </w:tcMar>
          </w:tcPr>
          <w:p>
            <w:r>
              <w:rPr>
                <w:b w:val="false"/>
                <w:bCs w:val="false"/>
                <w:color w:val="1A1A1A"/>
                <w:sz w:val="19"/>
                <w:szCs w:val="19"/>
              </w:rPr>
              <w:t xml:space="preserve">§4.11 demo-resilience harness — cached snapshot + synthetic fallback dataset keeps the dashboard live even if a source blocks the scraper on stage</w:t>
            </w:r>
          </w:p>
        </w:tc>
      </w:tr>
      <w:tr>
        <w:tc>
          <w:tcPr>
            <w:tcW w:type="dxa" w:w="4200"/>
            <w:shd w:fill="EEF2F7" w:val="clear"/>
            <w:tcMar>
              <w:top w:type="dxa" w:w="80"/>
              <w:left w:type="dxa" w:w="100"/>
              <w:bottom w:type="dxa" w:w="80"/>
              <w:right w:type="dxa" w:w="100"/>
            </w:tcMar>
          </w:tcPr>
          <w:p>
            <w:r>
              <w:rPr>
                <w:b w:val="false"/>
                <w:bCs w:val="false"/>
                <w:color w:val="1A1A1A"/>
                <w:sz w:val="19"/>
                <w:szCs w:val="19"/>
              </w:rPr>
              <w:t xml:space="preserve">Two conflicting index formulas existed across earlier drafts (Laspeyres vs Törnqvist)</w:t>
            </w:r>
          </w:p>
        </w:tc>
        <w:tc>
          <w:tcPr>
            <w:tcW w:type="dxa" w:w="6500"/>
            <w:shd w:fill="EEF2F7" w:val="clear"/>
            <w:tcMar>
              <w:top w:type="dxa" w:w="80"/>
              <w:left w:type="dxa" w:w="100"/>
              <w:bottom w:type="dxa" w:w="80"/>
              <w:right w:type="dxa" w:w="100"/>
            </w:tcMar>
          </w:tcPr>
          <w:p>
            <w:r>
              <w:rPr>
                <w:b w:val="false"/>
                <w:bCs w:val="false"/>
                <w:color w:val="1A1A1A"/>
                <w:sz w:val="19"/>
                <w:szCs w:val="19"/>
              </w:rPr>
              <w:t xml:space="preserve">Reconciled to one methodology (§4.7) — Törnqvist chained index, used consistently throughout</w:t>
            </w:r>
          </w:p>
        </w:tc>
      </w:tr>
      <w:tr>
        <w:tc>
          <w:tcPr>
            <w:tcW w:type="dxa" w:w="4200"/>
            <w:tcMar>
              <w:top w:type="dxa" w:w="80"/>
              <w:left w:type="dxa" w:w="100"/>
              <w:bottom w:type="dxa" w:w="80"/>
              <w:right w:type="dxa" w:w="100"/>
            </w:tcMar>
          </w:tcPr>
          <w:p>
            <w:r>
              <w:rPr>
                <w:b w:val="false"/>
                <w:bCs w:val="false"/>
                <w:color w:val="1A1A1A"/>
                <w:sz w:val="19"/>
                <w:szCs w:val="19"/>
              </w:rPr>
              <w:t xml:space="preserve">Booking-window weights assumed external OTA booking-curve data that may not be publicly accessible</w:t>
            </w:r>
          </w:p>
        </w:tc>
        <w:tc>
          <w:tcPr>
            <w:tcW w:type="dxa" w:w="6500"/>
            <w:tcMar>
              <w:top w:type="dxa" w:w="80"/>
              <w:left w:type="dxa" w:w="100"/>
              <w:bottom w:type="dxa" w:w="80"/>
              <w:right w:type="dxa" w:w="100"/>
            </w:tcMar>
          </w:tcPr>
          <w:p>
            <w:r>
              <w:rPr>
                <w:b w:val="false"/>
                <w:bCs w:val="false"/>
                <w:color w:val="1A1A1A"/>
                <w:sz w:val="19"/>
                <w:szCs w:val="19"/>
              </w:rPr>
              <w:t xml:space="preserve">Replaced with self-derived weights from the system's own accumulated scrape distribution (§4.7)</w:t>
            </w:r>
          </w:p>
        </w:tc>
      </w:tr>
      <w:tr>
        <w:tc>
          <w:tcPr>
            <w:tcW w:type="dxa" w:w="4200"/>
            <w:shd w:fill="EEF2F7" w:val="clear"/>
            <w:tcMar>
              <w:top w:type="dxa" w:w="80"/>
              <w:left w:type="dxa" w:w="100"/>
              <w:bottom w:type="dxa" w:w="80"/>
              <w:right w:type="dxa" w:w="100"/>
            </w:tcMar>
          </w:tcPr>
          <w:p>
            <w:r>
              <w:rPr>
                <w:b w:val="false"/>
                <w:bCs w:val="false"/>
                <w:color w:val="1A1A1A"/>
                <w:sz w:val="19"/>
                <w:szCs w:val="19"/>
              </w:rPr>
              <w:t xml:space="preserve">WhatsApp Business API requires Meta approval that can take days–weeks</w:t>
            </w:r>
          </w:p>
        </w:tc>
        <w:tc>
          <w:tcPr>
            <w:tcW w:type="dxa" w:w="6500"/>
            <w:shd w:fill="EEF2F7" w:val="clear"/>
            <w:tcMar>
              <w:top w:type="dxa" w:w="80"/>
              <w:left w:type="dxa" w:w="100"/>
              <w:bottom w:type="dxa" w:w="80"/>
              <w:right w:type="dxa" w:w="100"/>
            </w:tcMar>
          </w:tcPr>
          <w:p>
            <w:r>
              <w:rPr>
                <w:b w:val="false"/>
                <w:bCs w:val="false"/>
                <w:color w:val="1A1A1A"/>
                <w:sz w:val="19"/>
                <w:szCs w:val="19"/>
              </w:rPr>
              <w:t xml:space="preserve">Twilio WhatsApp Sandbox specified for the hackathon build (§4.15) — no approval wait</w:t>
            </w:r>
          </w:p>
        </w:tc>
      </w:tr>
      <w:tr>
        <w:tc>
          <w:tcPr>
            <w:tcW w:type="dxa" w:w="4200"/>
            <w:tcMar>
              <w:top w:type="dxa" w:w="80"/>
              <w:left w:type="dxa" w:w="100"/>
              <w:bottom w:type="dxa" w:w="80"/>
              <w:right w:type="dxa" w:w="100"/>
            </w:tcMar>
          </w:tcPr>
          <w:p>
            <w:r>
              <w:rPr>
                <w:b w:val="false"/>
                <w:bCs w:val="false"/>
                <w:color w:val="1A1A1A"/>
                <w:sz w:val="19"/>
                <w:szCs w:val="19"/>
              </w:rPr>
              <w:t xml:space="preserve">“Which 5 airlines + 6 OTAs, scraped how” was previously generic</w:t>
            </w:r>
          </w:p>
        </w:tc>
        <w:tc>
          <w:tcPr>
            <w:tcW w:type="dxa" w:w="6500"/>
            <w:tcMar>
              <w:top w:type="dxa" w:w="80"/>
              <w:left w:type="dxa" w:w="100"/>
              <w:bottom w:type="dxa" w:w="80"/>
              <w:right w:type="dxa" w:w="100"/>
            </w:tcMar>
          </w:tcPr>
          <w:p>
            <w:r>
              <w:rPr>
                <w:b w:val="false"/>
                <w:bCs w:val="false"/>
                <w:color w:val="1A1A1A"/>
                <w:sz w:val="19"/>
                <w:szCs w:val="19"/>
              </w:rPr>
              <w:t xml:space="preserve">Explicit per-source adapter table (§4.3) naming method + fallback for every one of the 11 named sources</w:t>
            </w:r>
          </w:p>
        </w:tc>
      </w:tr>
      <w:tr>
        <w:tc>
          <w:tcPr>
            <w:tcW w:type="dxa" w:w="4200"/>
            <w:shd w:fill="EEF2F7" w:val="clear"/>
            <w:tcMar>
              <w:top w:type="dxa" w:w="80"/>
              <w:left w:type="dxa" w:w="100"/>
              <w:bottom w:type="dxa" w:w="80"/>
              <w:right w:type="dxa" w:w="100"/>
            </w:tcMar>
          </w:tcPr>
          <w:p>
            <w:r>
              <w:rPr>
                <w:b w:val="false"/>
                <w:bCs w:val="false"/>
                <w:color w:val="1A1A1A"/>
                <w:sz w:val="19"/>
                <w:szCs w:val="19"/>
              </w:rPr>
              <w:t xml:space="preserve">Cancelled/sold-out handling was described but had no schema field</w:t>
            </w:r>
          </w:p>
        </w:tc>
        <w:tc>
          <w:tcPr>
            <w:tcW w:type="dxa" w:w="6500"/>
            <w:shd w:fill="EEF2F7" w:val="clear"/>
            <w:tcMar>
              <w:top w:type="dxa" w:w="80"/>
              <w:left w:type="dxa" w:w="100"/>
              <w:bottom w:type="dxa" w:w="80"/>
              <w:right w:type="dxa" w:w="100"/>
            </w:tcMar>
          </w:tcPr>
          <w:p>
            <w:r>
              <w:rPr>
                <w:b w:val="false"/>
                <w:bCs w:val="false"/>
                <w:color w:val="1A1A1A"/>
                <w:sz w:val="19"/>
                <w:szCs w:val="19"/>
              </w:rPr>
              <w:t xml:space="preserve">flight_status field added to fare_quotes (§4.5, §4.6)</w:t>
            </w:r>
          </w:p>
        </w:tc>
      </w:tr>
      <w:tr>
        <w:tc>
          <w:tcPr>
            <w:tcW w:type="dxa" w:w="4200"/>
            <w:tcMar>
              <w:top w:type="dxa" w:w="80"/>
              <w:left w:type="dxa" w:w="100"/>
              <w:bottom w:type="dxa" w:w="80"/>
              <w:right w:type="dxa" w:w="100"/>
            </w:tcMar>
          </w:tcPr>
          <w:p>
            <w:r>
              <w:rPr>
                <w:b w:val="false"/>
                <w:bCs w:val="false"/>
                <w:color w:val="1A1A1A"/>
                <w:sz w:val="19"/>
                <w:szCs w:val="19"/>
              </w:rPr>
              <w:t xml:space="preserve">Business/premium fares had no defined treatment</w:t>
            </w:r>
          </w:p>
        </w:tc>
        <w:tc>
          <w:tcPr>
            <w:tcW w:type="dxa" w:w="6500"/>
            <w:tcMar>
              <w:top w:type="dxa" w:w="80"/>
              <w:left w:type="dxa" w:w="100"/>
              <w:bottom w:type="dxa" w:w="80"/>
              <w:right w:type="dxa" w:w="100"/>
            </w:tcMar>
          </w:tcPr>
          <w:p>
            <w:r>
              <w:rPr>
                <w:b w:val="false"/>
                <w:bCs w:val="false"/>
                <w:color w:val="1A1A1A"/>
                <w:sz w:val="19"/>
                <w:szCs w:val="19"/>
              </w:rPr>
              <w:t xml:space="preserve">Explicit fare-class dimension — economy is the index baseline, business/premium is a separate sub-index (§4.5, §4.7.3)</w:t>
            </w:r>
          </w:p>
        </w:tc>
      </w:tr>
      <w:tr>
        <w:tc>
          <w:tcPr>
            <w:tcW w:type="dxa" w:w="4200"/>
            <w:shd w:fill="EEF2F7" w:val="clear"/>
            <w:tcMar>
              <w:top w:type="dxa" w:w="80"/>
              <w:left w:type="dxa" w:w="100"/>
              <w:bottom w:type="dxa" w:w="80"/>
              <w:right w:type="dxa" w:w="100"/>
            </w:tcMar>
          </w:tcPr>
          <w:p>
            <w:r>
              <w:rPr>
                <w:b w:val="false"/>
                <w:bCs w:val="false"/>
                <w:color w:val="1A1A1A"/>
                <w:sz w:val="19"/>
                <w:szCs w:val="19"/>
              </w:rPr>
              <w:t xml:space="preserve">GraphQL and Kubernetes were listed as if already built</w:t>
            </w:r>
          </w:p>
        </w:tc>
        <w:tc>
          <w:tcPr>
            <w:tcW w:type="dxa" w:w="6500"/>
            <w:shd w:fill="EEF2F7" w:val="clear"/>
            <w:tcMar>
              <w:top w:type="dxa" w:w="80"/>
              <w:left w:type="dxa" w:w="100"/>
              <w:bottom w:type="dxa" w:w="80"/>
              <w:right w:type="dxa" w:w="100"/>
            </w:tcMar>
          </w:tcPr>
          <w:p>
            <w:r>
              <w:rPr>
                <w:b w:val="false"/>
                <w:bCs w:val="false"/>
                <w:color w:val="1A1A1A"/>
                <w:sz w:val="19"/>
                <w:szCs w:val="19"/>
              </w:rPr>
              <w:t xml:space="preserve">Reclassified as documented stretch/future goals (§4.13, §10), not core deliverables — avoids overclaiming what ships in the hackathon window</w:t>
            </w:r>
          </w:p>
        </w:tc>
      </w:tr>
      <w:tr>
        <w:tc>
          <w:tcPr>
            <w:tcW w:type="dxa" w:w="4200"/>
            <w:tcMar>
              <w:top w:type="dxa" w:w="80"/>
              <w:left w:type="dxa" w:w="100"/>
              <w:bottom w:type="dxa" w:w="80"/>
              <w:right w:type="dxa" w:w="100"/>
            </w:tcMar>
          </w:tcPr>
          <w:p>
            <w:r>
              <w:rPr>
                <w:b w:val="false"/>
                <w:bCs w:val="false"/>
                <w:color w:val="1A1A1A"/>
                <w:sz w:val="19"/>
                <w:szCs w:val="19"/>
              </w:rPr>
              <w:t xml:space="preserve">DGCA/IOCL source data availability</w:t>
            </w:r>
          </w:p>
        </w:tc>
        <w:tc>
          <w:tcPr>
            <w:tcW w:type="dxa" w:w="6500"/>
            <w:tcMar>
              <w:top w:type="dxa" w:w="80"/>
              <w:left w:type="dxa" w:w="100"/>
              <w:bottom w:type="dxa" w:w="80"/>
              <w:right w:type="dxa" w:w="100"/>
            </w:tcMar>
          </w:tcPr>
          <w:p>
            <w:r>
              <w:rPr>
                <w:b w:val="false"/>
                <w:bCs w:val="false"/>
                <w:color w:val="1A1A1A"/>
                <w:sz w:val="19"/>
                <w:szCs w:val="19"/>
              </w:rPr>
              <w:t xml:space="preserve">Both are public, downloadable government/PSU publications — no access barrier; ingestion jobs parse PDF/CSV as published</w:t>
            </w:r>
          </w:p>
        </w:tc>
      </w:tr>
      <w:tr>
        <w:tc>
          <w:tcPr>
            <w:tcW w:type="dxa" w:w="4200"/>
            <w:shd w:fill="EEF2F7" w:val="clear"/>
            <w:tcMar>
              <w:top w:type="dxa" w:w="80"/>
              <w:left w:type="dxa" w:w="100"/>
              <w:bottom w:type="dxa" w:w="80"/>
              <w:right w:type="dxa" w:w="100"/>
            </w:tcMar>
          </w:tcPr>
          <w:p>
            <w:r>
              <w:rPr>
                <w:b w:val="false"/>
                <w:bCs w:val="false"/>
                <w:color w:val="1A1A1A"/>
                <w:sz w:val="19"/>
                <w:szCs w:val="19"/>
              </w:rPr>
              <w:t xml:space="preserve">RAG layer needs an LLM API and could hallucinate</w:t>
            </w:r>
          </w:p>
        </w:tc>
        <w:tc>
          <w:tcPr>
            <w:tcW w:type="dxa" w:w="6500"/>
            <w:shd w:fill="EEF2F7" w:val="clear"/>
            <w:tcMar>
              <w:top w:type="dxa" w:w="80"/>
              <w:left w:type="dxa" w:w="100"/>
              <w:bottom w:type="dxa" w:w="80"/>
              <w:right w:type="dxa" w:w="100"/>
            </w:tcMar>
          </w:tcPr>
          <w:p>
            <w:r>
              <w:rPr>
                <w:b w:val="false"/>
                <w:bCs w:val="false"/>
                <w:color w:val="1A1A1A"/>
                <w:sz w:val="19"/>
                <w:szCs w:val="19"/>
              </w:rPr>
              <w:t xml:space="preserve">Scoped to answer only from retrieved records in fare_quotes/events_and_costs, with citations; refuses ungrounded questions rather than guessing</w:t>
            </w:r>
          </w:p>
        </w:tc>
      </w:tr>
    </w:tbl>
    <w:p>
      <w:pPr>
        <w:pStyle w:val="Heading1"/>
        <w:spacing w:after="160" w:before="320"/>
      </w:pPr>
      <w:r>
        <w:t xml:space="preserve">7. Tech Stack</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400"/>
        <w:gridCol w:w="8300"/>
      </w:tblGrid>
      <w:tr>
        <w:trPr>
          <w:tblHeader/>
        </w:trPr>
        <w:tc>
          <w:tcPr>
            <w:tcW w:type="dxa" w:w="2400"/>
            <w:shd w:fill="1A3C6E" w:val="clear"/>
            <w:tcMar>
              <w:top w:type="dxa" w:w="80"/>
              <w:left w:type="dxa" w:w="100"/>
              <w:bottom w:type="dxa" w:w="80"/>
              <w:right w:type="dxa" w:w="100"/>
            </w:tcMar>
          </w:tcPr>
          <w:p>
            <w:r>
              <w:rPr>
                <w:b/>
                <w:bCs/>
                <w:color w:val="FFFFFF"/>
                <w:sz w:val="19"/>
                <w:szCs w:val="19"/>
              </w:rPr>
              <w:t xml:space="preserve">Layer</w:t>
            </w:r>
          </w:p>
        </w:tc>
        <w:tc>
          <w:tcPr>
            <w:tcW w:type="dxa" w:w="8300"/>
            <w:shd w:fill="1A3C6E" w:val="clear"/>
            <w:tcMar>
              <w:top w:type="dxa" w:w="80"/>
              <w:left w:type="dxa" w:w="100"/>
              <w:bottom w:type="dxa" w:w="80"/>
              <w:right w:type="dxa" w:w="100"/>
            </w:tcMar>
          </w:tcPr>
          <w:p>
            <w:r>
              <w:rPr>
                <w:b/>
                <w:bCs/>
                <w:color w:val="FFFFFF"/>
                <w:sz w:val="19"/>
                <w:szCs w:val="19"/>
              </w:rPr>
              <w:t xml:space="preserve">Choice</w:t>
            </w:r>
          </w:p>
        </w:tc>
      </w:tr>
      <w:tr>
        <w:tc>
          <w:tcPr>
            <w:tcW w:type="dxa" w:w="2400"/>
            <w:tcMar>
              <w:top w:type="dxa" w:w="80"/>
              <w:left w:type="dxa" w:w="100"/>
              <w:bottom w:type="dxa" w:w="80"/>
              <w:right w:type="dxa" w:w="100"/>
            </w:tcMar>
          </w:tcPr>
          <w:p>
            <w:r>
              <w:rPr>
                <w:b w:val="false"/>
                <w:bCs w:val="false"/>
                <w:color w:val="1A1A1A"/>
                <w:sz w:val="19"/>
                <w:szCs w:val="19"/>
              </w:rPr>
              <w:t xml:space="preserve">Scraping</w:t>
            </w:r>
          </w:p>
        </w:tc>
        <w:tc>
          <w:tcPr>
            <w:tcW w:type="dxa" w:w="8300"/>
            <w:tcMar>
              <w:top w:type="dxa" w:w="80"/>
              <w:left w:type="dxa" w:w="100"/>
              <w:bottom w:type="dxa" w:w="80"/>
              <w:right w:type="dxa" w:w="100"/>
            </w:tcMar>
          </w:tcPr>
          <w:p>
            <w:r>
              <w:rPr>
                <w:b w:val="false"/>
                <w:bCs w:val="false"/>
                <w:color w:val="1A1A1A"/>
                <w:sz w:val="19"/>
                <w:szCs w:val="19"/>
              </w:rPr>
              <w:t xml:space="preserve">Python, Playwright, Scrapy, Celery + Redis queue</w:t>
            </w:r>
          </w:p>
        </w:tc>
      </w:tr>
      <w:tr>
        <w:tc>
          <w:tcPr>
            <w:tcW w:type="dxa" w:w="2400"/>
            <w:shd w:fill="EEF2F7" w:val="clear"/>
            <w:tcMar>
              <w:top w:type="dxa" w:w="80"/>
              <w:left w:type="dxa" w:w="100"/>
              <w:bottom w:type="dxa" w:w="80"/>
              <w:right w:type="dxa" w:w="100"/>
            </w:tcMar>
          </w:tcPr>
          <w:p>
            <w:r>
              <w:rPr>
                <w:b w:val="false"/>
                <w:bCs w:val="false"/>
                <w:color w:val="1A1A1A"/>
                <w:sz w:val="19"/>
                <w:szCs w:val="19"/>
              </w:rPr>
              <w:t xml:space="preserve">Orchestration</w:t>
            </w:r>
          </w:p>
        </w:tc>
        <w:tc>
          <w:tcPr>
            <w:tcW w:type="dxa" w:w="8300"/>
            <w:shd w:fill="EEF2F7" w:val="clear"/>
            <w:tcMar>
              <w:top w:type="dxa" w:w="80"/>
              <w:left w:type="dxa" w:w="100"/>
              <w:bottom w:type="dxa" w:w="80"/>
              <w:right w:type="dxa" w:w="100"/>
            </w:tcMar>
          </w:tcPr>
          <w:p>
            <w:r>
              <w:rPr>
                <w:b w:val="false"/>
                <w:bCs w:val="false"/>
                <w:color w:val="1A1A1A"/>
                <w:sz w:val="19"/>
                <w:szCs w:val="19"/>
              </w:rPr>
              <w:t xml:space="preserve">Airflow (or Prefect for a lighter footprint)</w:t>
            </w:r>
          </w:p>
        </w:tc>
      </w:tr>
      <w:tr>
        <w:tc>
          <w:tcPr>
            <w:tcW w:type="dxa" w:w="2400"/>
            <w:tcMar>
              <w:top w:type="dxa" w:w="80"/>
              <w:left w:type="dxa" w:w="100"/>
              <w:bottom w:type="dxa" w:w="80"/>
              <w:right w:type="dxa" w:w="100"/>
            </w:tcMar>
          </w:tcPr>
          <w:p>
            <w:r>
              <w:rPr>
                <w:b w:val="false"/>
                <w:bCs w:val="false"/>
                <w:color w:val="1A1A1A"/>
                <w:sz w:val="19"/>
                <w:szCs w:val="19"/>
              </w:rPr>
              <w:t xml:space="preserve">Storage</w:t>
            </w:r>
          </w:p>
        </w:tc>
        <w:tc>
          <w:tcPr>
            <w:tcW w:type="dxa" w:w="8300"/>
            <w:tcMar>
              <w:top w:type="dxa" w:w="80"/>
              <w:left w:type="dxa" w:w="100"/>
              <w:bottom w:type="dxa" w:w="80"/>
              <w:right w:type="dxa" w:w="100"/>
            </w:tcMar>
          </w:tcPr>
          <w:p>
            <w:r>
              <w:rPr>
                <w:b w:val="false"/>
                <w:bCs w:val="false"/>
                <w:color w:val="1A1A1A"/>
                <w:sz w:val="19"/>
                <w:szCs w:val="19"/>
              </w:rPr>
              <w:t xml:space="preserve">PostgreSQL + TimescaleDB; S3/MinIO for raw payload archive</w:t>
            </w:r>
          </w:p>
        </w:tc>
      </w:tr>
      <w:tr>
        <w:tc>
          <w:tcPr>
            <w:tcW w:type="dxa" w:w="2400"/>
            <w:shd w:fill="EEF2F7" w:val="clear"/>
            <w:tcMar>
              <w:top w:type="dxa" w:w="80"/>
              <w:left w:type="dxa" w:w="100"/>
              <w:bottom w:type="dxa" w:w="80"/>
              <w:right w:type="dxa" w:w="100"/>
            </w:tcMar>
          </w:tcPr>
          <w:p>
            <w:r>
              <w:rPr>
                <w:b w:val="false"/>
                <w:bCs w:val="false"/>
                <w:color w:val="1A1A1A"/>
                <w:sz w:val="19"/>
                <w:szCs w:val="19"/>
              </w:rPr>
              <w:t xml:space="preserve">Backend/API</w:t>
            </w:r>
          </w:p>
        </w:tc>
        <w:tc>
          <w:tcPr>
            <w:tcW w:type="dxa" w:w="8300"/>
            <w:shd w:fill="EEF2F7" w:val="clear"/>
            <w:tcMar>
              <w:top w:type="dxa" w:w="80"/>
              <w:left w:type="dxa" w:w="100"/>
              <w:bottom w:type="dxa" w:w="80"/>
              <w:right w:type="dxa" w:w="100"/>
            </w:tcMar>
          </w:tcPr>
          <w:p>
            <w:r>
              <w:rPr>
                <w:b w:val="false"/>
                <w:bCs w:val="false"/>
                <w:color w:val="1A1A1A"/>
                <w:sz w:val="19"/>
                <w:szCs w:val="19"/>
              </w:rPr>
              <w:t xml:space="preserve">FastAPI, Pydantic (REST core; GraphQL as a stretch goal)</w:t>
            </w:r>
          </w:p>
        </w:tc>
      </w:tr>
      <w:tr>
        <w:tc>
          <w:tcPr>
            <w:tcW w:type="dxa" w:w="2400"/>
            <w:tcMar>
              <w:top w:type="dxa" w:w="80"/>
              <w:left w:type="dxa" w:w="100"/>
              <w:bottom w:type="dxa" w:w="80"/>
              <w:right w:type="dxa" w:w="100"/>
            </w:tcMar>
          </w:tcPr>
          <w:p>
            <w:r>
              <w:rPr>
                <w:b w:val="false"/>
                <w:bCs w:val="false"/>
                <w:color w:val="1A1A1A"/>
                <w:sz w:val="19"/>
                <w:szCs w:val="19"/>
              </w:rPr>
              <w:t xml:space="preserve">Index/ML</w:t>
            </w:r>
          </w:p>
        </w:tc>
        <w:tc>
          <w:tcPr>
            <w:tcW w:type="dxa" w:w="8300"/>
            <w:tcMar>
              <w:top w:type="dxa" w:w="80"/>
              <w:left w:type="dxa" w:w="100"/>
              <w:bottom w:type="dxa" w:w="80"/>
              <w:right w:type="dxa" w:w="100"/>
            </w:tcMar>
          </w:tcPr>
          <w:p>
            <w:r>
              <w:rPr>
                <w:b w:val="false"/>
                <w:bCs w:val="false"/>
                <w:color w:val="1A1A1A"/>
                <w:sz w:val="19"/>
                <w:szCs w:val="19"/>
              </w:rPr>
              <w:t xml:space="preserve">pandas, statsmodels/Prophet for forecasting</w:t>
            </w:r>
          </w:p>
        </w:tc>
      </w:tr>
      <w:tr>
        <w:tc>
          <w:tcPr>
            <w:tcW w:type="dxa" w:w="2400"/>
            <w:shd w:fill="EEF2F7" w:val="clear"/>
            <w:tcMar>
              <w:top w:type="dxa" w:w="80"/>
              <w:left w:type="dxa" w:w="100"/>
              <w:bottom w:type="dxa" w:w="80"/>
              <w:right w:type="dxa" w:w="100"/>
            </w:tcMar>
          </w:tcPr>
          <w:p>
            <w:r>
              <w:rPr>
                <w:b w:val="false"/>
                <w:bCs w:val="false"/>
                <w:color w:val="1A1A1A"/>
                <w:sz w:val="19"/>
                <w:szCs w:val="19"/>
              </w:rPr>
              <w:t xml:space="preserve">Frontend</w:t>
            </w:r>
          </w:p>
        </w:tc>
        <w:tc>
          <w:tcPr>
            <w:tcW w:type="dxa" w:w="8300"/>
            <w:shd w:fill="EEF2F7" w:val="clear"/>
            <w:tcMar>
              <w:top w:type="dxa" w:w="80"/>
              <w:left w:type="dxa" w:w="100"/>
              <w:bottom w:type="dxa" w:w="80"/>
              <w:right w:type="dxa" w:w="100"/>
            </w:tcMar>
          </w:tcPr>
          <w:p>
            <w:r>
              <w:rPr>
                <w:b w:val="false"/>
                <w:bCs w:val="false"/>
                <w:color w:val="1A1A1A"/>
                <w:sz w:val="19"/>
                <w:szCs w:val="19"/>
              </w:rPr>
              <w:t xml:space="preserve">React + TypeScript + Tailwind + Recharts/D3</w:t>
            </w:r>
          </w:p>
        </w:tc>
      </w:tr>
      <w:tr>
        <w:tc>
          <w:tcPr>
            <w:tcW w:type="dxa" w:w="2400"/>
            <w:tcMar>
              <w:top w:type="dxa" w:w="80"/>
              <w:left w:type="dxa" w:w="100"/>
              <w:bottom w:type="dxa" w:w="80"/>
              <w:right w:type="dxa" w:w="100"/>
            </w:tcMar>
          </w:tcPr>
          <w:p>
            <w:r>
              <w:rPr>
                <w:b w:val="false"/>
                <w:bCs w:val="false"/>
                <w:color w:val="1A1A1A"/>
                <w:sz w:val="19"/>
                <w:szCs w:val="19"/>
              </w:rPr>
              <w:t xml:space="preserve">Alerts</w:t>
            </w:r>
          </w:p>
        </w:tc>
        <w:tc>
          <w:tcPr>
            <w:tcW w:type="dxa" w:w="8300"/>
            <w:tcMar>
              <w:top w:type="dxa" w:w="80"/>
              <w:left w:type="dxa" w:w="100"/>
              <w:bottom w:type="dxa" w:w="80"/>
              <w:right w:type="dxa" w:w="100"/>
            </w:tcMar>
          </w:tcPr>
          <w:p>
            <w:r>
              <w:rPr>
                <w:b w:val="false"/>
                <w:bCs w:val="false"/>
                <w:color w:val="1A1A1A"/>
                <w:sz w:val="19"/>
                <w:szCs w:val="19"/>
              </w:rPr>
              <w:t xml:space="preserve">Twilio WhatsApp Sandbox API</w:t>
            </w:r>
          </w:p>
        </w:tc>
      </w:tr>
      <w:tr>
        <w:tc>
          <w:tcPr>
            <w:tcW w:type="dxa" w:w="2400"/>
            <w:shd w:fill="EEF2F7" w:val="clear"/>
            <w:tcMar>
              <w:top w:type="dxa" w:w="80"/>
              <w:left w:type="dxa" w:w="100"/>
              <w:bottom w:type="dxa" w:w="80"/>
              <w:right w:type="dxa" w:w="100"/>
            </w:tcMar>
          </w:tcPr>
          <w:p>
            <w:r>
              <w:rPr>
                <w:b w:val="false"/>
                <w:bCs w:val="false"/>
                <w:color w:val="1A1A1A"/>
                <w:sz w:val="19"/>
                <w:szCs w:val="19"/>
              </w:rPr>
              <w:t xml:space="preserve">RAG/NL layer</w:t>
            </w:r>
          </w:p>
        </w:tc>
        <w:tc>
          <w:tcPr>
            <w:tcW w:type="dxa" w:w="8300"/>
            <w:shd w:fill="EEF2F7" w:val="clear"/>
            <w:tcMar>
              <w:top w:type="dxa" w:w="80"/>
              <w:left w:type="dxa" w:w="100"/>
              <w:bottom w:type="dxa" w:w="80"/>
              <w:right w:type="dxa" w:w="100"/>
            </w:tcMar>
          </w:tcPr>
          <w:p>
            <w:r>
              <w:rPr>
                <w:b w:val="false"/>
                <w:bCs w:val="false"/>
                <w:color w:val="1A1A1A"/>
                <w:sz w:val="19"/>
                <w:szCs w:val="19"/>
              </w:rPr>
              <w:t xml:space="preserve">FastAPI microservice + vector store (Chroma/FAISS)</w:t>
            </w:r>
          </w:p>
        </w:tc>
      </w:tr>
      <w:tr>
        <w:tc>
          <w:tcPr>
            <w:tcW w:type="dxa" w:w="2400"/>
            <w:tcMar>
              <w:top w:type="dxa" w:w="80"/>
              <w:left w:type="dxa" w:w="100"/>
              <w:bottom w:type="dxa" w:w="80"/>
              <w:right w:type="dxa" w:w="100"/>
            </w:tcMar>
          </w:tcPr>
          <w:p>
            <w:r>
              <w:rPr>
                <w:b w:val="false"/>
                <w:bCs w:val="false"/>
                <w:color w:val="1A1A1A"/>
                <w:sz w:val="19"/>
                <w:szCs w:val="19"/>
              </w:rPr>
              <w:t xml:space="preserve">Infra</w:t>
            </w:r>
          </w:p>
        </w:tc>
        <w:tc>
          <w:tcPr>
            <w:tcW w:type="dxa" w:w="8300"/>
            <w:tcMar>
              <w:top w:type="dxa" w:w="80"/>
              <w:left w:type="dxa" w:w="100"/>
              <w:bottom w:type="dxa" w:w="80"/>
              <w:right w:type="dxa" w:w="100"/>
            </w:tcMar>
          </w:tcPr>
          <w:p>
            <w:r>
              <w:rPr>
                <w:b w:val="false"/>
                <w:bCs w:val="false"/>
                <w:color w:val="1A1A1A"/>
                <w:sz w:val="19"/>
                <w:szCs w:val="19"/>
              </w:rPr>
              <w:t xml:space="preserve">Docker Compose for the hackathon build; Kubernetes noted only as a future production path, not built</w:t>
            </w:r>
          </w:p>
        </w:tc>
      </w:tr>
      <w:tr>
        <w:tc>
          <w:tcPr>
            <w:tcW w:type="dxa" w:w="2400"/>
            <w:shd w:fill="EEF2F7" w:val="clear"/>
            <w:tcMar>
              <w:top w:type="dxa" w:w="80"/>
              <w:left w:type="dxa" w:w="100"/>
              <w:bottom w:type="dxa" w:w="80"/>
              <w:right w:type="dxa" w:w="100"/>
            </w:tcMar>
          </w:tcPr>
          <w:p>
            <w:r>
              <w:rPr>
                <w:b w:val="false"/>
                <w:bCs w:val="false"/>
                <w:color w:val="1A1A1A"/>
                <w:sz w:val="19"/>
                <w:szCs w:val="19"/>
              </w:rPr>
              <w:t xml:space="preserve">Testing</w:t>
            </w:r>
          </w:p>
        </w:tc>
        <w:tc>
          <w:tcPr>
            <w:tcW w:type="dxa" w:w="8300"/>
            <w:shd w:fill="EEF2F7" w:val="clear"/>
            <w:tcMar>
              <w:top w:type="dxa" w:w="80"/>
              <w:left w:type="dxa" w:w="100"/>
              <w:bottom w:type="dxa" w:w="80"/>
              <w:right w:type="dxa" w:w="100"/>
            </w:tcMar>
          </w:tcPr>
          <w:p>
            <w:r>
              <w:rPr>
                <w:b w:val="false"/>
                <w:bCs w:val="false"/>
                <w:color w:val="1A1A1A"/>
                <w:sz w:val="19"/>
                <w:szCs w:val="19"/>
              </w:rPr>
              <w:t xml:space="preserve">pytest for pipeline/index-math correctness; Great Expectations for data-quality checks</w:t>
            </w:r>
          </w:p>
        </w:tc>
      </w:tr>
    </w:tbl>
    <w:p>
      <w:pPr>
        <w:pStyle w:val="Heading1"/>
        <w:spacing w:after="160" w:before="320"/>
      </w:pPr>
      <w:r>
        <w:t xml:space="preserve">8. Build Roadmap (36–48h)</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700"/>
        <w:gridCol w:w="8900"/>
      </w:tblGrid>
      <w:tr>
        <w:trPr>
          <w:tblHeader/>
        </w:trPr>
        <w:tc>
          <w:tcPr>
            <w:tcW w:type="dxa" w:w="1700"/>
            <w:shd w:fill="1A3C6E" w:val="clear"/>
            <w:tcMar>
              <w:top w:type="dxa" w:w="80"/>
              <w:left w:type="dxa" w:w="100"/>
              <w:bottom w:type="dxa" w:w="80"/>
              <w:right w:type="dxa" w:w="100"/>
            </w:tcMar>
          </w:tcPr>
          <w:p>
            <w:r>
              <w:rPr>
                <w:b/>
                <w:bCs/>
                <w:color w:val="FFFFFF"/>
                <w:sz w:val="19"/>
                <w:szCs w:val="19"/>
              </w:rPr>
              <w:t xml:space="preserve">Phase</w:t>
            </w:r>
          </w:p>
        </w:tc>
        <w:tc>
          <w:tcPr>
            <w:tcW w:type="dxa" w:w="8900"/>
            <w:shd w:fill="1A3C6E" w:val="clear"/>
            <w:tcMar>
              <w:top w:type="dxa" w:w="80"/>
              <w:left w:type="dxa" w:w="100"/>
              <w:bottom w:type="dxa" w:w="80"/>
              <w:right w:type="dxa" w:w="100"/>
            </w:tcMar>
          </w:tcPr>
          <w:p>
            <w:r>
              <w:rPr>
                <w:b/>
                <w:bCs/>
                <w:color w:val="FFFFFF"/>
                <w:sz w:val="19"/>
                <w:szCs w:val="19"/>
              </w:rPr>
              <w:t xml:space="preserve">Deliverable</w:t>
            </w:r>
          </w:p>
        </w:tc>
      </w:tr>
      <w:tr>
        <w:tc>
          <w:tcPr>
            <w:tcW w:type="dxa" w:w="1700"/>
            <w:tcMar>
              <w:top w:type="dxa" w:w="80"/>
              <w:left w:type="dxa" w:w="100"/>
              <w:bottom w:type="dxa" w:w="80"/>
              <w:right w:type="dxa" w:w="100"/>
            </w:tcMar>
          </w:tcPr>
          <w:p>
            <w:r>
              <w:rPr>
                <w:b w:val="false"/>
                <w:bCs w:val="false"/>
                <w:color w:val="1A1A1A"/>
                <w:sz w:val="19"/>
                <w:szCs w:val="19"/>
              </w:rPr>
              <w:t xml:space="preserve">0–6h</w:t>
            </w:r>
          </w:p>
        </w:tc>
        <w:tc>
          <w:tcPr>
            <w:tcW w:type="dxa" w:w="8900"/>
            <w:tcMar>
              <w:top w:type="dxa" w:w="80"/>
              <w:left w:type="dxa" w:w="100"/>
              <w:bottom w:type="dxa" w:w="80"/>
              <w:right w:type="dxa" w:w="100"/>
            </w:tcMar>
          </w:tcPr>
          <w:p>
            <w:r>
              <w:rPr>
                <w:b w:val="false"/>
                <w:bCs w:val="false"/>
                <w:color w:val="1A1A1A"/>
                <w:sz w:val="19"/>
                <w:szCs w:val="19"/>
              </w:rPr>
              <w:t xml:space="preserve">Route basket + DGCA ingest live; scraper skeleton for 1 airline + 1 OTA using network interception</w:t>
            </w:r>
          </w:p>
        </w:tc>
      </w:tr>
      <w:tr>
        <w:tc>
          <w:tcPr>
            <w:tcW w:type="dxa" w:w="1700"/>
            <w:shd w:fill="EEF2F7" w:val="clear"/>
            <w:tcMar>
              <w:top w:type="dxa" w:w="80"/>
              <w:left w:type="dxa" w:w="100"/>
              <w:bottom w:type="dxa" w:w="80"/>
              <w:right w:type="dxa" w:w="100"/>
            </w:tcMar>
          </w:tcPr>
          <w:p>
            <w:r>
              <w:rPr>
                <w:b w:val="false"/>
                <w:bCs w:val="false"/>
                <w:color w:val="1A1A1A"/>
                <w:sz w:val="19"/>
                <w:szCs w:val="19"/>
              </w:rPr>
              <w:t xml:space="preserve">6–14h</w:t>
            </w:r>
          </w:p>
        </w:tc>
        <w:tc>
          <w:tcPr>
            <w:tcW w:type="dxa" w:w="8900"/>
            <w:shd w:fill="EEF2F7" w:val="clear"/>
            <w:tcMar>
              <w:top w:type="dxa" w:w="80"/>
              <w:left w:type="dxa" w:w="100"/>
              <w:bottom w:type="dxa" w:w="80"/>
              <w:right w:type="dxa" w:w="100"/>
            </w:tcMar>
          </w:tcPr>
          <w:p>
            <w:r>
              <w:rPr>
                <w:b w:val="false"/>
                <w:bCs w:val="false"/>
                <w:color w:val="1A1A1A"/>
                <w:sz w:val="19"/>
                <w:szCs w:val="19"/>
              </w:rPr>
              <w:t xml:space="preserve">Full cleaning pipeline + Postgres schema live; remaining 9 source adapters built</w:t>
            </w:r>
          </w:p>
        </w:tc>
      </w:tr>
      <w:tr>
        <w:tc>
          <w:tcPr>
            <w:tcW w:type="dxa" w:w="1700"/>
            <w:tcMar>
              <w:top w:type="dxa" w:w="80"/>
              <w:left w:type="dxa" w:w="100"/>
              <w:bottom w:type="dxa" w:w="80"/>
              <w:right w:type="dxa" w:w="100"/>
            </w:tcMar>
          </w:tcPr>
          <w:p>
            <w:r>
              <w:rPr>
                <w:b w:val="false"/>
                <w:bCs w:val="false"/>
                <w:color w:val="1A1A1A"/>
                <w:sz w:val="19"/>
                <w:szCs w:val="19"/>
              </w:rPr>
              <w:t xml:space="preserve">14–22h</w:t>
            </w:r>
          </w:p>
        </w:tc>
        <w:tc>
          <w:tcPr>
            <w:tcW w:type="dxa" w:w="8900"/>
            <w:tcMar>
              <w:top w:type="dxa" w:w="80"/>
              <w:left w:type="dxa" w:w="100"/>
              <w:bottom w:type="dxa" w:w="80"/>
              <w:right w:type="dxa" w:w="100"/>
            </w:tcMar>
          </w:tcPr>
          <w:p>
            <w:r>
              <w:rPr>
                <w:b w:val="false"/>
                <w:bCs w:val="false"/>
                <w:color w:val="1A1A1A"/>
                <w:sz w:val="19"/>
                <w:szCs w:val="19"/>
              </w:rPr>
              <w:t xml:space="preserve">Index construction module (Törnqvist) + backtest script against DGCA monthly data</w:t>
            </w:r>
          </w:p>
        </w:tc>
      </w:tr>
      <w:tr>
        <w:tc>
          <w:tcPr>
            <w:tcW w:type="dxa" w:w="1700"/>
            <w:shd w:fill="EEF2F7" w:val="clear"/>
            <w:tcMar>
              <w:top w:type="dxa" w:w="80"/>
              <w:left w:type="dxa" w:w="100"/>
              <w:bottom w:type="dxa" w:w="80"/>
              <w:right w:type="dxa" w:w="100"/>
            </w:tcMar>
          </w:tcPr>
          <w:p>
            <w:r>
              <w:rPr>
                <w:b w:val="false"/>
                <w:bCs w:val="false"/>
                <w:color w:val="1A1A1A"/>
                <w:sz w:val="19"/>
                <w:szCs w:val="19"/>
              </w:rPr>
              <w:t xml:space="preserve">22–30h</w:t>
            </w:r>
          </w:p>
        </w:tc>
        <w:tc>
          <w:tcPr>
            <w:tcW w:type="dxa" w:w="8900"/>
            <w:shd w:fill="EEF2F7" w:val="clear"/>
            <w:tcMar>
              <w:top w:type="dxa" w:w="80"/>
              <w:left w:type="dxa" w:w="100"/>
              <w:bottom w:type="dxa" w:w="80"/>
              <w:right w:type="dxa" w:w="100"/>
            </w:tcMar>
          </w:tcPr>
          <w:p>
            <w:r>
              <w:rPr>
                <w:b w:val="false"/>
                <w:bCs w:val="false"/>
                <w:color w:val="1A1A1A"/>
                <w:sz w:val="19"/>
                <w:szCs w:val="19"/>
              </w:rPr>
              <w:t xml:space="preserve">FastAPI endpoints + React dashboard (trend, heatmap, elasticity, spread index)</w:t>
            </w:r>
          </w:p>
        </w:tc>
      </w:tr>
      <w:tr>
        <w:tc>
          <w:tcPr>
            <w:tcW w:type="dxa" w:w="1700"/>
            <w:tcMar>
              <w:top w:type="dxa" w:w="80"/>
              <w:left w:type="dxa" w:w="100"/>
              <w:bottom w:type="dxa" w:w="80"/>
              <w:right w:type="dxa" w:w="100"/>
            </w:tcMar>
          </w:tcPr>
          <w:p>
            <w:r>
              <w:rPr>
                <w:b w:val="false"/>
                <w:bCs w:val="false"/>
                <w:color w:val="1A1A1A"/>
                <w:sz w:val="19"/>
                <w:szCs w:val="19"/>
              </w:rPr>
              <w:t xml:space="preserve">30–36h</w:t>
            </w:r>
          </w:p>
        </w:tc>
        <w:tc>
          <w:tcPr>
            <w:tcW w:type="dxa" w:w="8900"/>
            <w:tcMar>
              <w:top w:type="dxa" w:w="80"/>
              <w:left w:type="dxa" w:w="100"/>
              <w:bottom w:type="dxa" w:w="80"/>
              <w:right w:type="dxa" w:w="100"/>
            </w:tcMar>
          </w:tcPr>
          <w:p>
            <w:r>
              <w:rPr>
                <w:b w:val="false"/>
                <w:bCs w:val="false"/>
                <w:color w:val="1A1A1A"/>
                <w:sz w:val="19"/>
                <w:szCs w:val="19"/>
              </w:rPr>
              <w:t xml:space="preserve">Booking-window spread index, RAG explainer, confidence scoring, alert bot</w:t>
            </w:r>
          </w:p>
        </w:tc>
      </w:tr>
      <w:tr>
        <w:tc>
          <w:tcPr>
            <w:tcW w:type="dxa" w:w="1700"/>
            <w:shd w:fill="EEF2F7" w:val="clear"/>
            <w:tcMar>
              <w:top w:type="dxa" w:w="80"/>
              <w:left w:type="dxa" w:w="100"/>
              <w:bottom w:type="dxa" w:w="80"/>
              <w:right w:type="dxa" w:w="100"/>
            </w:tcMar>
          </w:tcPr>
          <w:p>
            <w:r>
              <w:rPr>
                <w:b w:val="false"/>
                <w:bCs w:val="false"/>
                <w:color w:val="1A1A1A"/>
                <w:sz w:val="19"/>
                <w:szCs w:val="19"/>
              </w:rPr>
              <w:t xml:space="preserve">36–44h</w:t>
            </w:r>
          </w:p>
        </w:tc>
        <w:tc>
          <w:tcPr>
            <w:tcW w:type="dxa" w:w="8900"/>
            <w:shd w:fill="EEF2F7" w:val="clear"/>
            <w:tcMar>
              <w:top w:type="dxa" w:w="80"/>
              <w:left w:type="dxa" w:w="100"/>
              <w:bottom w:type="dxa" w:w="80"/>
              <w:right w:type="dxa" w:w="100"/>
            </w:tcMar>
          </w:tcPr>
          <w:p>
            <w:r>
              <w:rPr>
                <w:b w:val="false"/>
                <w:bCs w:val="false"/>
                <w:color w:val="1A1A1A"/>
                <w:sz w:val="19"/>
                <w:szCs w:val="19"/>
              </w:rPr>
              <w:t xml:space="preserve">Backtest report, demo-resilience fallback dataset, documentation, deck polish</w:t>
            </w:r>
          </w:p>
        </w:tc>
      </w:tr>
      <w:tr>
        <w:tc>
          <w:tcPr>
            <w:tcW w:type="dxa" w:w="1700"/>
            <w:tcMar>
              <w:top w:type="dxa" w:w="80"/>
              <w:left w:type="dxa" w:w="100"/>
              <w:bottom w:type="dxa" w:w="80"/>
              <w:right w:type="dxa" w:w="100"/>
            </w:tcMar>
          </w:tcPr>
          <w:p>
            <w:r>
              <w:rPr>
                <w:b w:val="false"/>
                <w:bCs w:val="false"/>
                <w:color w:val="1A1A1A"/>
                <w:sz w:val="19"/>
                <w:szCs w:val="19"/>
              </w:rPr>
              <w:t xml:space="preserve">44–48h</w:t>
            </w:r>
          </w:p>
        </w:tc>
        <w:tc>
          <w:tcPr>
            <w:tcW w:type="dxa" w:w="8900"/>
            <w:tcMar>
              <w:top w:type="dxa" w:w="80"/>
              <w:left w:type="dxa" w:w="100"/>
              <w:bottom w:type="dxa" w:w="80"/>
              <w:right w:type="dxa" w:w="100"/>
            </w:tcMar>
          </w:tcPr>
          <w:p>
            <w:r>
              <w:rPr>
                <w:b w:val="false"/>
                <w:bCs w:val="false"/>
                <w:color w:val="1A1A1A"/>
                <w:sz w:val="19"/>
                <w:szCs w:val="19"/>
              </w:rPr>
              <w:t xml:space="preserve">Buffer / end-to-end rehearsal</w:t>
            </w:r>
          </w:p>
        </w:tc>
      </w:tr>
    </w:tbl>
    <w:p>
      <w:pPr>
        <w:pStyle w:val="Heading1"/>
        <w:spacing w:after="160" w:before="320"/>
      </w:pPr>
      <w:r>
        <w:t xml:space="preserve">9. Documentation &amp; Testing Checklist</w:t>
      </w:r>
    </w:p>
    <w:p>
      <w:pPr>
        <w:pStyle w:val="ListParagraph"/>
        <w:numPr>
          <w:ilvl w:val="0"/>
          <w:numId w:val="2"/>
        </w:numPr>
        <w:spacing w:after="60" w:line="264"/>
      </w:pPr>
      <w:r>
        <w:t xml:space="preserve">README.md — architecture diagram, setup instructions, ethical-scraping policy statement.</w:t>
      </w:r>
    </w:p>
    <w:p>
      <w:pPr>
        <w:pStyle w:val="ListParagraph"/>
        <w:numPr>
          <w:ilvl w:val="0"/>
          <w:numId w:val="2"/>
        </w:numPr>
        <w:spacing w:after="60" w:line="264"/>
      </w:pPr>
      <w:r>
        <w:t xml:space="preserve">docs/index_methodology.md — full Törnqvist derivation with a worked numeric example, using the PS's own DEL-BOM T+1…T+30 fare figures as the illustration.</w:t>
      </w:r>
    </w:p>
    <w:p>
      <w:pPr>
        <w:pStyle w:val="ListParagraph"/>
        <w:numPr>
          <w:ilvl w:val="0"/>
          <w:numId w:val="2"/>
        </w:numPr>
        <w:spacing w:after="60" w:line="264"/>
      </w:pPr>
      <w:r>
        <w:t xml:space="preserve">pytest suite — index-math correctness (known-input/known-output), cleaning-rule unit tests, API contract tests.</w:t>
      </w:r>
    </w:p>
    <w:p>
      <w:pPr>
        <w:pStyle w:val="ListParagraph"/>
        <w:numPr>
          <w:ilvl w:val="0"/>
          <w:numId w:val="2"/>
        </w:numPr>
        <w:spacing w:after="60" w:line="264"/>
      </w:pPr>
      <w:r>
        <w:t xml:space="preserve">Backtest report — ≥30-day APIx vs DGCA comparison, exported as a standalone PDF.</w:t>
      </w:r>
    </w:p>
    <w:p>
      <w:pPr>
        <w:pStyle w:val="ListParagraph"/>
        <w:numPr>
          <w:ilvl w:val="0"/>
          <w:numId w:val="2"/>
        </w:numPr>
        <w:spacing w:after="60" w:line="264"/>
      </w:pPr>
      <w:r>
        <w:t xml:space="preserve">docs/cpi_crosswalk.md — the substitutability methodology from §4.17.</w:t>
      </w:r>
    </w:p>
    <w:p>
      <w:pPr>
        <w:pStyle w:val="Heading1"/>
        <w:spacing w:after="160" w:before="320"/>
      </w:pPr>
      <w:r>
        <w:t xml:space="preserve">10. Differentiators — Summary</w:t>
      </w:r>
    </w:p>
    <w:p>
      <w:pPr>
        <w:pStyle w:val="ListParagraph"/>
        <w:numPr>
          <w:ilvl w:val="0"/>
          <w:numId w:val="2"/>
        </w:numPr>
        <w:spacing w:after="60" w:line="264"/>
      </w:pPr>
      <w:r>
        <w:t xml:space="preserve">Booking-window spread sub-index — a new inflation signal, not currently produced by MoSPI in any form.</w:t>
      </w:r>
    </w:p>
    <w:p>
      <w:pPr>
        <w:pStyle w:val="ListParagraph"/>
        <w:numPr>
          <w:ilvl w:val="0"/>
          <w:numId w:val="2"/>
        </w:numPr>
        <w:spacing w:after="60" w:line="264"/>
      </w:pPr>
      <w:r>
        <w:t xml:space="preserve">Fuel-vs-demand inflation decomposition via ATF regression.</w:t>
      </w:r>
    </w:p>
    <w:p>
      <w:pPr>
        <w:pStyle w:val="ListParagraph"/>
        <w:numPr>
          <w:ilvl w:val="0"/>
          <w:numId w:val="2"/>
        </w:numPr>
        <w:spacing w:after="60" w:line="264"/>
      </w:pPr>
      <w:r>
        <w:t xml:space="preserve">Per-index-point confidence/coverage score published alongside every number.</w:t>
      </w:r>
    </w:p>
    <w:p>
      <w:pPr>
        <w:pStyle w:val="ListParagraph"/>
        <w:numPr>
          <w:ilvl w:val="0"/>
          <w:numId w:val="2"/>
        </w:numPr>
        <w:spacing w:after="60" w:line="264"/>
      </w:pPr>
      <w:r>
        <w:t xml:space="preserve">RAG-grounded, cited explanations for index movements.</w:t>
      </w:r>
    </w:p>
    <w:p>
      <w:pPr>
        <w:pStyle w:val="ListParagraph"/>
        <w:numPr>
          <w:ilvl w:val="0"/>
          <w:numId w:val="2"/>
        </w:numPr>
        <w:spacing w:after="60" w:line="264"/>
      </w:pPr>
      <w:r>
        <w:t xml:space="preserve">CPI substitutability crosswalk — an explicit adoption pathway, not just a demo.</w:t>
      </w:r>
    </w:p>
    <w:p>
      <w:pPr>
        <w:pStyle w:val="ListParagraph"/>
        <w:numPr>
          <w:ilvl w:val="0"/>
          <w:numId w:val="2"/>
        </w:numPr>
        <w:spacing w:after="60" w:line="264"/>
      </w:pPr>
      <w:r>
        <w:t xml:space="preserve">Demo-resilience harness — the submission is engineered to survive its own live demo, which most scraping-based projects are not.</w:t>
      </w:r>
    </w:p>
    <w:p>
      <w:pPr>
        <w:pStyle w:val="Heading1"/>
        <w:spacing w:after="160" w:before="320"/>
      </w:pPr>
      <w:r>
        <w:t xml:space="preserve">11. Closing Pitch</w:t>
      </w:r>
    </w:p>
    <w:p>
      <w:pPr>
        <w:pBdr>
          <w:left w:val="single" w:color="1A3C6E" w:sz="24" w:space="12"/>
        </w:pBdr>
        <w:spacing w:after="100" w:before="100"/>
        <w:ind w:left="200"/>
      </w:pPr>
      <w:r>
        <w:rPr>
          <w:i/>
          <w:iCs/>
          <w:sz w:val="22"/>
          <w:szCs w:val="22"/>
        </w:rPr>
        <w:t xml:space="preserve">Not just a fare scraper — a statistically defensible, MoSPI-adoptable inflation instrument that captures the booking-window volatility CPI currently misses entirely, with built-in explainability, reliability scoring, and a demo that cannot fail on stage.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C6E" w:sz="8" w:space="4"/>
      </w:pBdr>
      <w:spacing w:after="160" w:before="320"/>
    </w:pPr>
    <w:rPr>
      <w:rFonts w:ascii="Calibri" w:cs="Calibri" w:eastAsia="Calibri" w:hAnsi="Calibri"/>
      <w:b/>
      <w:bCs/>
      <w:color w:val="1A3C6E"/>
      <w:sz w:val="30"/>
      <w:szCs w:val="30"/>
    </w:rPr>
  </w:style>
  <w:style w:type="paragraph" w:styleId="Heading2">
    <w:name w:val="Heading 2"/>
    <w:basedOn w:val="Normal"/>
    <w:next w:val="Normal"/>
    <w:qFormat/>
    <w:pPr>
      <w:spacing w:after="120" w:before="240"/>
    </w:pPr>
    <w:rPr>
      <w:rFonts w:ascii="Calibri" w:cs="Calibri" w:eastAsia="Calibri" w:hAnsi="Calibri"/>
      <w:b/>
      <w:bCs/>
      <w:color w:val="1A3C6E"/>
      <w:sz w:val="25"/>
      <w:szCs w:val="25"/>
    </w:rPr>
  </w:style>
  <w:style w:type="paragraph" w:styleId="Heading3">
    <w:name w:val="Heading 3"/>
    <w:basedOn w:val="Normal"/>
    <w:next w:val="Normal"/>
    <w:qFormat/>
    <w:pPr>
      <w:spacing w:after="90" w:before="180"/>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2026-09-07T15:19:30.793Z</dcterms:created>
  <dcterms:modified xsi:type="dcterms:W3CDTF">2026-09-07T15:19:30.805Z</dcterms:modified>
</cp:coreProperties>
</file>

<file path=docProps/custom.xml><?xml version="1.0" encoding="utf-8"?>
<Properties xmlns="http://schemas.openxmlformats.org/officeDocument/2006/custom-properties" xmlns:vt="http://schemas.openxmlformats.org/officeDocument/2006/docPropsVTypes"/>
</file>