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pBdr>
          <w:top w:val="single" w:color="003087" w:sz="20"/>
        </w:pBdr>
        <w:spacing w:after="0" w:before="0"/>
      </w:pPr>
    </w:p>
    <w:p>
      <w:pPr>
        <w:shd w:fill="003087" w:color="auto" w:val="clear"/>
        <w:spacing w:after="0" w:before="0"/>
        <w:jc w:val="center"/>
      </w:pPr>
      <w:r>
        <w:rPr>
          <w:rFonts w:ascii="Calibri" w:cs="Calibri" w:eastAsia="Calibri" w:hAnsi="Calibri"/>
          <w:b/>
          <w:bCs/>
          <w:color w:val="FFFFFF"/>
          <w:sz w:val="56"/>
          <w:szCs w:val="56"/>
        </w:rPr>
        <w:t xml:space="preserve">AOP 2027 IT Portfolio Scenario Modelling Tool</w:t>
      </w:r>
    </w:p>
    <w:p>
      <w:pPr>
        <w:shd w:fill="003087" w:color="auto" w:val="clear"/>
        <w:spacing w:after="0" w:before="100"/>
        <w:jc w:val="center"/>
      </w:pPr>
      <w:r>
        <w:rPr>
          <w:rFonts w:ascii="Calibri" w:cs="Calibri" w:eastAsia="Calibri" w:hAnsi="Calibri"/>
          <w:i/>
          <w:iCs/>
          <w:color w:val="D6E4F7"/>
          <w:sz w:val="28"/>
          <w:szCs w:val="28"/>
        </w:rPr>
        <w:t xml:space="preserve">One Portfolio — Connecting What You Pay to What You Get</w:t>
      </w:r>
    </w:p>
    <w:p>
      <w:pPr>
        <w:shd w:fill="003087" w:color="auto" w:val="clear"/>
        <w:spacing w:after="0" w:before="80"/>
        <w:jc w:val="center"/>
      </w:pPr>
      <w:r>
        <w:rPr>
          <w:rFonts w:ascii="Calibri" w:cs="Calibri" w:eastAsia="Calibri" w:hAnsi="Calibri"/>
          <w:color w:val="D6E4F7"/>
          <w:sz w:val="20"/>
          <w:szCs w:val="20"/>
        </w:rPr>
        <w:t xml:space="preserve">Product Requirements Document  ·  Version 2.0  ·  7 October 2026</w:t>
      </w:r>
    </w:p>
    <w:p>
      <w:pPr>
        <w:pBdr>
          <w:bottom w:val="single" w:color="0B5ED7" w:sz="20"/>
        </w:pBdr>
        <w:shd w:fill="003087" w:color="auto" w:val="clear"/>
        <w:spacing w:after="0" w:before="0"/>
      </w:pP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7200"/>
      </w:tblGrid>
      <w:tr>
        <w:tc>
          <w:tcPr>
            <w:tcW w:type="dxa" w:w="21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Field</w:t>
            </w:r>
          </w:p>
        </w:tc>
        <w:tc>
          <w:tcPr>
            <w:tcW w:type="dxa" w:w="72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Details</w:t>
            </w:r>
          </w:p>
        </w:tc>
      </w:tr>
      <w:tr>
        <w:tc>
          <w:tcPr>
            <w:tcW w:type="dxa" w:w="2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Product</w:t>
            </w:r>
          </w:p>
        </w:tc>
        <w:tc>
          <w:tcPr>
            <w:tcW w:type="dxa" w:w="7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AOP 2027 IT Portfolio Scenario Modelling Tool + Detailed Data Extract</w:t>
            </w:r>
          </w:p>
        </w:tc>
      </w:tr>
      <w:tr>
        <w:tc>
          <w:tcPr>
            <w:tcW w:type="dxa" w:w="2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Document Version</w:t>
            </w:r>
          </w:p>
        </w:tc>
        <w:tc>
          <w:tcPr>
            <w:tcW w:type="dxa" w:w="7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2.0 — aligned to software version 6.10.26-p6</w:t>
            </w:r>
          </w:p>
        </w:tc>
      </w:tr>
      <w:tr>
        <w:tc>
          <w:tcPr>
            <w:tcW w:type="dxa" w:w="2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Author</w:t>
            </w:r>
          </w:p>
        </w:tc>
        <w:tc>
          <w:tcPr>
            <w:tcW w:type="dxa" w:w="7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 Portfolio Management and Finance (ITPFM)</w:t>
            </w:r>
          </w:p>
        </w:tc>
      </w:tr>
      <w:tr>
        <w:tc>
          <w:tcPr>
            <w:tcW w:type="dxa" w:w="2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Engineering Lead</w:t>
            </w:r>
          </w:p>
        </w:tc>
        <w:tc>
          <w:tcPr>
            <w:tcW w:type="dxa" w:w="7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AOP Modeler Development Team</w:t>
            </w:r>
          </w:p>
        </w:tc>
      </w:tr>
      <w:tr>
        <w:tc>
          <w:tcPr>
            <w:tcW w:type="dxa" w:w="2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Finance Owner</w:t>
            </w:r>
          </w:p>
        </w:tc>
        <w:tc>
          <w:tcPr>
            <w:tcW w:type="dxa" w:w="7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Corporate Finance / AOP Controller</w:t>
            </w:r>
          </w:p>
        </w:tc>
      </w:tr>
      <w:tr>
        <w:tc>
          <w:tcPr>
            <w:tcW w:type="dxa" w:w="2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ExCo Sponsor</w:t>
            </w:r>
          </w:p>
        </w:tc>
        <w:tc>
          <w:tcPr>
            <w:tcW w:type="dxa" w:w="7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CTO / Chief Information Officer</w:t>
            </w:r>
          </w:p>
        </w:tc>
      </w:tr>
      <w:tr>
        <w:tc>
          <w:tcPr>
            <w:tcW w:type="dxa" w:w="2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Date</w:t>
            </w:r>
          </w:p>
        </w:tc>
        <w:tc>
          <w:tcPr>
            <w:tcW w:type="dxa" w:w="7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 October 2026</w:t>
            </w:r>
          </w:p>
        </w:tc>
      </w:tr>
      <w:tr>
        <w:tc>
          <w:tcPr>
            <w:tcW w:type="dxa" w:w="2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Classification</w:t>
            </w:r>
          </w:p>
        </w:tc>
        <w:tc>
          <w:tcPr>
            <w:tcW w:type="dxa" w:w="7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Philips Internal — Confidential</w:t>
            </w:r>
          </w:p>
        </w:tc>
      </w:tr>
      <w:tr>
        <w:tc>
          <w:tcPr>
            <w:tcW w:type="dxa" w:w="2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Status</w:t>
            </w:r>
          </w:p>
        </w:tc>
        <w:tc>
          <w:tcPr>
            <w:tcW w:type="dxa" w:w="7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FINAL DRAFT — For ExCo Review</w:t>
            </w:r>
          </w:p>
        </w:tc>
      </w:tr>
    </w:tbl>
    <w:p>
      <w:r>
        <w:br w:type="page"/>
      </w:r>
    </w:p>
    <w:p>
      <w:pPr>
        <w:pBdr>
          <w:bottom w:val="single" w:color="0B5ED7" w:sz="6"/>
        </w:pBdr>
        <w:shd w:fill="003087" w:color="auto" w:val="clear"/>
        <w:spacing w:after="160" w:before="480"/>
      </w:pPr>
      <w:bookmarkStart w:name="cl_anchor" w:id="1"/>
      <w:r>
        <w:rPr>
          <w:rFonts w:ascii="Calibri" w:cs="Calibri" w:eastAsia="Calibri" w:hAnsi="Calibri"/>
          <w:b/>
          <w:bCs/>
          <w:color w:val="FFFFFF"/>
          <w:sz w:val="34"/>
          <w:szCs w:val="34"/>
        </w:rPr>
        <w:t xml:space="preserve">Change Log</w:t>
      </w:r>
      <w:bookmarkEnd w:id="1"/>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300"/>
        <w:gridCol w:w="7260"/>
      </w:tblGrid>
      <w:tr>
        <w:tc>
          <w:tcPr>
            <w:tcW w:type="dxa" w:w="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Version</w:t>
            </w:r>
          </w:p>
        </w:tc>
        <w:tc>
          <w:tcPr>
            <w:tcW w:type="dxa" w:w="13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Date</w:t>
            </w:r>
          </w:p>
        </w:tc>
        <w:tc>
          <w:tcPr>
            <w:tcW w:type="dxa" w:w="72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Summary</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2.0</w:t>
            </w:r>
          </w:p>
        </w:tc>
        <w:tc>
          <w:tcPr>
            <w:tcW w:type="dxa" w:w="1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 Oct 2026</w:t>
            </w:r>
          </w:p>
        </w:tc>
        <w:tc>
          <w:tcPr>
            <w:tcW w:type="dxa" w:w="7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Full rewrite. Strategic reframe around One Portfolio view and On Top Of funding. Continuous Prioritization roadmap added.</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w:t>
            </w:r>
          </w:p>
        </w:tc>
        <w:tc>
          <w:tcPr>
            <w:tcW w:type="dxa" w:w="1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 Oct 2026</w:t>
            </w:r>
          </w:p>
        </w:tc>
        <w:tc>
          <w:tcPr>
            <w:tcW w:type="dxa" w:w="7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Initial PRD from v6.10.26-p6 codebase. Feature inventory baseline.</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0.9</w:t>
            </w:r>
          </w:p>
        </w:tc>
        <w:tc>
          <w:tcPr>
            <w:tcW w:type="dxa" w:w="1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7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v6.10.26-p5 QA fixes: Bu-87 benefit correction, Tab 6 compliance, hold badges.</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0.8</w:t>
            </w:r>
          </w:p>
        </w:tc>
        <w:tc>
          <w:tcPr>
            <w:tcW w:type="dxa" w:w="1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7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v6.10.26-p4 FINAL: Z01-Z26 confirmed, IR/GRC/NAR allocation rules.</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0.7</w:t>
            </w:r>
          </w:p>
        </w:tc>
        <w:tc>
          <w:tcPr>
            <w:tcW w:type="dxa" w:w="1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7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v6.10.26-p3: Balanced Portfolio scenario, hold badges, Contain warnings.</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0.6</w:t>
            </w:r>
          </w:p>
        </w:tc>
        <w:tc>
          <w:tcPr>
            <w:tcW w:type="dxa" w:w="1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7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v6.10.26-p2: Excluded Register panel, benefit exception notices.</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0.5</w:t>
            </w:r>
          </w:p>
        </w:tc>
        <w:tc>
          <w:tcPr>
            <w:tcW w:type="dxa" w:w="1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7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v6.10.26-p1: PMI override gate, 3-state duration parser.</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0.4</w:t>
            </w:r>
          </w:p>
        </w:tc>
        <w:tc>
          <w:tcPr>
            <w:tcW w:type="dxa" w:w="1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7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v6.10.26: 421 programmes, PMI and NDA, Tab 6 multiselect.</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0.3</w:t>
            </w:r>
          </w:p>
        </w:tc>
        <w:tc>
          <w:tcPr>
            <w:tcW w:type="dxa" w:w="1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 Oct 2026</w:t>
            </w:r>
          </w:p>
        </w:tc>
        <w:tc>
          <w:tcPr>
            <w:tcW w:type="dxa" w:w="7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v5.9.1: Lever 3 at 20M, 1-decimal rule, ExCo cockpit stage fix.</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0.1</w:t>
            </w:r>
          </w:p>
        </w:tc>
        <w:tc>
          <w:tcPr>
            <w:tcW w:type="dxa" w:w="1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25 Sep 2026</w:t>
            </w:r>
          </w:p>
        </w:tc>
        <w:tc>
          <w:tcPr>
            <w:tcW w:type="dxa" w:w="7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v5.1.1 golden baseline frozen.</w:t>
            </w:r>
          </w:p>
        </w:tc>
      </w:tr>
    </w:tbl>
    <w:p>
      <w:r>
        <w:br w:type="page"/>
      </w:r>
    </w:p>
    <w:p>
      <w:pPr>
        <w:pBdr>
          <w:bottom w:val="single" w:color="0B5ED7" w:sz="6"/>
        </w:pBdr>
        <w:shd w:fill="003087" w:color="auto" w:val="clear"/>
        <w:spacing w:after="160" w:before="480"/>
      </w:pPr>
      <w:bookmarkStart w:name="toc_anchor" w:id="2"/>
      <w:r>
        <w:rPr>
          <w:rFonts w:ascii="Calibri" w:cs="Calibri" w:eastAsia="Calibri" w:hAnsi="Calibri"/>
          <w:b/>
          <w:bCs/>
          <w:color w:val="FFFFFF"/>
          <w:sz w:val="34"/>
          <w:szCs w:val="34"/>
        </w:rPr>
        <w:t xml:space="preserve">Contents — Click to Navigate</w:t>
      </w:r>
      <w:bookmarkEnd w:id="2"/>
    </w:p>
    <w:p>
      <w:pPr>
        <w:spacing w:after="80"/>
      </w:pPr>
      <w:r>
        <w:rPr>
          <w:rFonts w:ascii="Calibri" w:cs="Calibri" w:eastAsia="Calibri" w:hAnsi="Calibri"/>
          <w:color w:val="1A202C"/>
          <w:sz w:val="20"/>
          <w:szCs w:val="20"/>
        </w:rPr>
        <w:t xml:space="preserve"/>
      </w:r>
    </w:p>
    <w:p>
      <w:pPr>
        <w:pBdr>
          <w:bottom w:val="single" w:color="CBD5E0" w:sz="2"/>
        </w:pBdr>
        <w:shd w:fill="D6E4F7" w:color="auto" w:val="clear"/>
        <w:spacing w:after="60"/>
      </w:pPr>
      <w:r>
        <w:rPr>
          <w:rFonts w:ascii="Calibri" w:cs="Calibri" w:eastAsia="Calibri" w:hAnsi="Calibri"/>
          <w:b/>
          <w:bCs/>
          <w:color w:val="003087"/>
          <w:sz w:val="20"/>
          <w:szCs w:val="20"/>
        </w:rPr>
        <w:t xml:space="preserve">1   </w:t>
      </w:r>
      <w:hyperlink w:history="1" w:anchor="exec_anchor">
        <w:r>
          <w:rPr>
            <w:rFonts w:ascii="Calibri" w:cs="Calibri" w:eastAsia="Calibri" w:hAnsi="Calibri"/>
            <w:color w:val="0B5ED7"/>
            <w:sz w:val="20"/>
            <w:szCs w:val="20"/>
            <w:u w:val="single" w:color="0B5ED7"/>
          </w:rPr>
          <w:t xml:space="preserve">Executive Summary</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2   </w:t>
      </w:r>
      <w:hyperlink w:history="1" w:anchor="s2_anchor">
        <w:r>
          <w:rPr>
            <w:rFonts w:ascii="Calibri" w:cs="Calibri" w:eastAsia="Calibri" w:hAnsi="Calibri"/>
            <w:color w:val="0B5ED7"/>
            <w:sz w:val="20"/>
            <w:szCs w:val="20"/>
            <w:u w:val="single" w:color="0B5ED7"/>
          </w:rPr>
          <w:t xml:space="preserve">Context and Strategic Objective</w:t>
        </w:r>
      </w:hyperlink>
    </w:p>
    <w:p>
      <w:pPr>
        <w:spacing w:after="40"/>
        <w:ind w:left="480"/>
      </w:pPr>
      <w:r>
        <w:rPr>
          <w:rFonts w:ascii="Calibri" w:cs="Calibri" w:eastAsia="Calibri" w:hAnsi="Calibri"/>
          <w:color w:val="4A5568"/>
          <w:sz w:val="18"/>
          <w:szCs w:val="18"/>
        </w:rPr>
        <w:t xml:space="preserve">2.1   </w:t>
      </w:r>
      <w:hyperlink w:history="1" w:anchor="s21_anchor">
        <w:r>
          <w:rPr>
            <w:rFonts w:ascii="Calibri" w:cs="Calibri" w:eastAsia="Calibri" w:hAnsi="Calibri"/>
            <w:color w:val="0B5ED7"/>
            <w:sz w:val="18"/>
            <w:szCs w:val="18"/>
            <w:u w:val="single" w:color="0B5ED7"/>
          </w:rPr>
          <w:t xml:space="preserve">The One Portfolio Vision</w:t>
        </w:r>
      </w:hyperlink>
    </w:p>
    <w:p>
      <w:pPr>
        <w:spacing w:after="40"/>
        <w:ind w:left="480"/>
      </w:pPr>
      <w:r>
        <w:rPr>
          <w:rFonts w:ascii="Calibri" w:cs="Calibri" w:eastAsia="Calibri" w:hAnsi="Calibri"/>
          <w:color w:val="4A5568"/>
          <w:sz w:val="18"/>
          <w:szCs w:val="18"/>
        </w:rPr>
        <w:t xml:space="preserve">2.2   </w:t>
      </w:r>
      <w:hyperlink w:history="1" w:anchor="s22_anchor">
        <w:r>
          <w:rPr>
            <w:rFonts w:ascii="Calibri" w:cs="Calibri" w:eastAsia="Calibri" w:hAnsi="Calibri"/>
            <w:color w:val="0B5ED7"/>
            <w:sz w:val="18"/>
            <w:szCs w:val="18"/>
            <w:u w:val="single" w:color="0B5ED7"/>
          </w:rPr>
          <w:t xml:space="preserve">Why This Matters to BU Leaders</w:t>
        </w:r>
      </w:hyperlink>
    </w:p>
    <w:p>
      <w:pPr>
        <w:spacing w:after="40"/>
        <w:ind w:left="480"/>
      </w:pPr>
      <w:r>
        <w:rPr>
          <w:rFonts w:ascii="Calibri" w:cs="Calibri" w:eastAsia="Calibri" w:hAnsi="Calibri"/>
          <w:color w:val="4A5568"/>
          <w:sz w:val="18"/>
          <w:szCs w:val="18"/>
        </w:rPr>
        <w:t xml:space="preserve">2.3   </w:t>
      </w:r>
      <w:hyperlink w:history="1" w:anchor="s23_anchor">
        <w:r>
          <w:rPr>
            <w:rFonts w:ascii="Calibri" w:cs="Calibri" w:eastAsia="Calibri" w:hAnsi="Calibri"/>
            <w:color w:val="0B5ED7"/>
            <w:sz w:val="18"/>
            <w:szCs w:val="18"/>
            <w:u w:val="single" w:color="0B5ED7"/>
          </w:rPr>
          <w:t xml:space="preserve">A First for Philips</w:t>
        </w:r>
      </w:hyperlink>
    </w:p>
    <w:p>
      <w:pPr>
        <w:pBdr>
          <w:bottom w:val="single" w:color="CBD5E0" w:sz="2"/>
        </w:pBdr>
        <w:shd w:fill="D6E4F7" w:color="auto" w:val="clear"/>
        <w:spacing w:after="60"/>
      </w:pPr>
      <w:r>
        <w:rPr>
          <w:rFonts w:ascii="Calibri" w:cs="Calibri" w:eastAsia="Calibri" w:hAnsi="Calibri"/>
          <w:b/>
          <w:bCs/>
          <w:color w:val="003087"/>
          <w:sz w:val="20"/>
          <w:szCs w:val="20"/>
        </w:rPr>
        <w:t xml:space="preserve">3   </w:t>
      </w:r>
      <w:hyperlink w:history="1" w:anchor="s3_anchor">
        <w:r>
          <w:rPr>
            <w:rFonts w:ascii="Calibri" w:cs="Calibri" w:eastAsia="Calibri" w:hAnsi="Calibri"/>
            <w:color w:val="0B5ED7"/>
            <w:sz w:val="20"/>
            <w:szCs w:val="20"/>
            <w:u w:val="single" w:color="0B5ED7"/>
          </w:rPr>
          <w:t xml:space="preserve">Problem Statement</w:t>
        </w:r>
      </w:hyperlink>
    </w:p>
    <w:p>
      <w:pPr>
        <w:spacing w:after="40"/>
        <w:ind w:left="480"/>
      </w:pPr>
      <w:r>
        <w:rPr>
          <w:rFonts w:ascii="Calibri" w:cs="Calibri" w:eastAsia="Calibri" w:hAnsi="Calibri"/>
          <w:color w:val="4A5568"/>
          <w:sz w:val="18"/>
          <w:szCs w:val="18"/>
        </w:rPr>
        <w:t xml:space="preserve">3.1   </w:t>
      </w:r>
      <w:hyperlink w:history="1" w:anchor="s31_anchor">
        <w:r>
          <w:rPr>
            <w:rFonts w:ascii="Calibri" w:cs="Calibri" w:eastAsia="Calibri" w:hAnsi="Calibri"/>
            <w:color w:val="0B5ED7"/>
            <w:sz w:val="18"/>
            <w:szCs w:val="18"/>
            <w:u w:val="single" w:color="0B5ED7"/>
          </w:rPr>
          <w:t xml:space="preserve">What BU Leaders Could Not See Before</w:t>
        </w:r>
      </w:hyperlink>
    </w:p>
    <w:p>
      <w:pPr>
        <w:spacing w:after="40"/>
        <w:ind w:left="480"/>
      </w:pPr>
      <w:r>
        <w:rPr>
          <w:rFonts w:ascii="Calibri" w:cs="Calibri" w:eastAsia="Calibri" w:hAnsi="Calibri"/>
          <w:color w:val="4A5568"/>
          <w:sz w:val="18"/>
          <w:szCs w:val="18"/>
        </w:rPr>
        <w:t xml:space="preserve">3.2   </w:t>
      </w:r>
      <w:hyperlink w:history="1" w:anchor="s32_anchor">
        <w:r>
          <w:rPr>
            <w:rFonts w:ascii="Calibri" w:cs="Calibri" w:eastAsia="Calibri" w:hAnsi="Calibri"/>
            <w:color w:val="0B5ED7"/>
            <w:sz w:val="18"/>
            <w:szCs w:val="18"/>
            <w:u w:val="single" w:color="0B5ED7"/>
          </w:rPr>
          <w:t xml:space="preserve">Quantitative Evidence of the Gap</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4   </w:t>
      </w:r>
      <w:hyperlink w:history="1" w:anchor="s4_anchor">
        <w:r>
          <w:rPr>
            <w:rFonts w:ascii="Calibri" w:cs="Calibri" w:eastAsia="Calibri" w:hAnsi="Calibri"/>
            <w:color w:val="0B5ED7"/>
            <w:sz w:val="20"/>
            <w:szCs w:val="20"/>
            <w:u w:val="single" w:color="0B5ED7"/>
          </w:rPr>
          <w:t xml:space="preserve">The One Portfolio View — Core Product Concept</w:t>
        </w:r>
      </w:hyperlink>
    </w:p>
    <w:p>
      <w:pPr>
        <w:spacing w:after="40"/>
        <w:ind w:left="480"/>
      </w:pPr>
      <w:r>
        <w:rPr>
          <w:rFonts w:ascii="Calibri" w:cs="Calibri" w:eastAsia="Calibri" w:hAnsi="Calibri"/>
          <w:color w:val="4A5568"/>
          <w:sz w:val="18"/>
          <w:szCs w:val="18"/>
        </w:rPr>
        <w:t xml:space="preserve">4.1   </w:t>
      </w:r>
      <w:hyperlink w:history="1" w:anchor="s41_anchor">
        <w:r>
          <w:rPr>
            <w:rFonts w:ascii="Calibri" w:cs="Calibri" w:eastAsia="Calibri" w:hAnsi="Calibri"/>
            <w:color w:val="0B5ED7"/>
            <w:sz w:val="18"/>
            <w:szCs w:val="18"/>
            <w:u w:val="single" w:color="0B5ED7"/>
          </w:rPr>
          <w:t xml:space="preserve">Two Pillars of IT Cost</w:t>
        </w:r>
      </w:hyperlink>
    </w:p>
    <w:p>
      <w:pPr>
        <w:spacing w:after="40"/>
        <w:ind w:left="480"/>
      </w:pPr>
      <w:r>
        <w:rPr>
          <w:rFonts w:ascii="Calibri" w:cs="Calibri" w:eastAsia="Calibri" w:hAnsi="Calibri"/>
          <w:color w:val="4A5568"/>
          <w:sz w:val="18"/>
          <w:szCs w:val="18"/>
        </w:rPr>
        <w:t xml:space="preserve">4.2   </w:t>
      </w:r>
      <w:hyperlink w:history="1" w:anchor="s42_anchor">
        <w:r>
          <w:rPr>
            <w:rFonts w:ascii="Calibri" w:cs="Calibri" w:eastAsia="Calibri" w:hAnsi="Calibri"/>
            <w:color w:val="0B5ED7"/>
            <w:sz w:val="18"/>
            <w:szCs w:val="18"/>
            <w:u w:val="single" w:color="0B5ED7"/>
          </w:rPr>
          <w:t xml:space="preserve">How the View Is Built</w:t>
        </w:r>
      </w:hyperlink>
    </w:p>
    <w:p>
      <w:pPr>
        <w:spacing w:after="40"/>
        <w:ind w:left="480"/>
      </w:pPr>
      <w:r>
        <w:rPr>
          <w:rFonts w:ascii="Calibri" w:cs="Calibri" w:eastAsia="Calibri" w:hAnsi="Calibri"/>
          <w:color w:val="4A5568"/>
          <w:sz w:val="18"/>
          <w:szCs w:val="18"/>
        </w:rPr>
        <w:t xml:space="preserve">4.3   </w:t>
      </w:r>
      <w:hyperlink w:history="1" w:anchor="s43_anchor">
        <w:r>
          <w:rPr>
            <w:rFonts w:ascii="Calibri" w:cs="Calibri" w:eastAsia="Calibri" w:hAnsi="Calibri"/>
            <w:color w:val="0B5ED7"/>
            <w:sz w:val="18"/>
            <w:szCs w:val="18"/>
            <w:u w:val="single" w:color="0B5ED7"/>
          </w:rPr>
          <w:t xml:space="preserve">What BU Leaders See</w:t>
        </w:r>
      </w:hyperlink>
    </w:p>
    <w:p>
      <w:pPr>
        <w:pBdr>
          <w:bottom w:val="single" w:color="CBD5E0" w:sz="2"/>
        </w:pBdr>
        <w:shd w:fill="D6E4F7" w:color="auto" w:val="clear"/>
        <w:spacing w:after="60"/>
      </w:pPr>
      <w:r>
        <w:rPr>
          <w:rFonts w:ascii="Calibri" w:cs="Calibri" w:eastAsia="Calibri" w:hAnsi="Calibri"/>
          <w:b/>
          <w:bCs/>
          <w:color w:val="003087"/>
          <w:sz w:val="20"/>
          <w:szCs w:val="20"/>
        </w:rPr>
        <w:t xml:space="preserve">5   </w:t>
      </w:r>
      <w:hyperlink w:history="1" w:anchor="s5_anchor">
        <w:r>
          <w:rPr>
            <w:rFonts w:ascii="Calibri" w:cs="Calibri" w:eastAsia="Calibri" w:hAnsi="Calibri"/>
            <w:color w:val="0B5ED7"/>
            <w:sz w:val="20"/>
            <w:szCs w:val="20"/>
            <w:u w:val="single" w:color="0B5ED7"/>
          </w:rPr>
          <w:t xml:space="preserve">Programme Prioritisation and Merit Engine</w:t>
        </w:r>
      </w:hyperlink>
    </w:p>
    <w:p>
      <w:pPr>
        <w:spacing w:after="40"/>
        <w:ind w:left="480"/>
      </w:pPr>
      <w:r>
        <w:rPr>
          <w:rFonts w:ascii="Calibri" w:cs="Calibri" w:eastAsia="Calibri" w:hAnsi="Calibri"/>
          <w:color w:val="4A5568"/>
          <w:sz w:val="18"/>
          <w:szCs w:val="18"/>
        </w:rPr>
        <w:t xml:space="preserve">5.1   </w:t>
      </w:r>
      <w:hyperlink w:history="1" w:anchor="s51_anchor">
        <w:r>
          <w:rPr>
            <w:rFonts w:ascii="Calibri" w:cs="Calibri" w:eastAsia="Calibri" w:hAnsi="Calibri"/>
            <w:color w:val="0B5ED7"/>
            <w:sz w:val="18"/>
            <w:szCs w:val="18"/>
            <w:u w:val="single" w:color="0B5ED7"/>
          </w:rPr>
          <w:t xml:space="preserve">Why Merit Scoring</w:t>
        </w:r>
      </w:hyperlink>
    </w:p>
    <w:p>
      <w:pPr>
        <w:spacing w:after="40"/>
        <w:ind w:left="480"/>
      </w:pPr>
      <w:r>
        <w:rPr>
          <w:rFonts w:ascii="Calibri" w:cs="Calibri" w:eastAsia="Calibri" w:hAnsi="Calibri"/>
          <w:color w:val="4A5568"/>
          <w:sz w:val="18"/>
          <w:szCs w:val="18"/>
        </w:rPr>
        <w:t xml:space="preserve">5.2   </w:t>
      </w:r>
      <w:hyperlink w:history="1" w:anchor="s52_anchor">
        <w:r>
          <w:rPr>
            <w:rFonts w:ascii="Calibri" w:cs="Calibri" w:eastAsia="Calibri" w:hAnsi="Calibri"/>
            <w:color w:val="0B5ED7"/>
            <w:sz w:val="18"/>
            <w:szCs w:val="18"/>
            <w:u w:val="single" w:color="0B5ED7"/>
          </w:rPr>
          <w:t xml:space="preserve">The Scoring Model</w:t>
        </w:r>
      </w:hyperlink>
    </w:p>
    <w:p>
      <w:pPr>
        <w:spacing w:after="40"/>
        <w:ind w:left="480"/>
      </w:pPr>
      <w:r>
        <w:rPr>
          <w:rFonts w:ascii="Calibri" w:cs="Calibri" w:eastAsia="Calibri" w:hAnsi="Calibri"/>
          <w:color w:val="4A5568"/>
          <w:sz w:val="18"/>
          <w:szCs w:val="18"/>
        </w:rPr>
        <w:t xml:space="preserve">5.3   </w:t>
      </w:r>
      <w:hyperlink w:history="1" w:anchor="s53_anchor">
        <w:r>
          <w:rPr>
            <w:rFonts w:ascii="Calibri" w:cs="Calibri" w:eastAsia="Calibri" w:hAnsi="Calibri"/>
            <w:color w:val="0B5ED7"/>
            <w:sz w:val="18"/>
            <w:szCs w:val="18"/>
            <w:u w:val="single" w:color="0B5ED7"/>
          </w:rPr>
          <w:t xml:space="preserve">Investment Levers</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6   </w:t>
      </w:r>
      <w:hyperlink w:history="1" w:anchor="s6_anchor">
        <w:r>
          <w:rPr>
            <w:rFonts w:ascii="Calibri" w:cs="Calibri" w:eastAsia="Calibri" w:hAnsi="Calibri"/>
            <w:color w:val="0B5ED7"/>
            <w:sz w:val="20"/>
            <w:szCs w:val="20"/>
            <w:u w:val="single" w:color="0B5ED7"/>
          </w:rPr>
          <w:t xml:space="preserve">On Top Of Funding — The CFO Discussion Enabler</w:t>
        </w:r>
      </w:hyperlink>
    </w:p>
    <w:p>
      <w:pPr>
        <w:spacing w:after="40"/>
        <w:ind w:left="480"/>
      </w:pPr>
      <w:r>
        <w:rPr>
          <w:rFonts w:ascii="Calibri" w:cs="Calibri" w:eastAsia="Calibri" w:hAnsi="Calibri"/>
          <w:color w:val="4A5568"/>
          <w:sz w:val="18"/>
          <w:szCs w:val="18"/>
        </w:rPr>
        <w:t xml:space="preserve">6.1   </w:t>
      </w:r>
      <w:hyperlink w:history="1" w:anchor="s61_anchor">
        <w:r>
          <w:rPr>
            <w:rFonts w:ascii="Calibri" w:cs="Calibri" w:eastAsia="Calibri" w:hAnsi="Calibri"/>
            <w:color w:val="0B5ED7"/>
            <w:sz w:val="18"/>
            <w:szCs w:val="18"/>
            <w:u w:val="single" w:color="0B5ED7"/>
          </w:rPr>
          <w:t xml:space="preserve">The Business Problem</w:t>
        </w:r>
      </w:hyperlink>
    </w:p>
    <w:p>
      <w:pPr>
        <w:spacing w:after="40"/>
        <w:ind w:left="480"/>
      </w:pPr>
      <w:r>
        <w:rPr>
          <w:rFonts w:ascii="Calibri" w:cs="Calibri" w:eastAsia="Calibri" w:hAnsi="Calibri"/>
          <w:color w:val="4A5568"/>
          <w:sz w:val="18"/>
          <w:szCs w:val="18"/>
        </w:rPr>
        <w:t xml:space="preserve">6.2   </w:t>
      </w:r>
      <w:hyperlink w:history="1" w:anchor="s62_anchor">
        <w:r>
          <w:rPr>
            <w:rFonts w:ascii="Calibri" w:cs="Calibri" w:eastAsia="Calibri" w:hAnsi="Calibri"/>
            <w:color w:val="0B5ED7"/>
            <w:sz w:val="18"/>
            <w:szCs w:val="18"/>
            <w:u w:val="single" w:color="0B5ED7"/>
          </w:rPr>
          <w:t xml:space="preserve">How the Tool Enables the Conversation</w:t>
        </w:r>
      </w:hyperlink>
    </w:p>
    <w:p>
      <w:pPr>
        <w:spacing w:after="40"/>
        <w:ind w:left="480"/>
      </w:pPr>
      <w:r>
        <w:rPr>
          <w:rFonts w:ascii="Calibri" w:cs="Calibri" w:eastAsia="Calibri" w:hAnsi="Calibri"/>
          <w:color w:val="4A5568"/>
          <w:sz w:val="18"/>
          <w:szCs w:val="18"/>
        </w:rPr>
        <w:t xml:space="preserve">6.3   </w:t>
      </w:r>
      <w:hyperlink w:history="1" w:anchor="s63_anchor">
        <w:r>
          <w:rPr>
            <w:rFonts w:ascii="Calibri" w:cs="Calibri" w:eastAsia="Calibri" w:hAnsi="Calibri"/>
            <w:color w:val="0B5ED7"/>
            <w:sz w:val="18"/>
            <w:szCs w:val="18"/>
            <w:u w:val="single" w:color="0B5ED7"/>
          </w:rPr>
          <w:t xml:space="preserve">Must Do On Top Mechanism</w:t>
        </w:r>
      </w:hyperlink>
    </w:p>
    <w:p>
      <w:pPr>
        <w:pBdr>
          <w:bottom w:val="single" w:color="CBD5E0" w:sz="2"/>
        </w:pBdr>
        <w:shd w:fill="D6E4F7" w:color="auto" w:val="clear"/>
        <w:spacing w:after="60"/>
      </w:pPr>
      <w:r>
        <w:rPr>
          <w:rFonts w:ascii="Calibri" w:cs="Calibri" w:eastAsia="Calibri" w:hAnsi="Calibri"/>
          <w:b/>
          <w:bCs/>
          <w:color w:val="003087"/>
          <w:sz w:val="20"/>
          <w:szCs w:val="20"/>
        </w:rPr>
        <w:t xml:space="preserve">7   </w:t>
      </w:r>
      <w:hyperlink w:history="1" w:anchor="s7_anchor">
        <w:r>
          <w:rPr>
            <w:rFonts w:ascii="Calibri" w:cs="Calibri" w:eastAsia="Calibri" w:hAnsi="Calibri"/>
            <w:color w:val="0B5ED7"/>
            <w:sz w:val="20"/>
            <w:szCs w:val="20"/>
            <w:u w:val="single" w:color="0B5ED7"/>
          </w:rPr>
          <w:t xml:space="preserve">Full Feature Inventory</w:t>
        </w:r>
      </w:hyperlink>
    </w:p>
    <w:p>
      <w:pPr>
        <w:spacing w:after="40"/>
        <w:ind w:left="480"/>
      </w:pPr>
      <w:r>
        <w:rPr>
          <w:rFonts w:ascii="Calibri" w:cs="Calibri" w:eastAsia="Calibri" w:hAnsi="Calibri"/>
          <w:color w:val="4A5568"/>
          <w:sz w:val="18"/>
          <w:szCs w:val="18"/>
        </w:rPr>
        <w:t xml:space="preserve">7.1   </w:t>
      </w:r>
      <w:hyperlink w:history="1" w:anchor="s71_anchor">
        <w:r>
          <w:rPr>
            <w:rFonts w:ascii="Calibri" w:cs="Calibri" w:eastAsia="Calibri" w:hAnsi="Calibri"/>
            <w:color w:val="0B5ED7"/>
            <w:sz w:val="18"/>
            <w:szCs w:val="18"/>
            <w:u w:val="single" w:color="0B5ED7"/>
          </w:rPr>
          <w:t xml:space="preserve">Scenario Modelling Navigator</w:t>
        </w:r>
      </w:hyperlink>
    </w:p>
    <w:p>
      <w:pPr>
        <w:spacing w:after="40"/>
        <w:ind w:left="480"/>
      </w:pPr>
      <w:r>
        <w:rPr>
          <w:rFonts w:ascii="Calibri" w:cs="Calibri" w:eastAsia="Calibri" w:hAnsi="Calibri"/>
          <w:color w:val="4A5568"/>
          <w:sz w:val="18"/>
          <w:szCs w:val="18"/>
        </w:rPr>
        <w:t xml:space="preserve">7.2   </w:t>
      </w:r>
      <w:hyperlink w:history="1" w:anchor="s72_anchor">
        <w:r>
          <w:rPr>
            <w:rFonts w:ascii="Calibri" w:cs="Calibri" w:eastAsia="Calibri" w:hAnsi="Calibri"/>
            <w:color w:val="0B5ED7"/>
            <w:sz w:val="18"/>
            <w:szCs w:val="18"/>
            <w:u w:val="single" w:color="0B5ED7"/>
          </w:rPr>
          <w:t xml:space="preserve">Detailed Data Extract</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8   </w:t>
      </w:r>
      <w:hyperlink w:history="1" w:anchor="s8_anchor">
        <w:r>
          <w:rPr>
            <w:rFonts w:ascii="Calibri" w:cs="Calibri" w:eastAsia="Calibri" w:hAnsi="Calibri"/>
            <w:color w:val="0B5ED7"/>
            <w:sz w:val="20"/>
            <w:szCs w:val="20"/>
            <w:u w:val="single" w:color="0B5ED7"/>
          </w:rPr>
          <w:t xml:space="preserve">Target Audience and Personas</w:t>
        </w:r>
      </w:hyperlink>
    </w:p>
    <w:p>
      <w:pPr>
        <w:pBdr>
          <w:bottom w:val="single" w:color="CBD5E0" w:sz="2"/>
        </w:pBdr>
        <w:shd w:fill="D6E4F7" w:color="auto" w:val="clear"/>
        <w:spacing w:after="60"/>
      </w:pPr>
      <w:r>
        <w:rPr>
          <w:rFonts w:ascii="Calibri" w:cs="Calibri" w:eastAsia="Calibri" w:hAnsi="Calibri"/>
          <w:b/>
          <w:bCs/>
          <w:color w:val="003087"/>
          <w:sz w:val="20"/>
          <w:szCs w:val="20"/>
        </w:rPr>
        <w:t xml:space="preserve">9   </w:t>
      </w:r>
      <w:hyperlink w:history="1" w:anchor="s9_anchor">
        <w:r>
          <w:rPr>
            <w:rFonts w:ascii="Calibri" w:cs="Calibri" w:eastAsia="Calibri" w:hAnsi="Calibri"/>
            <w:color w:val="0B5ED7"/>
            <w:sz w:val="20"/>
            <w:szCs w:val="20"/>
            <w:u w:val="single" w:color="0B5ED7"/>
          </w:rPr>
          <w:t xml:space="preserve">Critical User Journeys</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10   </w:t>
      </w:r>
      <w:hyperlink w:history="1" w:anchor="s10_anchor">
        <w:r>
          <w:rPr>
            <w:rFonts w:ascii="Calibri" w:cs="Calibri" w:eastAsia="Calibri" w:hAnsi="Calibri"/>
            <w:color w:val="0B5ED7"/>
            <w:sz w:val="20"/>
            <w:szCs w:val="20"/>
            <w:u w:val="single" w:color="0B5ED7"/>
          </w:rPr>
          <w:t xml:space="preserve">Goals and Success Metrics</w:t>
        </w:r>
      </w:hyperlink>
    </w:p>
    <w:p>
      <w:pPr>
        <w:pBdr>
          <w:bottom w:val="single" w:color="CBD5E0" w:sz="2"/>
        </w:pBdr>
        <w:shd w:fill="D6E4F7" w:color="auto" w:val="clear"/>
        <w:spacing w:after="60"/>
      </w:pPr>
      <w:r>
        <w:rPr>
          <w:rFonts w:ascii="Calibri" w:cs="Calibri" w:eastAsia="Calibri" w:hAnsi="Calibri"/>
          <w:b/>
          <w:bCs/>
          <w:color w:val="003087"/>
          <w:sz w:val="20"/>
          <w:szCs w:val="20"/>
        </w:rPr>
        <w:t xml:space="preserve">11   </w:t>
      </w:r>
      <w:hyperlink w:history="1" w:anchor="s11_anchor">
        <w:r>
          <w:rPr>
            <w:rFonts w:ascii="Calibri" w:cs="Calibri" w:eastAsia="Calibri" w:hAnsi="Calibri"/>
            <w:color w:val="0B5ED7"/>
            <w:sz w:val="20"/>
            <w:szCs w:val="20"/>
            <w:u w:val="single" w:color="0B5ED7"/>
          </w:rPr>
          <w:t xml:space="preserve">User Experience and Design</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12   </w:t>
      </w:r>
      <w:hyperlink w:history="1" w:anchor="s12_anchor">
        <w:r>
          <w:rPr>
            <w:rFonts w:ascii="Calibri" w:cs="Calibri" w:eastAsia="Calibri" w:hAnsi="Calibri"/>
            <w:color w:val="0B5ED7"/>
            <w:sz w:val="20"/>
            <w:szCs w:val="20"/>
            <w:u w:val="single" w:color="0B5ED7"/>
          </w:rPr>
          <w:t xml:space="preserve">Technical Requirements and Constraints</w:t>
        </w:r>
      </w:hyperlink>
    </w:p>
    <w:p>
      <w:pPr>
        <w:pBdr>
          <w:bottom w:val="single" w:color="CBD5E0" w:sz="2"/>
        </w:pBdr>
        <w:shd w:fill="D6E4F7" w:color="auto" w:val="clear"/>
        <w:spacing w:after="60"/>
      </w:pPr>
      <w:r>
        <w:rPr>
          <w:rFonts w:ascii="Calibri" w:cs="Calibri" w:eastAsia="Calibri" w:hAnsi="Calibri"/>
          <w:b/>
          <w:bCs/>
          <w:color w:val="003087"/>
          <w:sz w:val="20"/>
          <w:szCs w:val="20"/>
        </w:rPr>
        <w:t xml:space="preserve">13   </w:t>
      </w:r>
      <w:hyperlink w:history="1" w:anchor="s13_anchor">
        <w:r>
          <w:rPr>
            <w:rFonts w:ascii="Calibri" w:cs="Calibri" w:eastAsia="Calibri" w:hAnsi="Calibri"/>
            <w:color w:val="0B5ED7"/>
            <w:sz w:val="20"/>
            <w:szCs w:val="20"/>
            <w:u w:val="single" w:color="0B5ED7"/>
          </w:rPr>
          <w:t xml:space="preserve">Out of Scope</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14   </w:t>
      </w:r>
      <w:hyperlink w:history="1" w:anchor="s14_anchor">
        <w:r>
          <w:rPr>
            <w:rFonts w:ascii="Calibri" w:cs="Calibri" w:eastAsia="Calibri" w:hAnsi="Calibri"/>
            <w:color w:val="0B5ED7"/>
            <w:sz w:val="20"/>
            <w:szCs w:val="20"/>
            <w:u w:val="single" w:color="0B5ED7"/>
          </w:rPr>
          <w:t xml:space="preserve">Open Questions</w:t>
        </w:r>
      </w:hyperlink>
    </w:p>
    <w:p>
      <w:pPr>
        <w:pBdr>
          <w:bottom w:val="single" w:color="CBD5E0" w:sz="2"/>
        </w:pBdr>
        <w:shd w:fill="D6E4F7" w:color="auto" w:val="clear"/>
        <w:spacing w:after="60"/>
      </w:pPr>
      <w:r>
        <w:rPr>
          <w:rFonts w:ascii="Calibri" w:cs="Calibri" w:eastAsia="Calibri" w:hAnsi="Calibri"/>
          <w:b/>
          <w:bCs/>
          <w:color w:val="003087"/>
          <w:sz w:val="20"/>
          <w:szCs w:val="20"/>
        </w:rPr>
        <w:t xml:space="preserve">15   </w:t>
      </w:r>
      <w:hyperlink w:history="1" w:anchor="s15_anchor">
        <w:r>
          <w:rPr>
            <w:rFonts w:ascii="Calibri" w:cs="Calibri" w:eastAsia="Calibri" w:hAnsi="Calibri"/>
            <w:color w:val="0B5ED7"/>
            <w:sz w:val="20"/>
            <w:szCs w:val="20"/>
            <w:u w:val="single" w:color="0B5ED7"/>
          </w:rPr>
          <w:t xml:space="preserve">Requirements Traceability Index</w:t>
        </w:r>
      </w:hyperlink>
    </w:p>
    <w:p>
      <w:pPr>
        <w:pBdr>
          <w:bottom w:val="single" w:color="CBD5E0" w:sz="2"/>
        </w:pBdr>
        <w:shd w:fill="F7F9FC" w:color="auto" w:val="clear"/>
        <w:spacing w:after="60"/>
      </w:pPr>
      <w:r>
        <w:rPr>
          <w:rFonts w:ascii="Calibri" w:cs="Calibri" w:eastAsia="Calibri" w:hAnsi="Calibri"/>
          <w:b/>
          <w:bCs/>
          <w:color w:val="003087"/>
          <w:sz w:val="20"/>
          <w:szCs w:val="20"/>
        </w:rPr>
        <w:t xml:space="preserve">16   </w:t>
      </w:r>
      <w:hyperlink w:history="1" w:anchor="s16_anchor">
        <w:r>
          <w:rPr>
            <w:rFonts w:ascii="Calibri" w:cs="Calibri" w:eastAsia="Calibri" w:hAnsi="Calibri"/>
            <w:color w:val="0B5ED7"/>
            <w:sz w:val="20"/>
            <w:szCs w:val="20"/>
            <w:u w:val="single" w:color="0B5ED7"/>
          </w:rPr>
          <w:t xml:space="preserve">Future Roadmap — Continuous Prioritization</w:t>
        </w:r>
      </w:hyperlink>
    </w:p>
    <w:p>
      <w:r>
        <w:br w:type="page"/>
      </w:r>
    </w:p>
    <w:p>
      <w:pPr>
        <w:pBdr>
          <w:bottom w:val="single" w:color="0B5ED7" w:sz="6"/>
        </w:pBdr>
        <w:shd w:fill="003087" w:color="auto" w:val="clear"/>
        <w:spacing w:after="160" w:before="480"/>
      </w:pPr>
      <w:bookmarkStart w:name="exec_anchor" w:id="3"/>
      <w:r>
        <w:rPr>
          <w:rFonts w:ascii="Calibri" w:cs="Calibri" w:eastAsia="Calibri" w:hAnsi="Calibri"/>
          <w:b/>
          <w:bCs/>
          <w:color w:val="FFFFFF"/>
          <w:sz w:val="34"/>
          <w:szCs w:val="34"/>
        </w:rPr>
        <w:t xml:space="preserve">1.  Executive Summary</w:t>
      </w:r>
      <w:bookmarkEnd w:id="3"/>
    </w:p>
    <w:p>
      <w:pPr>
        <w:spacing w:after="100"/>
      </w:pPr>
      <w:r>
        <w:rPr>
          <w:rFonts w:ascii="Calibri" w:cs="Calibri" w:eastAsia="Calibri" w:hAnsi="Calibri"/>
          <w:color w:val="1A202C"/>
          <w:sz w:val="20"/>
          <w:szCs w:val="20"/>
        </w:rPr>
        <w:t xml:space="preserve">Philips IT investment for AOP 2027 spans 421 programmes across 35 organisations, representing 280 million euros of submitted demand against a budget ceiling of approximately 100 million euros. Until now, no single tool existed that showed a Business Unit leader their complete IT cost — the combination of what they pay to run existing technology today (Operations) and what they are requesting to invest in change tomorrow (Programmes). They also had no quantified, data-backed basis for requesting additional funding from the CFO.</w:t>
      </w:r>
    </w:p>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The AOP 2027 IT Portfolio Scenario Modelling Tool and its companion Detailed Data Extract change this fundamentally. Together they deliver three things Philips has never had before in a single, portable, offline-capable tool:</w:t>
      </w:r>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Capability</w:t>
            </w:r>
          </w:p>
        </w:tc>
        <w:tc>
          <w:tcPr>
            <w:tcW w:type="dxa" w:w="69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What It Means for Philips</w:t>
            </w:r>
          </w:p>
        </w:tc>
      </w:tr>
      <w:tr>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One Portfolio View</w:t>
            </w:r>
          </w:p>
        </w:tc>
        <w:tc>
          <w:tcPr>
            <w:tcW w:type="dxa" w:w="6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Every BU leader sees their total IT AOP — Operations cost (fixed, what you pay to run IT) plus Programme investment (what you are asking to fund) — in one number, broken down by organisation.</w:t>
            </w:r>
          </w:p>
        </w:tc>
      </w:tr>
      <w:tr>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Data-Backed Investment Case</w:t>
            </w:r>
          </w:p>
        </w:tc>
        <w:tc>
          <w:tcPr>
            <w:tcW w:type="dxa" w:w="6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Programmes are scored by a transparent, quantified merit model (BCR, priority, consequence, payback). BU leaders can show the CFO exactly why a programme deserves On Top Of funding, backed by numbers.</w:t>
            </w:r>
          </w:p>
        </w:tc>
      </w:tr>
      <w:tr>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Foundation for Continuous Prioritization</w:t>
            </w:r>
          </w:p>
        </w:tc>
        <w:tc>
          <w:tcPr>
            <w:tcW w:type="dxa" w:w="6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This is the first structured, repeatable, auditable IT prioritisation process at Philips. It is designed to evolve from an annual AOP exercise into a continuous, data-driven portfolio review capability.</w:t>
            </w:r>
          </w:p>
        </w:tc>
      </w:tr>
    </w:tbl>
    <w:p>
      <w:r>
        <w:br w:type="page"/>
      </w:r>
    </w:p>
    <w:p>
      <w:pPr>
        <w:pBdr>
          <w:bottom w:val="single" w:color="0B5ED7" w:sz="6"/>
        </w:pBdr>
        <w:shd w:fill="003087" w:color="auto" w:val="clear"/>
        <w:spacing w:after="160" w:before="480"/>
      </w:pPr>
      <w:bookmarkStart w:name="s2_anchor" w:id="4"/>
      <w:r>
        <w:rPr>
          <w:rFonts w:ascii="Calibri" w:cs="Calibri" w:eastAsia="Calibri" w:hAnsi="Calibri"/>
          <w:b/>
          <w:bCs/>
          <w:color w:val="FFFFFF"/>
          <w:sz w:val="34"/>
          <w:szCs w:val="34"/>
        </w:rPr>
        <w:t xml:space="preserve">2.  Context and Strategic Objective</w:t>
      </w:r>
      <w:bookmarkEnd w:id="4"/>
    </w:p>
    <w:p>
      <w:pPr>
        <w:pBdr>
          <w:bottom w:val="single" w:color="D6E4F7" w:sz="4"/>
        </w:pBdr>
        <w:spacing w:after="100" w:before="320"/>
      </w:pPr>
      <w:bookmarkStart w:name="s21_anchor" w:id="5"/>
      <w:r>
        <w:rPr>
          <w:rFonts w:ascii="Calibri" w:cs="Calibri" w:eastAsia="Calibri" w:hAnsi="Calibri"/>
          <w:b/>
          <w:bCs/>
          <w:color w:val="003087"/>
          <w:sz w:val="26"/>
          <w:szCs w:val="26"/>
        </w:rPr>
        <w:t xml:space="preserve">2.1  The One Portfolio Vision</w:t>
      </w:r>
      <w:bookmarkEnd w:id="5"/>
    </w:p>
    <w:p>
      <w:pPr>
        <w:spacing w:after="100"/>
      </w:pPr>
      <w:r>
        <w:rPr>
          <w:rFonts w:ascii="Calibri" w:cs="Calibri" w:eastAsia="Calibri" w:hAnsi="Calibri"/>
          <w:color w:val="1A202C"/>
          <w:sz w:val="20"/>
          <w:szCs w:val="20"/>
        </w:rPr>
        <w:t xml:space="preserve">The central insight behind this tool is that IT cost for any Business Unit has two inseparable components. The first is the cost of running existing technology — server infrastructure, software licences, support contracts, and operational services that keep the lights on regardless of any new investment decision. The second is the cost of changing technology — the programmes a BU has submitted to grow revenue, reduce costs, maintain compliance, or modernise their platform.</w:t>
      </w:r>
    </w:p>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These two pillars have historically been managed in separate workstreams, reported in separate documents, and owned by different teams. The result was that BU leaders had no single number they could point to as their total IT investment, and no way to connect what they were paying for operations with what they were getting from programmes.</w:t>
      </w:r>
    </w:p>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The One Portfolio formula is simple:</w:t>
      </w:r>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3087" w:sz="8"/>
              <w:left w:val="single" w:color="003087" w:sz="8"/>
              <w:bottom w:val="single" w:color="003087" w:sz="8"/>
              <w:right w:val="single" w:color="003087" w:sz="8"/>
            </w:tcBorders>
            <w:shd w:fill="D6E4F7" w:color="auto" w:val="clear"/>
            <w:tcMar>
              <w:top w:type="dxa" w:w="160"/>
              <w:left w:type="dxa" w:w="200"/>
              <w:bottom w:type="dxa" w:w="160"/>
              <w:right w:type="dxa" w:w="200"/>
            </w:tcMar>
          </w:tcPr>
          <w:p>
            <w:pPr>
              <w:spacing w:after="0"/>
              <w:jc w:val="center"/>
            </w:pPr>
            <w:r>
              <w:rPr>
                <w:rFonts w:ascii="Calibri Mono" w:cs="Calibri Mono" w:eastAsia="Calibri Mono" w:hAnsi="Calibri Mono"/>
                <w:b/>
                <w:bCs/>
                <w:color w:val="003087"/>
                <w:sz w:val="24"/>
                <w:szCs w:val="24"/>
              </w:rPr>
              <w:t xml:space="preserve">Total IT AOP  =  Operations (TCO)  +  Prioritised Programme Investment</w:t>
            </w:r>
          </w:p>
        </w:tc>
      </w:tr>
    </w:tbl>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Operations is fixed — it does not change with programme decisions. It is the cost of the IT estate a BU already owns and must pay. Programmes are competitive — they are prioritised by merit, scored against each other, and funded up to the agreed budget ceiling. Every BU leader sees both numbers, and the tool shows exactly what sits behind each one.</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22_anchor" w:id="6"/>
      <w:r>
        <w:rPr>
          <w:rFonts w:ascii="Calibri" w:cs="Calibri" w:eastAsia="Calibri" w:hAnsi="Calibri"/>
          <w:b/>
          <w:bCs/>
          <w:color w:val="003087"/>
          <w:sz w:val="26"/>
          <w:szCs w:val="26"/>
        </w:rPr>
        <w:t xml:space="preserve">2.2  Why This Matters to BU Leaders</w:t>
      </w:r>
      <w:bookmarkEnd w:id="6"/>
    </w:p>
    <w:p>
      <w:pPr>
        <w:pStyle w:val="ListParagraph"/>
        <w:numPr>
          <w:ilvl w:val="0"/>
          <w:numId w:val="2"/>
        </w:numPr>
        <w:spacing w:after="60"/>
      </w:pPr>
      <w:r>
        <w:rPr>
          <w:rFonts w:ascii="Calibri" w:cs="Calibri" w:eastAsia="Calibri" w:hAnsi="Calibri"/>
          <w:color w:val="1A202C"/>
          <w:sz w:val="20"/>
          <w:szCs w:val="20"/>
        </w:rPr>
        <w:t xml:space="preserve">Accountability: For the first time, a BU leader can see their organisation's total IT spend in a single view and verify it is correct before AOP is finalised.</w:t>
      </w:r>
    </w:p>
    <w:p>
      <w:pPr>
        <w:pStyle w:val="ListParagraph"/>
        <w:numPr>
          <w:ilvl w:val="0"/>
          <w:numId w:val="2"/>
        </w:numPr>
        <w:spacing w:after="60"/>
      </w:pPr>
      <w:r>
        <w:rPr>
          <w:rFonts w:ascii="Calibri" w:cs="Calibri" w:eastAsia="Calibri" w:hAnsi="Calibri"/>
          <w:color w:val="1A202C"/>
          <w:sz w:val="20"/>
          <w:szCs w:val="20"/>
        </w:rPr>
        <w:t xml:space="preserve">Return on Investment: Every funded programme is scored for its Annual Benefit-Cost Ratio, submitted priority, consequence of non-investment, and payback period. A BU leader can see not just what they are spending, but what return that spending is expected to generate.</w:t>
      </w:r>
    </w:p>
    <w:p>
      <w:pPr>
        <w:pStyle w:val="ListParagraph"/>
        <w:numPr>
          <w:ilvl w:val="0"/>
          <w:numId w:val="2"/>
        </w:numPr>
        <w:spacing w:after="60"/>
      </w:pPr>
      <w:r>
        <w:rPr>
          <w:rFonts w:ascii="Calibri" w:cs="Calibri" w:eastAsia="Calibri" w:hAnsi="Calibri"/>
          <w:color w:val="1A202C"/>
          <w:sz w:val="20"/>
          <w:szCs w:val="20"/>
        </w:rPr>
        <w:t xml:space="preserve">Negotiation Power: When a BU leader believes a critical programme has been deprioritised incorrectly, they now have a data-backed basis — a quantified merit score, a BCR ratio, a consequence description — to bring to the CFO and request On Top Of funding.</w:t>
      </w:r>
    </w:p>
    <w:p>
      <w:pPr>
        <w:pStyle w:val="ListParagraph"/>
        <w:numPr>
          <w:ilvl w:val="0"/>
          <w:numId w:val="2"/>
        </w:numPr>
        <w:spacing w:after="60"/>
      </w:pPr>
      <w:r>
        <w:rPr>
          <w:rFonts w:ascii="Calibri" w:cs="Calibri" w:eastAsia="Calibri" w:hAnsi="Calibri"/>
          <w:color w:val="1A202C"/>
          <w:sz w:val="20"/>
          <w:szCs w:val="20"/>
        </w:rPr>
        <w:t xml:space="preserve">Fairness and Transparency: All BU leaders see the same scoring model applied consistently. There is no black box. The scoring of every programme is fully visible and auditable.</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23_anchor" w:id="7"/>
      <w:r>
        <w:rPr>
          <w:rFonts w:ascii="Calibri" w:cs="Calibri" w:eastAsia="Calibri" w:hAnsi="Calibri"/>
          <w:b/>
          <w:bCs/>
          <w:color w:val="003087"/>
          <w:sz w:val="26"/>
          <w:szCs w:val="26"/>
        </w:rPr>
        <w:t xml:space="preserve">2.3  A First for Philips</w:t>
      </w:r>
      <w:bookmarkEnd w:id="7"/>
    </w:p>
    <w:p>
      <w:pPr>
        <w:spacing w:after="100"/>
      </w:pPr>
      <w:r>
        <w:rPr>
          <w:rFonts w:ascii="Calibri" w:cs="Calibri" w:eastAsia="Calibri" w:hAnsi="Calibri"/>
          <w:color w:val="1A202C"/>
          <w:sz w:val="20"/>
          <w:szCs w:val="20"/>
        </w:rPr>
        <w:t xml:space="preserve">This tool represents the first time Philips has applied structured, quantified, data-backed decision-making to IT portfolio investment at the enterprise level. Prior AOP cycles relied on bilateral negotiation, political influence, and intuition. Programmes were funded based on relationships and advocacy rather than rigorous financial and strategic analysis.</w:t>
      </w:r>
    </w:p>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The AOP 2027 tool changes that baseline. It creates:</w:t>
      </w:r>
    </w:p>
    <w:p>
      <w:pPr>
        <w:pStyle w:val="ListParagraph"/>
        <w:numPr>
          <w:ilvl w:val="0"/>
          <w:numId w:val="2"/>
        </w:numPr>
        <w:spacing w:after="60"/>
      </w:pPr>
      <w:r>
        <w:rPr>
          <w:rFonts w:ascii="Calibri" w:cs="Calibri" w:eastAsia="Calibri" w:hAnsi="Calibri"/>
          <w:color w:val="1A202C"/>
          <w:sz w:val="20"/>
          <w:szCs w:val="20"/>
        </w:rPr>
        <w:t xml:space="preserve">A repeatable, deterministic engine that produces the same allocation result for the same inputs every time.</w:t>
      </w:r>
    </w:p>
    <w:p>
      <w:pPr>
        <w:pStyle w:val="ListParagraph"/>
        <w:numPr>
          <w:ilvl w:val="0"/>
          <w:numId w:val="2"/>
        </w:numPr>
        <w:spacing w:after="60"/>
      </w:pPr>
      <w:r>
        <w:rPr>
          <w:rFonts w:ascii="Calibri" w:cs="Calibri" w:eastAsia="Calibri" w:hAnsi="Calibri"/>
          <w:color w:val="1A202C"/>
          <w:sz w:val="20"/>
          <w:szCs w:val="20"/>
        </w:rPr>
        <w:t xml:space="preserve">A full audit trail of every decision — what was funded, why, by whom, and when.</w:t>
      </w:r>
    </w:p>
    <w:p>
      <w:pPr>
        <w:pStyle w:val="ListParagraph"/>
        <w:numPr>
          <w:ilvl w:val="0"/>
          <w:numId w:val="2"/>
        </w:numPr>
        <w:spacing w:after="60"/>
      </w:pPr>
      <w:r>
        <w:rPr>
          <w:rFonts w:ascii="Calibri" w:cs="Calibri" w:eastAsia="Calibri" w:hAnsi="Calibri"/>
          <w:color w:val="1A202C"/>
          <w:sz w:val="20"/>
          <w:szCs w:val="20"/>
        </w:rPr>
        <w:t xml:space="preserve">A quantified score for every programme that any stakeholder can inspect and challenge.</w:t>
      </w:r>
    </w:p>
    <w:p>
      <w:pPr>
        <w:pStyle w:val="ListParagraph"/>
        <w:numPr>
          <w:ilvl w:val="0"/>
          <w:numId w:val="2"/>
        </w:numPr>
        <w:spacing w:after="60"/>
      </w:pPr>
      <w:r>
        <w:rPr>
          <w:rFonts w:ascii="Calibri" w:cs="Calibri" w:eastAsia="Calibri" w:hAnsi="Calibri"/>
          <w:color w:val="1A202C"/>
          <w:sz w:val="20"/>
          <w:szCs w:val="20"/>
        </w:rPr>
        <w:t xml:space="preserve">A foundation that can be iterated on, improved, and eventually made continuous — not just an annual exercise.</w:t>
      </w:r>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CBD5E0" w:sz="4"/>
              <w:left w:val="single" w:color="CBD5E0" w:sz="4"/>
              <w:bottom w:val="single" w:color="CBD5E0" w:sz="4"/>
              <w:right w:val="single" w:color="CBD5E0" w:sz="4"/>
            </w:tcBorders>
            <w:shd w:fill="0B5ED7"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Strategic Intent</w:t>
            </w:r>
          </w:p>
        </w:tc>
        <w:tc>
          <w:tcPr>
            <w:tcW w:type="dxa" w:w="7920"/>
            <w:tcBorders>
              <w:top w:val="single" w:color="CBD5E0" w:sz="4"/>
              <w:left w:val="single" w:color="CBD5E0" w:sz="4"/>
              <w:bottom w:val="single" w:color="CBD5E0" w:sz="4"/>
              <w:right w:val="single" w:color="CBD5E0" w:sz="4"/>
            </w:tcBorders>
            <w:shd w:fill="D6E4F7" w:color="auto" w:val="clear"/>
            <w:tcMar>
              <w:top w:type="dxa" w:w="80"/>
              <w:left w:type="dxa" w:w="120"/>
              <w:bottom w:type="dxa" w:w="80"/>
              <w:right w:type="dxa" w:w="110"/>
            </w:tcMar>
            <w:vAlign w:val="center"/>
          </w:tcPr>
          <w:p>
            <w:pPr>
              <w:spacing w:after="0"/>
            </w:pPr>
            <w:r>
              <w:rPr>
                <w:rFonts w:ascii="Calibri" w:cs="Calibri" w:eastAsia="Calibri" w:hAnsi="Calibri"/>
                <w:color w:val="1A202C"/>
                <w:sz w:val="18"/>
                <w:szCs w:val="18"/>
              </w:rPr>
              <w:t xml:space="preserve">AOP 2027 is the proof of concept. The goal is to evolve this into a continuous IT prioritisation capability where investment decisions are revisited quarterly — or even more frequently — based on updated business cases, changing priorities, and realised versus planned benefits.</w:t>
            </w:r>
          </w:p>
        </w:tc>
      </w:tr>
    </w:tbl>
    <w:p>
      <w:r>
        <w:br w:type="page"/>
      </w:r>
    </w:p>
    <w:p>
      <w:pPr>
        <w:pBdr>
          <w:bottom w:val="single" w:color="0B5ED7" w:sz="6"/>
        </w:pBdr>
        <w:shd w:fill="003087" w:color="auto" w:val="clear"/>
        <w:spacing w:after="160" w:before="480"/>
      </w:pPr>
      <w:bookmarkStart w:name="s3_anchor" w:id="8"/>
      <w:r>
        <w:rPr>
          <w:rFonts w:ascii="Calibri" w:cs="Calibri" w:eastAsia="Calibri" w:hAnsi="Calibri"/>
          <w:b/>
          <w:bCs/>
          <w:color w:val="FFFFFF"/>
          <w:sz w:val="34"/>
          <w:szCs w:val="34"/>
        </w:rPr>
        <w:t xml:space="preserve">3.  Problem Statement</w:t>
      </w:r>
      <w:bookmarkEnd w:id="8"/>
    </w:p>
    <w:p>
      <w:pPr>
        <w:pBdr>
          <w:bottom w:val="single" w:color="D6E4F7" w:sz="4"/>
        </w:pBdr>
        <w:spacing w:after="100" w:before="320"/>
      </w:pPr>
      <w:bookmarkStart w:name="s31_anchor" w:id="9"/>
      <w:r>
        <w:rPr>
          <w:rFonts w:ascii="Calibri" w:cs="Calibri" w:eastAsia="Calibri" w:hAnsi="Calibri"/>
          <w:b/>
          <w:bCs/>
          <w:color w:val="003087"/>
          <w:sz w:val="26"/>
          <w:szCs w:val="26"/>
        </w:rPr>
        <w:t xml:space="preserve">3.1  What BU Leaders Could Not See Before</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60"/>
        <w:gridCol w:w="4400"/>
      </w:tblGrid>
      <w:tr>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Pain Point</w:t>
            </w:r>
          </w:p>
        </w:tc>
        <w:tc>
          <w:tcPr>
            <w:tcW w:type="dxa" w:w="29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What Was Missing</w:t>
            </w:r>
          </w:p>
        </w:tc>
        <w:tc>
          <w:tcPr>
            <w:tcW w:type="dxa" w:w="4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Consequence</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 single IT cost view</w:t>
            </w:r>
          </w:p>
        </w:tc>
        <w:tc>
          <w:tcPr>
            <w:tcW w:type="dxa" w:w="2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Operations (TCO) and Programmes reported in separate documents, different currencies of measurement, different owners</w:t>
            </w:r>
          </w:p>
        </w:tc>
        <w:tc>
          <w:tcPr>
            <w:tcW w:type="dxa" w:w="4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 leaders could not confirm their total IT AOP. Finance reconciliation took weeks.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 ROI transparency for programmes</w:t>
            </w:r>
          </w:p>
        </w:tc>
        <w:tc>
          <w:tcPr>
            <w:tcW w:type="dxa" w:w="2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Funded programmes had no published scoring rationale. "Why is this funded and mine is not?" had no answer.</w:t>
            </w:r>
          </w:p>
        </w:tc>
        <w:tc>
          <w:tcPr>
            <w:tcW w:type="dxa" w:w="4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Loss of stakeholder trust in the process. Escalations to CTO/CFO.</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 data basis for On Top Of requests</w:t>
            </w:r>
          </w:p>
        </w:tc>
        <w:tc>
          <w:tcPr>
            <w:tcW w:type="dxa" w:w="2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 leaders wanting additional funding had only slide decks and verbal advocacy. No quantified benefit case.</w:t>
            </w:r>
          </w:p>
        </w:tc>
        <w:tc>
          <w:tcPr>
            <w:tcW w:type="dxa" w:w="4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CFO unable to evaluate requests on merit. Decisions were political, not analytical.</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Manual, error-prone consolidation</w:t>
            </w:r>
          </w:p>
        </w:tc>
        <w:tc>
          <w:tcPr>
            <w:tcW w:type="dxa" w:w="2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2-3 weeks of Excel workbook stitching across 35 organisations per AOP cycle</w:t>
            </w:r>
          </w:p>
        </w:tc>
        <w:tc>
          <w:tcPr>
            <w:tcW w:type="dxa" w:w="4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Late submissions, formula errors (PMI double-count, ops over-count), no scenario comparison.</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 audit trail</w:t>
            </w:r>
          </w:p>
        </w:tc>
        <w:tc>
          <w:tcPr>
            <w:tcW w:type="dxa" w:w="2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Decisions were made in 1-on-1 sessions and bilateral emails. No record of what was decided, why, or who approved.</w:t>
            </w:r>
          </w:p>
        </w:tc>
        <w:tc>
          <w:tcPr>
            <w:tcW w:type="dxa" w:w="4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Compliance risk. Institutional knowledge lost each cycle. Cannot learn from prior years.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280M EUR demand vs ~100M EUR budget</w:t>
            </w:r>
          </w:p>
        </w:tc>
        <w:tc>
          <w:tcPr>
            <w:tcW w:type="dxa" w:w="2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 structured method to make the 180M EUR cut in a defensible, consistent way</w:t>
            </w:r>
          </w:p>
        </w:tc>
        <w:tc>
          <w:tcPr>
            <w:tcW w:type="dxa" w:w="4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Subjective deprioritisation. BU leaders felt hard done by. No appeal mechanism.</w:t>
            </w:r>
          </w:p>
        </w:tc>
      </w:tr>
    </w:tbl>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32_anchor" w:id="10"/>
      <w:r>
        <w:rPr>
          <w:rFonts w:ascii="Calibri" w:cs="Calibri" w:eastAsia="Calibri" w:hAnsi="Calibri"/>
          <w:b/>
          <w:bCs/>
          <w:color w:val="003087"/>
          <w:sz w:val="26"/>
          <w:szCs w:val="26"/>
        </w:rPr>
        <w:t xml:space="preserve">3.2  Quantitative Evidence of the Gap</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CBD5E0" w:sz="4"/>
              <w:left w:val="single" w:color="CBD5E0" w:sz="4"/>
              <w:bottom w:val="single" w:color="CBD5E0" w:sz="4"/>
              <w:right w:val="single" w:color="CBD5E0" w:sz="4"/>
            </w:tcBorders>
            <w:shd w:fill="0B5ED7"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AOP 2027 Demand</w:t>
            </w:r>
          </w:p>
        </w:tc>
        <w:tc>
          <w:tcPr>
            <w:tcW w:type="dxa" w:w="7920"/>
            <w:tcBorders>
              <w:top w:val="single" w:color="CBD5E0" w:sz="4"/>
              <w:left w:val="single" w:color="CBD5E0" w:sz="4"/>
              <w:bottom w:val="single" w:color="CBD5E0" w:sz="4"/>
              <w:right w:val="single" w:color="CBD5E0" w:sz="4"/>
            </w:tcBorders>
            <w:shd w:fill="D6E4F7" w:color="auto" w:val="clear"/>
            <w:tcMar>
              <w:top w:type="dxa" w:w="80"/>
              <w:left w:type="dxa" w:w="120"/>
              <w:bottom w:type="dxa" w:w="80"/>
              <w:right w:type="dxa" w:w="110"/>
            </w:tcMar>
            <w:vAlign w:val="center"/>
          </w:tcPr>
          <w:p>
            <w:pPr>
              <w:spacing w:after="0"/>
            </w:pPr>
            <w:r>
              <w:rPr>
                <w:rFonts w:ascii="Calibri" w:cs="Calibri" w:eastAsia="Calibri" w:hAnsi="Calibri"/>
                <w:color w:val="1A202C"/>
                <w:sz w:val="18"/>
                <w:szCs w:val="18"/>
              </w:rPr>
              <w:t xml:space="preserve">280.0 M€ requested across 421 programmes — a 51.6% increase over AOP 2026 actual of 184.7 M€</w:t>
            </w:r>
          </w:p>
        </w:tc>
      </w:tr>
    </w:tbl>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CBD5E0" w:sz="4"/>
              <w:left w:val="single" w:color="CBD5E0" w:sz="4"/>
              <w:bottom w:val="single" w:color="CBD5E0" w:sz="4"/>
              <w:right w:val="single" w:color="CBD5E0" w:sz="4"/>
            </w:tcBorders>
            <w:shd w:fill="0B5ED7"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Funding Gap</w:t>
            </w:r>
          </w:p>
        </w:tc>
        <w:tc>
          <w:tcPr>
            <w:tcW w:type="dxa" w:w="7920"/>
            <w:tcBorders>
              <w:top w:val="single" w:color="CBD5E0" w:sz="4"/>
              <w:left w:val="single" w:color="CBD5E0" w:sz="4"/>
              <w:bottom w:val="single" w:color="CBD5E0" w:sz="4"/>
              <w:right w:val="single" w:color="CBD5E0" w:sz="4"/>
            </w:tcBorders>
            <w:shd w:fill="D6E4F7" w:color="auto" w:val="clear"/>
            <w:tcMar>
              <w:top w:type="dxa" w:w="80"/>
              <w:left w:type="dxa" w:w="120"/>
              <w:bottom w:type="dxa" w:w="80"/>
              <w:right w:type="dxa" w:w="110"/>
            </w:tcMar>
            <w:vAlign w:val="center"/>
          </w:tcPr>
          <w:p>
            <w:pPr>
              <w:spacing w:after="0"/>
            </w:pPr>
            <w:r>
              <w:rPr>
                <w:rFonts w:ascii="Calibri" w:cs="Calibri" w:eastAsia="Calibri" w:hAnsi="Calibri"/>
                <w:color w:val="1A202C"/>
                <w:sz w:val="18"/>
                <w:szCs w:val="18"/>
              </w:rPr>
              <w:t xml:space="preserve">~180 M€ must be deprioritised. 64% of total demand cannot be funded at the ~100 M€ ceiling.</w:t>
            </w:r>
          </w:p>
        </w:tc>
      </w:tr>
    </w:tbl>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CBD5E0" w:sz="4"/>
              <w:left w:val="single" w:color="CBD5E0" w:sz="4"/>
              <w:bottom w:val="single" w:color="CBD5E0" w:sz="4"/>
              <w:right w:val="single" w:color="CBD5E0" w:sz="4"/>
            </w:tcBorders>
            <w:shd w:fill="0B5ED7"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Organisation Spread</w:t>
            </w:r>
          </w:p>
        </w:tc>
        <w:tc>
          <w:tcPr>
            <w:tcW w:type="dxa" w:w="7920"/>
            <w:tcBorders>
              <w:top w:val="single" w:color="CBD5E0" w:sz="4"/>
              <w:left w:val="single" w:color="CBD5E0" w:sz="4"/>
              <w:bottom w:val="single" w:color="CBD5E0" w:sz="4"/>
              <w:right w:val="single" w:color="CBD5E0" w:sz="4"/>
            </w:tcBorders>
            <w:shd w:fill="D6E4F7" w:color="auto" w:val="clear"/>
            <w:tcMar>
              <w:top w:type="dxa" w:w="80"/>
              <w:left w:type="dxa" w:w="120"/>
              <w:bottom w:type="dxa" w:w="80"/>
              <w:right w:type="dxa" w:w="110"/>
            </w:tcMar>
            <w:vAlign w:val="center"/>
          </w:tcPr>
          <w:p>
            <w:pPr>
              <w:spacing w:after="0"/>
            </w:pPr>
            <w:r>
              <w:rPr>
                <w:rFonts w:ascii="Calibri" w:cs="Calibri" w:eastAsia="Calibri" w:hAnsi="Calibri"/>
                <w:color w:val="1A202C"/>
                <w:sz w:val="18"/>
                <w:szCs w:val="18"/>
              </w:rPr>
              <w:t xml:space="preserve">35 organisations, 16 ExCo members. Average funding rate varies from under 20% to over 90% per organisation.</w:t>
            </w:r>
          </w:p>
        </w:tc>
      </w:tr>
    </w:tbl>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CBD5E0" w:sz="4"/>
              <w:left w:val="single" w:color="CBD5E0" w:sz="4"/>
              <w:bottom w:val="single" w:color="CBD5E0" w:sz="4"/>
              <w:right w:val="single" w:color="CBD5E0" w:sz="4"/>
            </w:tcBorders>
            <w:shd w:fill="0B5ED7"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Prior Year Baseline</w:t>
            </w:r>
          </w:p>
        </w:tc>
        <w:tc>
          <w:tcPr>
            <w:tcW w:type="dxa" w:w="7920"/>
            <w:tcBorders>
              <w:top w:val="single" w:color="CBD5E0" w:sz="4"/>
              <w:left w:val="single" w:color="CBD5E0" w:sz="4"/>
              <w:bottom w:val="single" w:color="CBD5E0" w:sz="4"/>
              <w:right w:val="single" w:color="CBD5E0" w:sz="4"/>
            </w:tcBorders>
            <w:shd w:fill="D6E4F7" w:color="auto" w:val="clear"/>
            <w:tcMar>
              <w:top w:type="dxa" w:w="80"/>
              <w:left w:type="dxa" w:w="120"/>
              <w:bottom w:type="dxa" w:w="80"/>
              <w:right w:type="dxa" w:w="110"/>
            </w:tcMar>
            <w:vAlign w:val="center"/>
          </w:tcPr>
          <w:p>
            <w:pPr>
              <w:spacing w:after="0"/>
            </w:pPr>
            <w:r>
              <w:rPr>
                <w:rFonts w:ascii="Calibri" w:cs="Calibri" w:eastAsia="Calibri" w:hAnsi="Calibri"/>
                <w:color w:val="1A202C"/>
                <w:sz w:val="18"/>
                <w:szCs w:val="18"/>
              </w:rPr>
              <w:t xml:space="preserve">AOP 2026 actual spend: 184.7 M€ programme + 183.7 M€ operations (from 1-on-1 sessions)</w:t>
            </w:r>
          </w:p>
        </w:tc>
      </w:tr>
    </w:tbl>
    <w:p>
      <w:r>
        <w:br w:type="page"/>
      </w:r>
    </w:p>
    <w:p>
      <w:pPr>
        <w:pBdr>
          <w:bottom w:val="single" w:color="0B5ED7" w:sz="6"/>
        </w:pBdr>
        <w:shd w:fill="003087" w:color="auto" w:val="clear"/>
        <w:spacing w:after="160" w:before="480"/>
      </w:pPr>
      <w:bookmarkStart w:name="s4_anchor" w:id="11"/>
      <w:r>
        <w:rPr>
          <w:rFonts w:ascii="Calibri" w:cs="Calibri" w:eastAsia="Calibri" w:hAnsi="Calibri"/>
          <w:b/>
          <w:bCs/>
          <w:color w:val="FFFFFF"/>
          <w:sz w:val="34"/>
          <w:szCs w:val="34"/>
        </w:rPr>
        <w:t xml:space="preserve">4.  The One Portfolio View — Core Product Concept</w:t>
      </w:r>
      <w:bookmarkEnd w:id="11"/>
    </w:p>
    <w:p>
      <w:pPr>
        <w:pBdr>
          <w:bottom w:val="single" w:color="D6E4F7" w:sz="4"/>
        </w:pBdr>
        <w:spacing w:after="100" w:before="320"/>
      </w:pPr>
      <w:bookmarkStart w:name="s41_anchor" w:id="12"/>
      <w:r>
        <w:rPr>
          <w:rFonts w:ascii="Calibri" w:cs="Calibri" w:eastAsia="Calibri" w:hAnsi="Calibri"/>
          <w:b/>
          <w:bCs/>
          <w:color w:val="003087"/>
          <w:sz w:val="26"/>
          <w:szCs w:val="26"/>
        </w:rPr>
        <w:t xml:space="preserve">4.1  Two Pillars of IT Cost</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800"/>
        <w:gridCol w:w="2400"/>
        <w:gridCol w:w="2360"/>
      </w:tblGrid>
      <w:tr>
        <w:tc>
          <w:tcPr>
            <w:tcW w:type="dxa" w:w="1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Pillar</w:t>
            </w:r>
          </w:p>
        </w:tc>
        <w:tc>
          <w:tcPr>
            <w:tcW w:type="dxa" w:w="2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What It Covers</w:t>
            </w:r>
          </w:p>
        </w:tc>
        <w:tc>
          <w:tcPr>
            <w:tcW w:type="dxa" w:w="2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How It Moves</w:t>
            </w:r>
          </w:p>
        </w:tc>
        <w:tc>
          <w:tcPr>
            <w:tcW w:type="dxa" w:w="23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Source</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Pillar 1 — Operations (TCO)</w:t>
            </w:r>
          </w:p>
        </w:tc>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Running the existing IT estate: infrastructure, licences, support, managed services, operations staff. The cost of keeping everything working as-is.</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Fixed per AOP cycle. Does not change with programme decisions or lever adjustments. This is a committed cost.</w:t>
            </w:r>
          </w:p>
        </w:tc>
        <w:tc>
          <w:tcPr>
            <w:tcW w:type="dxa" w:w="2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Bill of IT workbook. Read into the tool at source upload. Cannot be edited in the Modeler.</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Pillar 2 — Programme Investment</w:t>
            </w:r>
          </w:p>
        </w:tc>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The competitive IT change budget: new programmes, carryovers, compliance mandates, sustain and hygiene work, decommissioning, and value-generating innovation.</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Variable. Changes with every lever adjustment, manual override, and ExCo trade-off decision. This is the allocation engine output.</w:t>
            </w:r>
          </w:p>
        </w:tc>
        <w:tc>
          <w:tcPr>
            <w:tcW w:type="dxa" w:w="2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AOP 2027 Consolidated Live workbook. 421 programmes across 3 source sheets (EW, BU).</w:t>
            </w:r>
          </w:p>
        </w:tc>
      </w:tr>
    </w:tbl>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The tool is the first place in Philips where both pillars are visible simultaneously, summed to a single Total IT AOP per organisation, and reconcilable to the corporate finance ledger.</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42_anchor" w:id="13"/>
      <w:r>
        <w:rPr>
          <w:rFonts w:ascii="Calibri" w:cs="Calibri" w:eastAsia="Calibri" w:hAnsi="Calibri"/>
          <w:b/>
          <w:bCs/>
          <w:color w:val="003087"/>
          <w:sz w:val="26"/>
          <w:szCs w:val="26"/>
        </w:rPr>
        <w:t xml:space="preserve">4.2  How the One Portfolio View Is Built</w:t>
      </w:r>
      <w:bookmarkEnd w:id="13"/>
    </w:p>
    <w:p>
      <w:pPr>
        <w:pStyle w:val="ListParagraph"/>
        <w:numPr>
          <w:ilvl w:val="0"/>
          <w:numId w:val="3"/>
        </w:numPr>
        <w:spacing w:after="60"/>
      </w:pPr>
      <w:r>
        <w:rPr>
          <w:rFonts w:ascii="Calibri" w:cs="Calibri" w:eastAsia="Calibri" w:hAnsi="Calibri"/>
          <w:color w:val="1A202C"/>
          <w:sz w:val="20"/>
          <w:szCs w:val="20"/>
        </w:rPr>
        <w:t xml:space="preserve">Source data is uploaded: the AOP 2027 Consolidated Live Excel workbook is parsed. It contains both Operations allocation rows and Programme demand rows.</w:t>
      </w:r>
    </w:p>
    <w:p>
      <w:pPr>
        <w:pStyle w:val="ListParagraph"/>
        <w:numPr>
          <w:ilvl w:val="0"/>
          <w:numId w:val="3"/>
        </w:numPr>
        <w:spacing w:after="60"/>
      </w:pPr>
      <w:r>
        <w:rPr>
          <w:rFonts w:ascii="Calibri" w:cs="Calibri" w:eastAsia="Calibri" w:hAnsi="Calibri"/>
          <w:color w:val="1A202C"/>
          <w:sz w:val="20"/>
          <w:szCs w:val="20"/>
        </w:rPr>
        <w:t xml:space="preserve">Programmes are classified: each of the 421 programmes is assigned to exactly one priority stage (P1 Legal/Regulatory, P2 Carry-over, P3 Sustain, P4 Value, P5 IT Simplification) based on deterministic rules from source fields.</w:t>
      </w:r>
    </w:p>
    <w:p>
      <w:pPr>
        <w:pStyle w:val="ListParagraph"/>
        <w:numPr>
          <w:ilvl w:val="0"/>
          <w:numId w:val="3"/>
        </w:numPr>
        <w:spacing w:after="60"/>
      </w:pPr>
      <w:r>
        <w:rPr>
          <w:rFonts w:ascii="Calibri" w:cs="Calibri" w:eastAsia="Calibri" w:hAnsi="Calibri"/>
          <w:color w:val="1A202C"/>
          <w:sz w:val="20"/>
          <w:szCs w:val="20"/>
        </w:rPr>
        <w:t xml:space="preserve">Merit scoring runs: each programme receives a merit score out of 100 based on its financial return, submitted priority, consequence evidence, and payback period.</w:t>
      </w:r>
    </w:p>
    <w:p>
      <w:pPr>
        <w:pStyle w:val="ListParagraph"/>
        <w:numPr>
          <w:ilvl w:val="0"/>
          <w:numId w:val="3"/>
        </w:numPr>
        <w:spacing w:after="60"/>
      </w:pPr>
      <w:r>
        <w:rPr>
          <w:rFonts w:ascii="Calibri" w:cs="Calibri" w:eastAsia="Calibri" w:hAnsi="Calibri"/>
          <w:color w:val="1A202C"/>
          <w:sz w:val="20"/>
          <w:szCs w:val="20"/>
        </w:rPr>
        <w:t xml:space="preserve">Levers set stage targets: five investment levers control how much of each stage's demand is funded. The allocation engine then funds programmes in merit rank order within each stage until the target is reached.</w:t>
      </w:r>
    </w:p>
    <w:p>
      <w:pPr>
        <w:pStyle w:val="ListParagraph"/>
        <w:numPr>
          <w:ilvl w:val="0"/>
          <w:numId w:val="3"/>
        </w:numPr>
        <w:spacing w:after="60"/>
      </w:pPr>
      <w:r>
        <w:rPr>
          <w:rFonts w:ascii="Calibri" w:cs="Calibri" w:eastAsia="Calibri" w:hAnsi="Calibri"/>
          <w:color w:val="1A202C"/>
          <w:sz w:val="20"/>
          <w:szCs w:val="20"/>
        </w:rPr>
        <w:t xml:space="preserve">Finance attribution executes: each funded programme is attributed to its recipient organisation(s) using the Enterprise-Wide charging key. PMI programmes are funded on top and attributed to a separate PMI bucket.</w:t>
      </w:r>
    </w:p>
    <w:p>
      <w:pPr>
        <w:pStyle w:val="ListParagraph"/>
        <w:numPr>
          <w:ilvl w:val="0"/>
          <w:numId w:val="3"/>
        </w:numPr>
        <w:spacing w:after="60"/>
      </w:pPr>
      <w:r>
        <w:rPr>
          <w:rFonts w:ascii="Calibri" w:cs="Calibri" w:eastAsia="Calibri" w:hAnsi="Calibri"/>
          <w:color w:val="1A202C"/>
          <w:sz w:val="20"/>
          <w:szCs w:val="20"/>
        </w:rPr>
        <w:t xml:space="preserve">One Portfolio table is produced: for each of the 35 organisations, the tool shows Operations TCO + Prioritised Programme Funding = Total IT AOP. This is the number the BU leader owns and the CFO reconciles.</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43_anchor" w:id="14"/>
      <w:r>
        <w:rPr>
          <w:rFonts w:ascii="Calibri" w:cs="Calibri" w:eastAsia="Calibri" w:hAnsi="Calibri"/>
          <w:b/>
          <w:bCs/>
          <w:color w:val="003087"/>
          <w:sz w:val="26"/>
          <w:szCs w:val="26"/>
        </w:rPr>
        <w:t xml:space="preserve">4.3  What BU Leaders See</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360"/>
        <w:gridCol w:w="4000"/>
      </w:tblGrid>
      <w:tr>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View</w:t>
            </w:r>
          </w:p>
        </w:tc>
        <w:tc>
          <w:tcPr>
            <w:tcW w:type="dxa" w:w="33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What Is Shown</w:t>
            </w:r>
          </w:p>
        </w:tc>
        <w:tc>
          <w:tcPr>
            <w:tcW w:type="dxa" w:w="4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Business Value</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Organisation IT AOP</w:t>
            </w:r>
          </w:p>
        </w:tc>
        <w:tc>
          <w:tcPr>
            <w:tcW w:type="dxa" w:w="3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Operations TCO + Funded Programme total = Total IT AOP, per organisation</w:t>
            </w:r>
          </w:p>
        </w:tc>
        <w:tc>
          <w:tcPr>
            <w:tcW w:type="dxa" w:w="4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One number. Clear ownership. No ambiguity about what the BU owes IT.</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Funding Status</w:t>
            </w:r>
          </w:p>
        </w:tc>
        <w:tc>
          <w:tcPr>
            <w:tcW w:type="dxa" w:w="3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Each submitted programme: Funded / Partial Scope / Not Funded / Excluded. With the merit score that determined the outcome.</w:t>
            </w:r>
          </w:p>
        </w:tc>
        <w:tc>
          <w:tcPr>
            <w:tcW w:type="dxa" w:w="4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Transparent rationale. BU leader knows exactly why each programme was or was not funded.</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Benefit Return</w:t>
            </w:r>
          </w:p>
        </w:tc>
        <w:tc>
          <w:tcPr>
            <w:tcW w:type="dxa" w:w="3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Hard benefit (revenue and productivity) and soft benefit (cost avoidance, compliance, enabling) shown separately per programme and in aggregate.</w:t>
            </w:r>
          </w:p>
        </w:tc>
        <w:tc>
          <w:tcPr>
            <w:tcW w:type="dxa" w:w="4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Connects investment to expected return. Enables ROI conversation.</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Funding Rate vs Peers</w:t>
            </w:r>
          </w:p>
        </w:tc>
        <w:tc>
          <w:tcPr>
            <w:tcW w:type="dxa" w:w="3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Each organisation's funding rate (% of submitted demand that was approved) compared against the portfolio average.</w:t>
            </w:r>
          </w:p>
        </w:tc>
        <w:tc>
          <w:tcPr>
            <w:tcW w:type="dxa" w:w="4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Benchmarking. Identifies where demand is over-submitted relative to merit quality.</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Unfunded Demand</w:t>
            </w:r>
          </w:p>
        </w:tc>
        <w:tc>
          <w:tcPr>
            <w:tcW w:type="dxa" w:w="3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For every not-funded programme: the requested amount, merit score, and the reason it was not funded (below merit floor, stage cap reached, hold condition).</w:t>
            </w:r>
          </w:p>
        </w:tc>
        <w:tc>
          <w:tcPr>
            <w:tcW w:type="dxa" w:w="4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The basis for an On Top Of funding request if the BU believes the programme should have been funded.</w:t>
            </w:r>
          </w:p>
        </w:tc>
      </w:tr>
    </w:tbl>
    <w:p>
      <w:r>
        <w:br w:type="page"/>
      </w:r>
    </w:p>
    <w:p>
      <w:pPr>
        <w:pBdr>
          <w:bottom w:val="single" w:color="0B5ED7" w:sz="6"/>
        </w:pBdr>
        <w:shd w:fill="003087" w:color="auto" w:val="clear"/>
        <w:spacing w:after="160" w:before="480"/>
      </w:pPr>
      <w:bookmarkStart w:name="s5_anchor" w:id="15"/>
      <w:r>
        <w:rPr>
          <w:rFonts w:ascii="Calibri" w:cs="Calibri" w:eastAsia="Calibri" w:hAnsi="Calibri"/>
          <w:b/>
          <w:bCs/>
          <w:color w:val="FFFFFF"/>
          <w:sz w:val="34"/>
          <w:szCs w:val="34"/>
        </w:rPr>
        <w:t xml:space="preserve">5.  Programme Prioritisation and Merit Engine</w:t>
      </w:r>
      <w:bookmarkEnd w:id="15"/>
    </w:p>
    <w:p>
      <w:pPr>
        <w:pBdr>
          <w:bottom w:val="single" w:color="D6E4F7" w:sz="4"/>
        </w:pBdr>
        <w:spacing w:after="100" w:before="320"/>
      </w:pPr>
      <w:bookmarkStart w:name="s51_anchor" w:id="16"/>
      <w:r>
        <w:rPr>
          <w:rFonts w:ascii="Calibri" w:cs="Calibri" w:eastAsia="Calibri" w:hAnsi="Calibri"/>
          <w:b/>
          <w:bCs/>
          <w:color w:val="003087"/>
          <w:sz w:val="26"/>
          <w:szCs w:val="26"/>
        </w:rPr>
        <w:t xml:space="preserve">5.1  Why Merit Scoring</w:t>
      </w:r>
      <w:bookmarkEnd w:id="16"/>
    </w:p>
    <w:p>
      <w:pPr>
        <w:spacing w:after="100"/>
      </w:pPr>
      <w:r>
        <w:rPr>
          <w:rFonts w:ascii="Calibri" w:cs="Calibri" w:eastAsia="Calibri" w:hAnsi="Calibri"/>
          <w:color w:val="1A202C"/>
          <w:sz w:val="20"/>
          <w:szCs w:val="20"/>
        </w:rPr>
        <w:t xml:space="preserve">The 180 M€ gap between demand and budget cannot be closed by negotiation alone without data. Merit scoring provides an objective, transparent, defensible ranking of every programme that any stakeholder can inspect, challenge, and use as the basis for an escalation. It answers the question: given a fixed budget, which programmes generate the most value for Philips?</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52_anchor" w:id="17"/>
      <w:r>
        <w:rPr>
          <w:rFonts w:ascii="Calibri" w:cs="Calibri" w:eastAsia="Calibri" w:hAnsi="Calibri"/>
          <w:b/>
          <w:bCs/>
          <w:color w:val="003087"/>
          <w:sz w:val="26"/>
          <w:szCs w:val="26"/>
        </w:rPr>
        <w:t xml:space="preserve">5.2  The Scoring Model</w:t>
      </w:r>
      <w:bookmarkEnd w:id="17"/>
    </w:p>
    <w:p>
      <w:pPr>
        <w:spacing w:after="100"/>
      </w:pPr>
      <w:r>
        <w:rPr>
          <w:rFonts w:ascii="Calibri" w:cs="Calibri" w:eastAsia="Calibri" w:hAnsi="Calibri"/>
          <w:color w:val="1A202C"/>
          <w:sz w:val="20"/>
          <w:szCs w:val="20"/>
        </w:rPr>
        <w:t xml:space="preserve">Every programme receives a composite merit score out of 100. The score drives allocation order — higher-scoring programmes are funded first within each stage.</w:t>
      </w:r>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900"/>
        <w:gridCol w:w="5060"/>
        <w:gridCol w:w="1600"/>
      </w:tblGrid>
      <w:tr>
        <w:tc>
          <w:tcPr>
            <w:tcW w:type="dxa" w:w="1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Dimension</w:t>
            </w:r>
          </w:p>
        </w:tc>
        <w:tc>
          <w:tcPr>
            <w:tcW w:type="dxa" w:w="9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Weight</w:t>
            </w:r>
          </w:p>
        </w:tc>
        <w:tc>
          <w:tcPr>
            <w:tcW w:type="dxa" w:w="50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What It Measures</w:t>
            </w:r>
          </w:p>
        </w:tc>
        <w:tc>
          <w:tcPr>
            <w:tcW w:type="dxa" w:w="16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Score Range</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Annual BCR</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40%</w:t>
            </w:r>
          </w:p>
        </w:tc>
        <w:tc>
          <w:tcPr>
            <w:tcW w:type="dxa" w:w="50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Average Annual Benefit divided by Requested Cost. Measures financial efficiency. A BCR above 3x scores maximum points.</w:t>
            </w:r>
          </w:p>
        </w:tc>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 to 40 pts</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Submitted Priority</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25%</w:t>
            </w:r>
          </w:p>
        </w:tc>
        <w:tc>
          <w:tcPr>
            <w:tcW w:type="dxa" w:w="50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The originating BU's own priority call: Must Do (25 pts), Must Have (18 pts), Deprioritised (5 pts).</w:t>
            </w:r>
          </w:p>
        </w:tc>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 to 25 pts</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Captured Consequence</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15%</w:t>
            </w:r>
          </w:p>
        </w:tc>
        <w:tc>
          <w:tcPr>
            <w:tcW w:type="dxa" w:w="50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Severity of not doing the programme: quantified enterprise impact (15 pts), explicit harm described (10 pts), contextual (5 pts), none (0 pts).</w:t>
            </w:r>
          </w:p>
        </w:tc>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 to 15 pts</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Decision Band</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w:t>
            </w:r>
          </w:p>
        </w:tc>
        <w:tc>
          <w:tcPr>
            <w:tcW w:type="dxa" w:w="50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Portfolio health signal from the overall AOP decision: Healthy (10 pts), Contain (6 pts), other (0 pts).</w:t>
            </w:r>
          </w:p>
        </w:tc>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 to 10 pts</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Payback Period</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w:t>
            </w:r>
          </w:p>
        </w:tc>
        <w:tc>
          <w:tcPr>
            <w:tcW w:type="dxa" w:w="50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Time to recover the investment: under 1 year (10 pts), under 2 years (8 pts), scaling down to 0 pts beyond 5 years.</w:t>
            </w:r>
          </w:p>
        </w:tc>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 to 10 pts</w:t>
            </w:r>
          </w:p>
        </w:tc>
      </w:tr>
    </w:tbl>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Where a programme has no numeric benefit data, a qualitative fallback is applied: the system reads the benefit description text for revenue and productivity keywords and specific quantification language, producing a BCR-equivalent score from 0 to 3 that feeds into the same weighting formula.</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53_anchor" w:id="18"/>
      <w:r>
        <w:rPr>
          <w:rFonts w:ascii="Calibri" w:cs="Calibri" w:eastAsia="Calibri" w:hAnsi="Calibri"/>
          <w:b/>
          <w:bCs/>
          <w:color w:val="003087"/>
          <w:sz w:val="26"/>
          <w:szCs w:val="26"/>
        </w:rPr>
        <w:t xml:space="preserve">5.3  Investment Levers</w:t>
      </w:r>
      <w:bookmarkEnd w:id="18"/>
    </w:p>
    <w:p>
      <w:pPr>
        <w:spacing w:after="100"/>
      </w:pPr>
      <w:r>
        <w:rPr>
          <w:rFonts w:ascii="Calibri" w:cs="Calibri" w:eastAsia="Calibri" w:hAnsi="Calibri"/>
          <w:color w:val="1A202C"/>
          <w:sz w:val="20"/>
          <w:szCs w:val="20"/>
        </w:rPr>
        <w:t xml:space="preserve">Five levers allow ITPFM and ExCo to tune how much of each programme stage is funded. Each lever can be set as a percentage of the stage's demand, a percentage of the total AOP budget, or a fixed monetary amount.</w:t>
      </w:r>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000"/>
        <w:gridCol w:w="1400"/>
        <w:gridCol w:w="4360"/>
      </w:tblGrid>
      <w:tr>
        <w:tc>
          <w:tcPr>
            <w:tcW w:type="dxa" w:w="16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Lever</w:t>
            </w:r>
          </w:p>
        </w:tc>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Stage</w:t>
            </w:r>
          </w:p>
        </w:tc>
        <w:tc>
          <w:tcPr>
            <w:tcW w:type="dxa" w:w="1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Default</w:t>
            </w:r>
          </w:p>
        </w:tc>
        <w:tc>
          <w:tcPr>
            <w:tcW w:type="dxa" w:w="43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Business Logic</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L1 — Legal, Fiscal, Regulatory</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P1 Mandatory compliance programmes</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100% of bucket</w:t>
            </w:r>
          </w:p>
        </w:tc>
        <w:tc>
          <w:tcPr>
            <w:tcW w:type="dxa" w:w="4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Non-negotiable. LFR programmes are funded regardless of merit. The lever can be used to cap funding if budget absolutely requires it, but this triggers a compliance review.</w:t>
            </w:r>
          </w:p>
        </w:tc>
      </w:tr>
      <w:tr>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L2 — Carry-over</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P2 In-flight programmes from prior years</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100% of bucket</w:t>
            </w:r>
          </w:p>
        </w:tc>
        <w:tc>
          <w:tcPr>
            <w:tcW w:type="dxa" w:w="4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Capped at the prior-year committed (baselined) amount. Cannot over-commit carry-overs. Priority filter: only Must Do and Must Have carry-overs qualify.</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L3 — Sustain and Hygiene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P3 Change and Sustain, CI, Upgrades</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20 M€ fixed</w:t>
            </w:r>
          </w:p>
        </w:tc>
        <w:tc>
          <w:tcPr>
            <w:tcW w:type="dxa" w:w="4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Minimum floor to keep IT platforms stable and current. Not merit-ranked — funded as a block.</w:t>
            </w:r>
          </w:p>
        </w:tc>
      </w:tr>
      <w:tr>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L4 — Value Portfolio</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P4 New strategic investment, merit-ranked</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100% of remaining budget</w:t>
            </w:r>
          </w:p>
        </w:tc>
        <w:tc>
          <w:tcPr>
            <w:tcW w:type="dxa" w:w="4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The primary competitive allocation pool. Programmes ranked by merit score; funded in order until budget is exhausted.</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L5 — IT Simplification</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P5 Decommissioning and replatforming</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 (opt-in)</w:t>
            </w:r>
          </w:p>
        </w:tc>
        <w:tc>
          <w:tcPr>
            <w:tcW w:type="dxa" w:w="4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Off by default. Activating this lever allocates a separate tranche to decommissioning programmes. Reduces technical debt and future operations cost.</w:t>
            </w:r>
          </w:p>
        </w:tc>
      </w:tr>
    </w:tbl>
    <w:p>
      <w:r>
        <w:br w:type="page"/>
      </w:r>
    </w:p>
    <w:p>
      <w:pPr>
        <w:pBdr>
          <w:bottom w:val="single" w:color="0B5ED7" w:sz="6"/>
        </w:pBdr>
        <w:shd w:fill="003087" w:color="auto" w:val="clear"/>
        <w:spacing w:after="160" w:before="480"/>
      </w:pPr>
      <w:bookmarkStart w:name="s6_anchor" w:id="19"/>
      <w:r>
        <w:rPr>
          <w:rFonts w:ascii="Calibri" w:cs="Calibri" w:eastAsia="Calibri" w:hAnsi="Calibri"/>
          <w:b/>
          <w:bCs/>
          <w:color w:val="FFFFFF"/>
          <w:sz w:val="34"/>
          <w:szCs w:val="34"/>
        </w:rPr>
        <w:t xml:space="preserve">6.  On Top Of Funding — The CFO Discussion Enabler</w:t>
      </w:r>
      <w:bookmarkEnd w:id="19"/>
    </w:p>
    <w:p>
      <w:pPr>
        <w:pBdr>
          <w:bottom w:val="single" w:color="D6E4F7" w:sz="4"/>
        </w:pBdr>
        <w:spacing w:after="100" w:before="320"/>
      </w:pPr>
      <w:bookmarkStart w:name="s61_anchor" w:id="20"/>
      <w:r>
        <w:rPr>
          <w:rFonts w:ascii="Calibri" w:cs="Calibri" w:eastAsia="Calibri" w:hAnsi="Calibri"/>
          <w:b/>
          <w:bCs/>
          <w:color w:val="003087"/>
          <w:sz w:val="26"/>
          <w:szCs w:val="26"/>
        </w:rPr>
        <w:t xml:space="preserve">6.1  The Business Problem</w:t>
      </w:r>
      <w:bookmarkEnd w:id="20"/>
    </w:p>
    <w:p>
      <w:pPr>
        <w:spacing w:after="100"/>
      </w:pPr>
      <w:r>
        <w:rPr>
          <w:rFonts w:ascii="Calibri" w:cs="Calibri" w:eastAsia="Calibri" w:hAnsi="Calibri"/>
          <w:color w:val="1A202C"/>
          <w:sz w:val="20"/>
          <w:szCs w:val="20"/>
        </w:rPr>
        <w:t xml:space="preserve">Some programmes are genuinely critical to a Business Unit's strategy — they protect revenue, address regulatory obligations, or are time-sensitive in ways that a general merit ranking cannot fully capture. In prior years, BU leaders who believed their programmes were under-funded had only one recourse: a verbal argument in a room with the CFO and CTO, backed by slides and conviction.</w:t>
      </w:r>
    </w:p>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This placed the CFO in an impossible position. Without a common data language, every On Top Of request looked the same — important, urgent, critical — and decisions reverted to who argued most persuasively rather than which investment produced the most value.</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62_anchor" w:id="21"/>
      <w:r>
        <w:rPr>
          <w:rFonts w:ascii="Calibri" w:cs="Calibri" w:eastAsia="Calibri" w:hAnsi="Calibri"/>
          <w:b/>
          <w:bCs/>
          <w:color w:val="003087"/>
          <w:sz w:val="26"/>
          <w:szCs w:val="26"/>
        </w:rPr>
        <w:t xml:space="preserve">6.2  How the Tool Enables the Conversation</w:t>
      </w:r>
      <w:bookmarkEnd w:id="21"/>
    </w:p>
    <w:p>
      <w:pPr>
        <w:spacing w:after="100"/>
      </w:pPr>
      <w:r>
        <w:rPr>
          <w:rFonts w:ascii="Calibri" w:cs="Calibri" w:eastAsia="Calibri" w:hAnsi="Calibri"/>
          <w:color w:val="1A202C"/>
          <w:sz w:val="20"/>
          <w:szCs w:val="20"/>
        </w:rPr>
        <w:t xml:space="preserve">The tool gives every BU leader and the CFO a shared, quantified data foundation for the On Top Of conversation:</w:t>
      </w:r>
    </w:p>
    <w:p>
      <w:pPr>
        <w:spacing w:after="80"/>
      </w:pPr>
      <w:r>
        <w:rPr>
          <w:rFonts w:ascii="Calibri" w:cs="Calibri" w:eastAsia="Calibri" w:hAnsi="Calibri"/>
          <w:color w:val="1A202C"/>
          <w:sz w:val="20"/>
          <w:szCs w:val="20"/>
        </w:rPr>
        <w:t xml:space="preserve"/>
      </w:r>
    </w:p>
    <w:p>
      <w:pPr>
        <w:pStyle w:val="ListParagraph"/>
        <w:numPr>
          <w:ilvl w:val="0"/>
          <w:numId w:val="2"/>
        </w:numPr>
        <w:spacing w:after="60"/>
      </w:pPr>
      <w:r>
        <w:rPr>
          <w:rFonts w:ascii="Calibri" w:cs="Calibri" w:eastAsia="Calibri" w:hAnsi="Calibri"/>
          <w:color w:val="1A202C"/>
          <w:sz w:val="20"/>
          <w:szCs w:val="20"/>
        </w:rPr>
        <w:t xml:space="preserve">The merit score of the unfunded programme is on record. A BCR of 4.2x, a Must Do priority, and a quantified consequence of 8 M€ revenue at risk is a concrete case, not a slide assertion.</w:t>
      </w:r>
    </w:p>
    <w:p>
      <w:pPr>
        <w:pStyle w:val="ListParagraph"/>
        <w:numPr>
          <w:ilvl w:val="0"/>
          <w:numId w:val="2"/>
        </w:numPr>
        <w:spacing w:after="60"/>
      </w:pPr>
      <w:r>
        <w:rPr>
          <w:rFonts w:ascii="Calibri" w:cs="Calibri" w:eastAsia="Calibri" w:hAnsi="Calibri"/>
          <w:color w:val="1A202C"/>
          <w:sz w:val="20"/>
          <w:szCs w:val="20"/>
        </w:rPr>
        <w:t xml:space="preserve">The tool shows exactly what would have to be defunded or deferred to make room for the new programme within the existing budget — so the trade-off is explicit.</w:t>
      </w:r>
    </w:p>
    <w:p>
      <w:pPr>
        <w:pStyle w:val="ListParagraph"/>
        <w:numPr>
          <w:ilvl w:val="0"/>
          <w:numId w:val="2"/>
        </w:numPr>
        <w:spacing w:after="60"/>
      </w:pPr>
      <w:r>
        <w:rPr>
          <w:rFonts w:ascii="Calibri" w:cs="Calibri" w:eastAsia="Calibri" w:hAnsi="Calibri"/>
          <w:color w:val="1A202C"/>
          <w:sz w:val="20"/>
          <w:szCs w:val="20"/>
        </w:rPr>
        <w:t xml:space="preserve">Alternatively, the programme can be flagged as Must Do On Top — it is funded on top of the base budget ceiling, with a clear record of the amount, the rationale, and who approved it.</w:t>
      </w:r>
    </w:p>
    <w:p>
      <w:pPr>
        <w:pStyle w:val="ListParagraph"/>
        <w:numPr>
          <w:ilvl w:val="0"/>
          <w:numId w:val="2"/>
        </w:numPr>
        <w:spacing w:after="60"/>
      </w:pPr>
      <w:r>
        <w:rPr>
          <w:rFonts w:ascii="Calibri" w:cs="Calibri" w:eastAsia="Calibri" w:hAnsi="Calibri"/>
          <w:color w:val="1A202C"/>
          <w:sz w:val="20"/>
          <w:szCs w:val="20"/>
        </w:rPr>
        <w:t xml:space="preserve">The ExCo Trade-off panel shows the CFO the full portfolio impact of any individual inclusion or exclusion decision in real time, so there are no surprises after the meeting.</w:t>
      </w:r>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CBD5E0" w:sz="4"/>
              <w:left w:val="single" w:color="CBD5E0" w:sz="4"/>
              <w:bottom w:val="single" w:color="CBD5E0" w:sz="4"/>
              <w:right w:val="single" w:color="CBD5E0" w:sz="4"/>
            </w:tcBorders>
            <w:shd w:fill="0B5ED7" w:color="auto" w:val="clear"/>
            <w:tcMar>
              <w:top w:type="dxa" w:w="80"/>
              <w:left w:type="dxa" w:w="110"/>
              <w:bottom w:type="dxa" w:w="80"/>
              <w:right w:type="dxa" w:w="110"/>
            </w:tcMar>
            <w:vAlign w:val="center"/>
          </w:tcPr>
          <w:p>
            <w:pPr>
              <w:spacing w:after="0"/>
            </w:pPr>
            <w:r>
              <w:rPr>
                <w:rFonts w:ascii="Calibri" w:cs="Calibri" w:eastAsia="Calibri" w:hAnsi="Calibri"/>
                <w:b/>
                <w:bCs/>
                <w:color w:val="FFFFFF"/>
                <w:sz w:val="18"/>
                <w:szCs w:val="18"/>
              </w:rPr>
              <w:t xml:space="preserve">Key Shift</w:t>
            </w:r>
          </w:p>
        </w:tc>
        <w:tc>
          <w:tcPr>
            <w:tcW w:type="dxa" w:w="7920"/>
            <w:tcBorders>
              <w:top w:val="single" w:color="CBD5E0" w:sz="4"/>
              <w:left w:val="single" w:color="CBD5E0" w:sz="4"/>
              <w:bottom w:val="single" w:color="CBD5E0" w:sz="4"/>
              <w:right w:val="single" w:color="CBD5E0" w:sz="4"/>
            </w:tcBorders>
            <w:shd w:fill="D6E4F7" w:color="auto" w:val="clear"/>
            <w:tcMar>
              <w:top w:type="dxa" w:w="80"/>
              <w:left w:type="dxa" w:w="120"/>
              <w:bottom w:type="dxa" w:w="80"/>
              <w:right w:type="dxa" w:w="110"/>
            </w:tcMar>
            <w:vAlign w:val="center"/>
          </w:tcPr>
          <w:p>
            <w:pPr>
              <w:spacing w:after="0"/>
            </w:pPr>
            <w:r>
              <w:rPr>
                <w:rFonts w:ascii="Calibri" w:cs="Calibri" w:eastAsia="Calibri" w:hAnsi="Calibri"/>
                <w:color w:val="1A202C"/>
                <w:sz w:val="18"/>
                <w:szCs w:val="18"/>
              </w:rPr>
              <w:t xml:space="preserve">The CFO no longer has to take a BU leader's word for it. The data is in the room. The conversation moves from "I believe this is important" to "here is the BCR, here is the consequence, and here is the trade-off."</w:t>
            </w:r>
          </w:p>
        </w:tc>
      </w:tr>
    </w:tbl>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63_anchor" w:id="22"/>
      <w:r>
        <w:rPr>
          <w:rFonts w:ascii="Calibri" w:cs="Calibri" w:eastAsia="Calibri" w:hAnsi="Calibri"/>
          <w:b/>
          <w:bCs/>
          <w:color w:val="003087"/>
          <w:sz w:val="26"/>
          <w:szCs w:val="26"/>
        </w:rPr>
        <w:t xml:space="preserve">6.3  Must Do On Top Mechanism</w:t>
      </w:r>
      <w:bookmarkEnd w:id="22"/>
    </w:p>
    <w:p>
      <w:pPr>
        <w:spacing w:after="100"/>
      </w:pPr>
      <w:r>
        <w:rPr>
          <w:rFonts w:ascii="Calibri" w:cs="Calibri" w:eastAsia="Calibri" w:hAnsi="Calibri"/>
          <w:color w:val="1A202C"/>
          <w:sz w:val="20"/>
          <w:szCs w:val="20"/>
        </w:rPr>
        <w:t xml:space="preserve">The tool implements a formal Must Do On Top mechanism for programmes that have been bilaterally agreed to be funded above the base budget ceiling:</w:t>
      </w:r>
    </w:p>
    <w:p>
      <w:pPr>
        <w:pStyle w:val="ListParagraph"/>
        <w:numPr>
          <w:ilvl w:val="0"/>
          <w:numId w:val="2"/>
        </w:numPr>
        <w:spacing w:after="60"/>
      </w:pPr>
      <w:r>
        <w:rPr>
          <w:rFonts w:ascii="Calibri" w:cs="Calibri" w:eastAsia="Calibri" w:hAnsi="Calibri"/>
          <w:color w:val="1A202C"/>
          <w:sz w:val="20"/>
          <w:szCs w:val="20"/>
        </w:rPr>
        <w:t xml:space="preserve">Any programme with Priority = Must Do can be escalated to On Top Of status with an explicit CFO approval action recorded in the tool.</w:t>
      </w:r>
    </w:p>
    <w:p>
      <w:pPr>
        <w:pStyle w:val="ListParagraph"/>
        <w:numPr>
          <w:ilvl w:val="0"/>
          <w:numId w:val="2"/>
        </w:numPr>
        <w:spacing w:after="60"/>
      </w:pPr>
      <w:r>
        <w:rPr>
          <w:rFonts w:ascii="Calibri" w:cs="Calibri" w:eastAsia="Calibri" w:hAnsi="Calibri"/>
          <w:color w:val="1A202C"/>
          <w:sz w:val="20"/>
          <w:szCs w:val="20"/>
        </w:rPr>
        <w:t xml:space="preserve">On Top programmes are funded automatically after the base allocation engine runs. They do not compete with other programmes for the base budget.</w:t>
      </w:r>
    </w:p>
    <w:p>
      <w:pPr>
        <w:pStyle w:val="ListParagraph"/>
        <w:numPr>
          <w:ilvl w:val="0"/>
          <w:numId w:val="2"/>
        </w:numPr>
        <w:spacing w:after="60"/>
      </w:pPr>
      <w:r>
        <w:rPr>
          <w:rFonts w:ascii="Calibri" w:cs="Calibri" w:eastAsia="Calibri" w:hAnsi="Calibri"/>
          <w:color w:val="1A202C"/>
          <w:sz w:val="20"/>
          <w:szCs w:val="20"/>
        </w:rPr>
        <w:t xml:space="preserve">The total On Top amount is shown as a separate KPI: base allocation + On Top programmes = Total Programme AOP. This total goes to Finance for BU IT charge reconciliation.</w:t>
      </w:r>
    </w:p>
    <w:p>
      <w:pPr>
        <w:pStyle w:val="ListParagraph"/>
        <w:numPr>
          <w:ilvl w:val="0"/>
          <w:numId w:val="2"/>
        </w:numPr>
        <w:spacing w:after="60"/>
      </w:pPr>
      <w:r>
        <w:rPr>
          <w:rFonts w:ascii="Calibri" w:cs="Calibri" w:eastAsia="Calibri" w:hAnsi="Calibri"/>
          <w:color w:val="1A202C"/>
          <w:sz w:val="20"/>
          <w:szCs w:val="20"/>
        </w:rPr>
        <w:t xml:space="preserve">Every On Top decision is logged with the approver, date, rationale note, and the hard and soft benefit expected in return.</w:t>
      </w:r>
    </w:p>
    <w:p>
      <w:pPr>
        <w:pStyle w:val="ListParagraph"/>
        <w:numPr>
          <w:ilvl w:val="0"/>
          <w:numId w:val="2"/>
        </w:numPr>
        <w:spacing w:after="60"/>
      </w:pPr>
      <w:r>
        <w:rPr>
          <w:rFonts w:ascii="Calibri" w:cs="Calibri" w:eastAsia="Calibri" w:hAnsi="Calibri"/>
          <w:color w:val="1A202C"/>
          <w:sz w:val="20"/>
          <w:szCs w:val="20"/>
        </w:rPr>
        <w:t xml:space="preserve">The tool separates PMI (Post-Merger Integration) programmes — which are always on top by contractual obligation — from discretionary On Top decisions, so the CFO has full visibility of each category.</w:t>
      </w:r>
    </w:p>
    <w:p>
      <w:r>
        <w:br w:type="page"/>
      </w:r>
    </w:p>
    <w:p>
      <w:pPr>
        <w:pBdr>
          <w:bottom w:val="single" w:color="0B5ED7" w:sz="6"/>
        </w:pBdr>
        <w:shd w:fill="003087" w:color="auto" w:val="clear"/>
        <w:spacing w:after="160" w:before="480"/>
      </w:pPr>
      <w:bookmarkStart w:name="s7_anchor" w:id="23"/>
      <w:r>
        <w:rPr>
          <w:rFonts w:ascii="Calibri" w:cs="Calibri" w:eastAsia="Calibri" w:hAnsi="Calibri"/>
          <w:b/>
          <w:bCs/>
          <w:color w:val="FFFFFF"/>
          <w:sz w:val="34"/>
          <w:szCs w:val="34"/>
        </w:rPr>
        <w:t xml:space="preserve">7.  Full Feature Inventory</w:t>
      </w:r>
      <w:bookmarkEnd w:id="23"/>
    </w:p>
    <w:p>
      <w:pPr>
        <w:pBdr>
          <w:bottom w:val="single" w:color="D6E4F7" w:sz="4"/>
        </w:pBdr>
        <w:spacing w:after="100" w:before="320"/>
      </w:pPr>
      <w:bookmarkStart w:name="s71_anchor" w:id="24"/>
      <w:r>
        <w:rPr>
          <w:rFonts w:ascii="Calibri" w:cs="Calibri" w:eastAsia="Calibri" w:hAnsi="Calibri"/>
          <w:b/>
          <w:bCs/>
          <w:color w:val="003087"/>
          <w:sz w:val="26"/>
          <w:szCs w:val="26"/>
        </w:rPr>
        <w:t xml:space="preserve">7.1  Scenario Modelling Navigator</w:t>
      </w:r>
      <w:bookmarkEnd w:id="24"/>
    </w:p>
    <w:p>
      <w:pPr>
        <w:spacing w:after="80" w:before="200"/>
      </w:pPr>
      <w:r>
        <w:rPr>
          <w:rFonts w:ascii="Calibri" w:cs="Calibri" w:eastAsia="Calibri" w:hAnsi="Calibri"/>
          <w:b/>
          <w:bCs/>
          <w:color w:val="0B5ED7"/>
          <w:sz w:val="22"/>
          <w:szCs w:val="22"/>
        </w:rPr>
        <w:t xml:space="preserve">Data Ingestion and Source Parsing</w:t>
      </w:r>
    </w:p>
    <w:p>
      <w:pPr>
        <w:pStyle w:val="ListParagraph"/>
        <w:numPr>
          <w:ilvl w:val="0"/>
          <w:numId w:val="2"/>
        </w:numPr>
        <w:spacing w:after="60"/>
      </w:pPr>
      <w:r>
        <w:rPr>
          <w:rFonts w:ascii="Calibri" w:cs="Calibri" w:eastAsia="Calibri" w:hAnsi="Calibri"/>
          <w:color w:val="1A202C"/>
          <w:sz w:val="20"/>
          <w:szCs w:val="20"/>
        </w:rPr>
        <w:t xml:space="preserve">Drag-and-drop upload of the AOP 2027 Consolidated Live Excel workbook (.xlsx) — fully client-side, no data leaves the browser.</w:t>
      </w:r>
    </w:p>
    <w:p>
      <w:pPr>
        <w:pStyle w:val="ListParagraph"/>
        <w:numPr>
          <w:ilvl w:val="0"/>
          <w:numId w:val="2"/>
        </w:numPr>
        <w:spacing w:after="60"/>
      </w:pPr>
      <w:r>
        <w:rPr>
          <w:rFonts w:ascii="Calibri" w:cs="Calibri" w:eastAsia="Calibri" w:hAnsi="Calibri"/>
          <w:color w:val="1A202C"/>
          <w:sz w:val="20"/>
          <w:szCs w:val="20"/>
        </w:rPr>
        <w:t xml:space="preserve">Parses three worksheets: EW (Enterprise-Wide cross-BU programmes), BU (individual Business Unit programmes), OPS (Operations TCO from Bill of IT).</w:t>
      </w:r>
    </w:p>
    <w:p>
      <w:pPr>
        <w:pStyle w:val="ListParagraph"/>
        <w:numPr>
          <w:ilvl w:val="0"/>
          <w:numId w:val="2"/>
        </w:numPr>
        <w:spacing w:after="60"/>
      </w:pPr>
      <w:r>
        <w:rPr>
          <w:rFonts w:ascii="Calibri" w:cs="Calibri" w:eastAsia="Calibri" w:hAnsi="Calibri"/>
          <w:color w:val="1A202C"/>
          <w:sz w:val="20"/>
          <w:szCs w:val="20"/>
        </w:rPr>
        <w:t xml:space="preserve">Converts K€ source amounts to M€ internal representation (divided by 1000).</w:t>
      </w:r>
    </w:p>
    <w:p>
      <w:pPr>
        <w:pStyle w:val="ListParagraph"/>
        <w:numPr>
          <w:ilvl w:val="0"/>
          <w:numId w:val="2"/>
        </w:numPr>
        <w:spacing w:after="60"/>
      </w:pPr>
      <w:r>
        <w:rPr>
          <w:rFonts w:ascii="Calibri" w:cs="Calibri" w:eastAsia="Calibri" w:hAnsi="Calibri"/>
          <w:color w:val="1A202C"/>
          <w:sz w:val="20"/>
          <w:szCs w:val="20"/>
        </w:rPr>
        <w:t xml:space="preserve">Deterministic stage classifier assigns every programme to P1, P2, P3, P4, or P5 based on source evidence fields. The same source file always produces the same classification.</w:t>
      </w:r>
    </w:p>
    <w:p>
      <w:pPr>
        <w:pStyle w:val="ListParagraph"/>
        <w:numPr>
          <w:ilvl w:val="0"/>
          <w:numId w:val="2"/>
        </w:numPr>
        <w:spacing w:after="60"/>
      </w:pPr>
      <w:r>
        <w:rPr>
          <w:rFonts w:ascii="Calibri" w:cs="Calibri" w:eastAsia="Calibri" w:hAnsi="Calibri"/>
          <w:color w:val="1A202C"/>
          <w:sz w:val="20"/>
          <w:szCs w:val="20"/>
        </w:rPr>
        <w:t xml:space="preserve">Organisation name normalisation: 80+ source name variants mapped to 35 canonical organisation names. Cross-BU EW programmes re-routed to correct recipient buckets (CCB, ISC, Regions, Cross Functions).</w:t>
      </w:r>
    </w:p>
    <w:p>
      <w:pPr>
        <w:pStyle w:val="ListParagraph"/>
        <w:numPr>
          <w:ilvl w:val="0"/>
          <w:numId w:val="2"/>
        </w:numPr>
        <w:spacing w:after="60"/>
      </w:pPr>
      <w:r>
        <w:rPr>
          <w:rFonts w:ascii="Calibri" w:cs="Calibri" w:eastAsia="Calibri" w:hAnsi="Calibri"/>
          <w:color w:val="1A202C"/>
          <w:sz w:val="20"/>
          <w:szCs w:val="20"/>
        </w:rPr>
        <w:t xml:space="preserve">PMI programmes (Post-Merger Integration, type = PMI) are automatically ring-fenced as On Top Of — not subject to merit ranking.</w:t>
      </w:r>
    </w:p>
    <w:p>
      <w:pPr>
        <w:pStyle w:val="ListParagraph"/>
        <w:numPr>
          <w:ilvl w:val="0"/>
          <w:numId w:val="2"/>
        </w:numPr>
        <w:spacing w:after="60"/>
      </w:pPr>
      <w:r>
        <w:rPr>
          <w:rFonts w:ascii="Calibri" w:cs="Calibri" w:eastAsia="Calibri" w:hAnsi="Calibri"/>
          <w:color w:val="1A202C"/>
          <w:sz w:val="20"/>
          <w:szCs w:val="20"/>
        </w:rPr>
        <w:t xml:space="preserve">NDA programmes are parsed and treated with appropriate confidentiality handling.</w:t>
      </w:r>
    </w:p>
    <w:p>
      <w:pPr>
        <w:pStyle w:val="ListParagraph"/>
        <w:numPr>
          <w:ilvl w:val="0"/>
          <w:numId w:val="2"/>
        </w:numPr>
        <w:spacing w:after="60"/>
      </w:pPr>
      <w:r>
        <w:rPr>
          <w:rFonts w:ascii="Calibri" w:cs="Calibri" w:eastAsia="Calibri" w:hAnsi="Calibri"/>
          <w:color w:val="1A202C"/>
          <w:sz w:val="20"/>
          <w:szCs w:val="20"/>
        </w:rPr>
        <w:t xml:space="preserve">Excluded Register: template rows (no name and no request), zero-request records, and hold-condition records are captured in a separate register and never silently discarded.</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Merit Scoring Engine</w:t>
      </w:r>
    </w:p>
    <w:p>
      <w:pPr>
        <w:pStyle w:val="ListParagraph"/>
        <w:numPr>
          <w:ilvl w:val="0"/>
          <w:numId w:val="2"/>
        </w:numPr>
        <w:spacing w:after="60"/>
      </w:pPr>
      <w:r>
        <w:rPr>
          <w:rFonts w:ascii="Calibri" w:cs="Calibri" w:eastAsia="Calibri" w:hAnsi="Calibri"/>
          <w:color w:val="1A202C"/>
          <w:sz w:val="20"/>
          <w:szCs w:val="20"/>
        </w:rPr>
        <w:t xml:space="preserve">Five-dimension composite score (BCR 40%, Priority 25%, Consequence 15%, Decision Band 10%, Payback 10%). Scores 0 to 100.</w:t>
      </w:r>
    </w:p>
    <w:p>
      <w:pPr>
        <w:pStyle w:val="ListParagraph"/>
        <w:numPr>
          <w:ilvl w:val="0"/>
          <w:numId w:val="2"/>
        </w:numPr>
        <w:spacing w:after="60"/>
      </w:pPr>
      <w:r>
        <w:rPr>
          <w:rFonts w:ascii="Calibri" w:cs="Calibri" w:eastAsia="Calibri" w:hAnsi="Calibri"/>
          <w:color w:val="1A202C"/>
          <w:sz w:val="20"/>
          <w:szCs w:val="20"/>
        </w:rPr>
        <w:t xml:space="preserve">Annual BCR = Average Annual Benefit divided by Requested Cost. Benefit divided by duration (default 3 years if not supplied, flagged).</w:t>
      </w:r>
    </w:p>
    <w:p>
      <w:pPr>
        <w:pStyle w:val="ListParagraph"/>
        <w:numPr>
          <w:ilvl w:val="0"/>
          <w:numId w:val="2"/>
        </w:numPr>
        <w:spacing w:after="60"/>
      </w:pPr>
      <w:r>
        <w:rPr>
          <w:rFonts w:ascii="Calibri" w:cs="Calibri" w:eastAsia="Calibri" w:hAnsi="Calibri"/>
          <w:color w:val="1A202C"/>
          <w:sz w:val="20"/>
          <w:szCs w:val="20"/>
        </w:rPr>
        <w:t xml:space="preserve">Qualitative BCR fallback for programmes with no numeric benefit: keyword NLP scoring on benefit description text.</w:t>
      </w:r>
    </w:p>
    <w:p>
      <w:pPr>
        <w:pStyle w:val="ListParagraph"/>
        <w:numPr>
          <w:ilvl w:val="0"/>
          <w:numId w:val="2"/>
        </w:numPr>
        <w:spacing w:after="60"/>
      </w:pPr>
      <w:r>
        <w:rPr>
          <w:rFonts w:ascii="Calibri" w:cs="Calibri" w:eastAsia="Calibri" w:hAnsi="Calibri"/>
          <w:color w:val="1A202C"/>
          <w:sz w:val="20"/>
          <w:szCs w:val="20"/>
        </w:rPr>
        <w:t xml:space="preserve">Hard vs Soft benefit classification by Investment Area. Hard = Revenue Increase or Productivity Savings. Soft = all other positive benefit categories (Cost Avoidance, Compliance, Security, Enabling, etc.). Never combined in any display or KPI.</w:t>
      </w:r>
    </w:p>
    <w:p>
      <w:pPr>
        <w:pStyle w:val="ListParagraph"/>
        <w:numPr>
          <w:ilvl w:val="0"/>
          <w:numId w:val="2"/>
        </w:numPr>
        <w:spacing w:after="60"/>
      </w:pPr>
      <w:r>
        <w:rPr>
          <w:rFonts w:ascii="Calibri" w:cs="Calibri" w:eastAsia="Calibri" w:hAnsi="Calibri"/>
          <w:color w:val="1A202C"/>
          <w:sz w:val="20"/>
          <w:szCs w:val="20"/>
        </w:rPr>
        <w:t xml:space="preserve">Manual merit review override: an approver can set a bespoke merit score with a mandatory evidence note, recorded in the audit log.</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Investment Levers</w:t>
      </w:r>
    </w:p>
    <w:p>
      <w:pPr>
        <w:pStyle w:val="ListParagraph"/>
        <w:numPr>
          <w:ilvl w:val="0"/>
          <w:numId w:val="2"/>
        </w:numPr>
        <w:spacing w:after="60"/>
      </w:pPr>
      <w:r>
        <w:rPr>
          <w:rFonts w:ascii="Calibri" w:cs="Calibri" w:eastAsia="Calibri" w:hAnsi="Calibri"/>
          <w:color w:val="1A202C"/>
          <w:sz w:val="20"/>
          <w:szCs w:val="20"/>
        </w:rPr>
        <w:t xml:space="preserve">Five independent lever controls, one per stage. Each supports three modes: percentage of stage demand bucket, percentage of total AOP budget, or fixed monetary amount in M€.</w:t>
      </w:r>
    </w:p>
    <w:p>
      <w:pPr>
        <w:pStyle w:val="ListParagraph"/>
        <w:numPr>
          <w:ilvl w:val="0"/>
          <w:numId w:val="2"/>
        </w:numPr>
        <w:spacing w:after="60"/>
      </w:pPr>
      <w:r>
        <w:rPr>
          <w:rFonts w:ascii="Calibri" w:cs="Calibri" w:eastAsia="Calibri" w:hAnsi="Calibri"/>
          <w:color w:val="1A202C"/>
          <w:sz w:val="20"/>
          <w:szCs w:val="20"/>
        </w:rPr>
        <w:t xml:space="preserve">Real-time recalculation: every lever change immediately re-runs the allocation engine and updates all KPI cards.</w:t>
      </w:r>
    </w:p>
    <w:p>
      <w:pPr>
        <w:pStyle w:val="ListParagraph"/>
        <w:numPr>
          <w:ilvl w:val="0"/>
          <w:numId w:val="2"/>
        </w:numPr>
        <w:spacing w:after="60"/>
      </w:pPr>
      <w:r>
        <w:rPr>
          <w:rFonts w:ascii="Calibri" w:cs="Calibri" w:eastAsia="Calibri" w:hAnsi="Calibri"/>
          <w:color w:val="1A202C"/>
          <w:sz w:val="20"/>
          <w:szCs w:val="20"/>
        </w:rPr>
        <w:t xml:space="preserve">Wedge-track slider UI with tick marks and M€ label showing current target value.</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Allocation Engine</w:t>
      </w:r>
    </w:p>
    <w:p>
      <w:pPr>
        <w:pStyle w:val="ListParagraph"/>
        <w:numPr>
          <w:ilvl w:val="0"/>
          <w:numId w:val="2"/>
        </w:numPr>
        <w:spacing w:after="60"/>
      </w:pPr>
      <w:r>
        <w:rPr>
          <w:rFonts w:ascii="Calibri" w:cs="Calibri" w:eastAsia="Calibri" w:hAnsi="Calibri"/>
          <w:color w:val="1A202C"/>
          <w:sz w:val="20"/>
          <w:szCs w:val="20"/>
        </w:rPr>
        <w:t xml:space="preserve">Programmes funded whole (not partially) in merit rank order within each stage. No automatic partial splits.</w:t>
      </w:r>
    </w:p>
    <w:p>
      <w:pPr>
        <w:pStyle w:val="ListParagraph"/>
        <w:numPr>
          <w:ilvl w:val="0"/>
          <w:numId w:val="2"/>
        </w:numPr>
        <w:spacing w:after="60"/>
      </w:pPr>
      <w:r>
        <w:rPr>
          <w:rFonts w:ascii="Calibri" w:cs="Calibri" w:eastAsia="Calibri" w:hAnsi="Calibri"/>
          <w:color w:val="1A202C"/>
          <w:sz w:val="20"/>
          <w:szCs w:val="20"/>
        </w:rPr>
        <w:t xml:space="preserve">Budget ceiling enforcement: total allocation cannot exceed budget times (1 + tolerance percentage). Tolerance default 0%.</w:t>
      </w:r>
    </w:p>
    <w:p>
      <w:pPr>
        <w:pStyle w:val="ListParagraph"/>
        <w:numPr>
          <w:ilvl w:val="0"/>
          <w:numId w:val="2"/>
        </w:numPr>
        <w:spacing w:after="60"/>
      </w:pPr>
      <w:r>
        <w:rPr>
          <w:rFonts w:ascii="Calibri" w:cs="Calibri" w:eastAsia="Calibri" w:hAnsi="Calibri"/>
          <w:color w:val="1A202C"/>
          <w:sz w:val="20"/>
          <w:szCs w:val="20"/>
        </w:rPr>
        <w:t xml:space="preserve">Stage processing order: P1 first (mandatory compliance), then P2 (carry-overs), P3 (sustain block), P4 (value merit ranking), P5 (IT simplification, if lever enabled).</w:t>
      </w:r>
    </w:p>
    <w:p>
      <w:pPr>
        <w:pStyle w:val="ListParagraph"/>
        <w:numPr>
          <w:ilvl w:val="0"/>
          <w:numId w:val="2"/>
        </w:numPr>
        <w:spacing w:after="60"/>
      </w:pPr>
      <w:r>
        <w:rPr>
          <w:rFonts w:ascii="Calibri" w:cs="Calibri" w:eastAsia="Calibri" w:hAnsi="Calibri"/>
          <w:color w:val="1A202C"/>
          <w:sz w:val="20"/>
          <w:szCs w:val="20"/>
        </w:rPr>
        <w:t xml:space="preserve">Balanced Portfolio mode: structured sub-allocations for CCB (70% of EW), ISC (ring-fenced 10 M€), STO (20 M€), Regions (5 M€), and NAR EW-28 auto-inclusion.</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Scenario Management</w:t>
      </w:r>
    </w:p>
    <w:p>
      <w:pPr>
        <w:pStyle w:val="ListParagraph"/>
        <w:numPr>
          <w:ilvl w:val="0"/>
          <w:numId w:val="2"/>
        </w:numPr>
        <w:spacing w:after="60"/>
      </w:pPr>
      <w:r>
        <w:rPr>
          <w:rFonts w:ascii="Calibri" w:cs="Calibri" w:eastAsia="Calibri" w:hAnsi="Calibri"/>
          <w:color w:val="1A202C"/>
          <w:sz w:val="20"/>
          <w:szCs w:val="20"/>
        </w:rPr>
        <w:t xml:space="preserve">Scenario presets: Optimal Segmentation (auto-calibrated), Balanced Portfolio, Conservative, Aggressive Growth.</w:t>
      </w:r>
    </w:p>
    <w:p>
      <w:pPr>
        <w:pStyle w:val="ListParagraph"/>
        <w:numPr>
          <w:ilvl w:val="0"/>
          <w:numId w:val="2"/>
        </w:numPr>
        <w:spacing w:after="60"/>
      </w:pPr>
      <w:r>
        <w:rPr>
          <w:rFonts w:ascii="Calibri" w:cs="Calibri" w:eastAsia="Calibri" w:hAnsi="Calibri"/>
          <w:color w:val="1A202C"/>
          <w:sz w:val="20"/>
          <w:szCs w:val="20"/>
        </w:rPr>
        <w:t xml:space="preserve">Fork: clone any scenario to a new working version. Parent is preserved and immutable.</w:t>
      </w:r>
    </w:p>
    <w:p>
      <w:pPr>
        <w:pStyle w:val="ListParagraph"/>
        <w:numPr>
          <w:ilvl w:val="0"/>
          <w:numId w:val="2"/>
        </w:numPr>
        <w:spacing w:after="60"/>
      </w:pPr>
      <w:r>
        <w:rPr>
          <w:rFonts w:ascii="Calibri" w:cs="Calibri" w:eastAsia="Calibri" w:hAnsi="Calibri"/>
          <w:color w:val="1A202C"/>
          <w:sz w:val="20"/>
          <w:szCs w:val="20"/>
        </w:rPr>
        <w:t xml:space="preserve">Finalise: lock a scenario. All subsequent mutations are blocked until a fork is created.</w:t>
      </w:r>
    </w:p>
    <w:p>
      <w:pPr>
        <w:pStyle w:val="ListParagraph"/>
        <w:numPr>
          <w:ilvl w:val="0"/>
          <w:numId w:val="2"/>
        </w:numPr>
        <w:spacing w:after="60"/>
      </w:pPr>
      <w:r>
        <w:rPr>
          <w:rFonts w:ascii="Calibri" w:cs="Calibri" w:eastAsia="Calibri" w:hAnsi="Calibri"/>
          <w:color w:val="1A202C"/>
          <w:sz w:val="20"/>
          <w:szCs w:val="20"/>
        </w:rPr>
        <w:t xml:space="preserve">Event log: every setting change, override decision, and ExCo Apply action is time-stamped and stored with the actor and rationale.</w:t>
      </w:r>
    </w:p>
    <w:p>
      <w:pPr>
        <w:pStyle w:val="ListParagraph"/>
        <w:numPr>
          <w:ilvl w:val="0"/>
          <w:numId w:val="2"/>
        </w:numPr>
        <w:spacing w:after="60"/>
      </w:pPr>
      <w:r>
        <w:rPr>
          <w:rFonts w:ascii="Calibri" w:cs="Calibri" w:eastAsia="Calibri" w:hAnsi="Calibri"/>
          <w:color w:val="1A202C"/>
          <w:sz w:val="20"/>
          <w:szCs w:val="20"/>
        </w:rPr>
        <w:t xml:space="preserve">Local persistence: scenario state serialised to localStorage. Export to JSON for archive.</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Manual Override System</w:t>
      </w:r>
    </w:p>
    <w:p>
      <w:pPr>
        <w:pStyle w:val="ListParagraph"/>
        <w:numPr>
          <w:ilvl w:val="0"/>
          <w:numId w:val="2"/>
        </w:numPr>
        <w:spacing w:after="60"/>
      </w:pPr>
      <w:r>
        <w:rPr>
          <w:rFonts w:ascii="Calibri" w:cs="Calibri" w:eastAsia="Calibri" w:hAnsi="Calibri"/>
          <w:color w:val="1A202C"/>
          <w:sz w:val="20"/>
          <w:szCs w:val="20"/>
        </w:rPr>
        <w:t xml:space="preserve">Programme-level decisions: Include (force-fund), Exclude (force-defund), or Partial Scope (set funded amount less than requested).</w:t>
      </w:r>
    </w:p>
    <w:p>
      <w:pPr>
        <w:pStyle w:val="ListParagraph"/>
        <w:numPr>
          <w:ilvl w:val="0"/>
          <w:numId w:val="2"/>
        </w:numPr>
        <w:spacing w:after="60"/>
      </w:pPr>
      <w:r>
        <w:rPr>
          <w:rFonts w:ascii="Calibri" w:cs="Calibri" w:eastAsia="Calibri" w:hAnsi="Calibri"/>
          <w:color w:val="1A202C"/>
          <w:sz w:val="20"/>
          <w:szCs w:val="20"/>
        </w:rPr>
        <w:t xml:space="preserve">Every override requires a written rationale note. No silent overrides.</w:t>
      </w:r>
    </w:p>
    <w:p>
      <w:pPr>
        <w:pStyle w:val="ListParagraph"/>
        <w:numPr>
          <w:ilvl w:val="0"/>
          <w:numId w:val="2"/>
        </w:numPr>
        <w:spacing w:after="60"/>
      </w:pPr>
      <w:r>
        <w:rPr>
          <w:rFonts w:ascii="Calibri" w:cs="Calibri" w:eastAsia="Calibri" w:hAnsi="Calibri"/>
          <w:color w:val="1A202C"/>
          <w:sz w:val="20"/>
          <w:szCs w:val="20"/>
        </w:rPr>
        <w:t xml:space="preserve">Hold condition detection: 15+ hold conditions evaluated per programme (missing cost, negative benefit, unmapped decision band, below merit floor, Contain without condition, etc.). Displayed as coloured badges.</w:t>
      </w:r>
    </w:p>
    <w:p>
      <w:pPr>
        <w:pStyle w:val="ListParagraph"/>
        <w:numPr>
          <w:ilvl w:val="0"/>
          <w:numId w:val="2"/>
        </w:numPr>
        <w:spacing w:after="60"/>
      </w:pPr>
      <w:r>
        <w:rPr>
          <w:rFonts w:ascii="Calibri" w:cs="Calibri" w:eastAsia="Calibri" w:hAnsi="Calibri"/>
          <w:color w:val="1A202C"/>
          <w:sz w:val="20"/>
          <w:szCs w:val="20"/>
        </w:rPr>
        <w:t xml:space="preserve">Protected overrides: manually included or excluded programmes carry a protection flag and are never altered by engine re-runs.</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ExCo Trade-off Mode</w:t>
      </w:r>
    </w:p>
    <w:p>
      <w:pPr>
        <w:pStyle w:val="ListParagraph"/>
        <w:numPr>
          <w:ilvl w:val="0"/>
          <w:numId w:val="2"/>
        </w:numPr>
        <w:spacing w:after="60"/>
      </w:pPr>
      <w:r>
        <w:rPr>
          <w:rFonts w:ascii="Calibri" w:cs="Calibri" w:eastAsia="Calibri" w:hAnsi="Calibri"/>
          <w:color w:val="1A202C"/>
          <w:sz w:val="20"/>
          <w:szCs w:val="20"/>
        </w:rPr>
        <w:t xml:space="preserve">Organisation-by-organisation negotiation panel. Each ExCo leader sees their funded vs unfunded demand at programme level, with merit scores.</w:t>
      </w:r>
    </w:p>
    <w:p>
      <w:pPr>
        <w:pStyle w:val="ListParagraph"/>
        <w:numPr>
          <w:ilvl w:val="0"/>
          <w:numId w:val="2"/>
        </w:numPr>
        <w:spacing w:after="60"/>
      </w:pPr>
      <w:r>
        <w:rPr>
          <w:rFonts w:ascii="Calibri" w:cs="Calibri" w:eastAsia="Calibri" w:hAnsi="Calibri"/>
          <w:color w:val="1A202C"/>
          <w:sz w:val="20"/>
          <w:szCs w:val="20"/>
        </w:rPr>
        <w:t xml:space="preserve">Apply button propagates that ExCo leader's decisions to the allocation without changing Total AOP.</w:t>
      </w:r>
    </w:p>
    <w:p>
      <w:pPr>
        <w:pStyle w:val="ListParagraph"/>
        <w:numPr>
          <w:ilvl w:val="0"/>
          <w:numId w:val="2"/>
        </w:numPr>
        <w:spacing w:after="60"/>
      </w:pPr>
      <w:r>
        <w:rPr>
          <w:rFonts w:ascii="Calibri" w:cs="Calibri" w:eastAsia="Calibri" w:hAnsi="Calibri"/>
          <w:color w:val="1A202C"/>
          <w:sz w:val="20"/>
          <w:szCs w:val="20"/>
        </w:rPr>
        <w:t xml:space="preserve">All-stage view: cross-stage programme portfolio per ExCo with collapsible detail.</w:t>
      </w:r>
    </w:p>
    <w:p>
      <w:pPr>
        <w:pStyle w:val="ListParagraph"/>
        <w:numPr>
          <w:ilvl w:val="0"/>
          <w:numId w:val="2"/>
        </w:numPr>
        <w:spacing w:after="60"/>
      </w:pPr>
      <w:r>
        <w:rPr>
          <w:rFonts w:ascii="Calibri" w:cs="Calibri" w:eastAsia="Calibri" w:hAnsi="Calibri"/>
          <w:color w:val="1A202C"/>
          <w:sz w:val="20"/>
          <w:szCs w:val="20"/>
        </w:rPr>
        <w:t xml:space="preserve">Real-time budget headroom indicator: shows remaining budget as each trade-off is applied.</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KPI Dashboard and One Portfolio Panel</w:t>
      </w:r>
    </w:p>
    <w:p>
      <w:pPr>
        <w:pStyle w:val="ListParagraph"/>
        <w:numPr>
          <w:ilvl w:val="0"/>
          <w:numId w:val="2"/>
        </w:numPr>
        <w:spacing w:after="60"/>
      </w:pPr>
      <w:r>
        <w:rPr>
          <w:rFonts w:ascii="Calibri" w:cs="Calibri" w:eastAsia="Calibri" w:hAnsi="Calibri"/>
          <w:color w:val="1A202C"/>
          <w:sz w:val="20"/>
          <w:szCs w:val="20"/>
        </w:rPr>
        <w:t xml:space="preserve">Live KPI cards: Total Requested, Allocated, Unfunded, Budget Headroom, Funded Programme Count.</w:t>
      </w:r>
    </w:p>
    <w:p>
      <w:pPr>
        <w:pStyle w:val="ListParagraph"/>
        <w:numPr>
          <w:ilvl w:val="0"/>
          <w:numId w:val="2"/>
        </w:numPr>
        <w:spacing w:after="60"/>
      </w:pPr>
      <w:r>
        <w:rPr>
          <w:rFonts w:ascii="Calibri" w:cs="Calibri" w:eastAsia="Calibri" w:hAnsi="Calibri"/>
          <w:color w:val="1A202C"/>
          <w:sz w:val="20"/>
          <w:szCs w:val="20"/>
        </w:rPr>
        <w:t xml:space="preserve">Hard Benefit total and Soft Benefit total shown as separate cards — never summed.</w:t>
      </w:r>
    </w:p>
    <w:p>
      <w:pPr>
        <w:pStyle w:val="ListParagraph"/>
        <w:numPr>
          <w:ilvl w:val="0"/>
          <w:numId w:val="2"/>
        </w:numPr>
        <w:spacing w:after="60"/>
      </w:pPr>
      <w:r>
        <w:rPr>
          <w:rFonts w:ascii="Calibri" w:cs="Calibri" w:eastAsia="Calibri" w:hAnsi="Calibri"/>
          <w:color w:val="1A202C"/>
          <w:sz w:val="20"/>
          <w:szCs w:val="20"/>
        </w:rPr>
        <w:t xml:space="preserve">PMI On Top amount as a separate KPI.</w:t>
      </w:r>
    </w:p>
    <w:p>
      <w:pPr>
        <w:pStyle w:val="ListParagraph"/>
        <w:numPr>
          <w:ilvl w:val="0"/>
          <w:numId w:val="2"/>
        </w:numPr>
        <w:spacing w:after="60"/>
      </w:pPr>
      <w:r>
        <w:rPr>
          <w:rFonts w:ascii="Calibri" w:cs="Calibri" w:eastAsia="Calibri" w:hAnsi="Calibri"/>
          <w:color w:val="1A202C"/>
          <w:sz w:val="20"/>
          <w:szCs w:val="20"/>
        </w:rPr>
        <w:t xml:space="preserve">Stage-by-stage allocation bars showing funded vs unfunded split.</w:t>
      </w:r>
    </w:p>
    <w:p>
      <w:pPr>
        <w:pStyle w:val="ListParagraph"/>
        <w:numPr>
          <w:ilvl w:val="0"/>
          <w:numId w:val="2"/>
        </w:numPr>
        <w:spacing w:after="60"/>
      </w:pPr>
      <w:r>
        <w:rPr>
          <w:rFonts w:ascii="Calibri" w:cs="Calibri" w:eastAsia="Calibri" w:hAnsi="Calibri"/>
          <w:color w:val="1A202C"/>
          <w:sz w:val="20"/>
          <w:szCs w:val="20"/>
        </w:rPr>
        <w:t xml:space="preserve">Organisation funding rate panel: each organisation's funding percentage, with low-funding alerts for organisations below 20%.</w:t>
      </w:r>
    </w:p>
    <w:p>
      <w:pPr>
        <w:pStyle w:val="ListParagraph"/>
        <w:numPr>
          <w:ilvl w:val="0"/>
          <w:numId w:val="2"/>
        </w:numPr>
        <w:spacing w:after="60"/>
      </w:pPr>
      <w:r>
        <w:rPr>
          <w:rFonts w:ascii="Calibri" w:cs="Calibri" w:eastAsia="Calibri" w:hAnsi="Calibri"/>
          <w:color w:val="1A202C"/>
          <w:sz w:val="20"/>
          <w:szCs w:val="20"/>
        </w:rPr>
        <w:t xml:space="preserve">One Portfolio table: Operations TCO + Funded Programmes = Total IT AOP per organisation.</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Finance Attribution</w:t>
      </w:r>
    </w:p>
    <w:p>
      <w:pPr>
        <w:pStyle w:val="ListParagraph"/>
        <w:numPr>
          <w:ilvl w:val="0"/>
          <w:numId w:val="2"/>
        </w:numPr>
        <w:spacing w:after="60"/>
      </w:pPr>
      <w:r>
        <w:rPr>
          <w:rFonts w:ascii="Calibri" w:cs="Calibri" w:eastAsia="Calibri" w:hAnsi="Calibri"/>
          <w:color w:val="1A202C"/>
          <w:sz w:val="20"/>
          <w:szCs w:val="20"/>
        </w:rPr>
        <w:t xml:space="preserve">EW charging key distributes cross-BU programme costs proportionally to each sub-organisation. Each fraction = that organisation's raw value divided by the total raw sum.</w:t>
      </w:r>
    </w:p>
    <w:p>
      <w:pPr>
        <w:pStyle w:val="ListParagraph"/>
        <w:numPr>
          <w:ilvl w:val="0"/>
          <w:numId w:val="2"/>
        </w:numPr>
        <w:spacing w:after="60"/>
      </w:pPr>
      <w:r>
        <w:rPr>
          <w:rFonts w:ascii="Calibri" w:cs="Calibri" w:eastAsia="Calibri" w:hAnsi="Calibri"/>
          <w:color w:val="1A202C"/>
          <w:sz w:val="20"/>
          <w:szCs w:val="20"/>
        </w:rPr>
        <w:t xml:space="preserve">PMI programmes attributed to a separate PMI on top bucket — not charged to any BU base budget.</w:t>
      </w:r>
    </w:p>
    <w:p>
      <w:pPr>
        <w:pStyle w:val="ListParagraph"/>
        <w:numPr>
          <w:ilvl w:val="0"/>
          <w:numId w:val="2"/>
        </w:numPr>
        <w:spacing w:after="60"/>
      </w:pPr>
      <w:r>
        <w:rPr>
          <w:rFonts w:ascii="Calibri" w:cs="Calibri" w:eastAsia="Calibri" w:hAnsi="Calibri"/>
          <w:color w:val="1A202C"/>
          <w:sz w:val="20"/>
          <w:szCs w:val="20"/>
        </w:rPr>
        <w:t xml:space="preserve">Partial scope decisions attributed at the funded amount, not the requested amount.</w:t>
      </w:r>
    </w:p>
    <w:p>
      <w:pPr>
        <w:pStyle w:val="ListParagraph"/>
        <w:numPr>
          <w:ilvl w:val="0"/>
          <w:numId w:val="2"/>
        </w:numPr>
        <w:spacing w:after="60"/>
      </w:pPr>
      <w:r>
        <w:rPr>
          <w:rFonts w:ascii="Calibri" w:cs="Calibri" w:eastAsia="Calibri" w:hAnsi="Calibri"/>
          <w:color w:val="1A202C"/>
          <w:sz w:val="20"/>
          <w:szCs w:val="20"/>
        </w:rPr>
        <w:t xml:space="preserve">Full ledger exported: every programme-to-organisation attribution line with source references, sheet names, and row numbers.</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Export and Sharing</w:t>
      </w:r>
    </w:p>
    <w:p>
      <w:pPr>
        <w:pStyle w:val="ListParagraph"/>
        <w:numPr>
          <w:ilvl w:val="0"/>
          <w:numId w:val="2"/>
        </w:numPr>
        <w:spacing w:after="60"/>
      </w:pPr>
      <w:r>
        <w:rPr>
          <w:rFonts w:ascii="Calibri" w:cs="Calibri" w:eastAsia="Calibri" w:hAnsi="Calibri"/>
          <w:color w:val="1A202C"/>
          <w:sz w:val="20"/>
          <w:szCs w:val="20"/>
        </w:rPr>
        <w:t xml:space="preserve">Excel export: full prioritised programme list, allocation decisions, finance attribution, and decision reasons.</w:t>
      </w:r>
    </w:p>
    <w:p>
      <w:pPr>
        <w:pStyle w:val="ListParagraph"/>
        <w:numPr>
          <w:ilvl w:val="0"/>
          <w:numId w:val="2"/>
        </w:numPr>
        <w:spacing w:after="60"/>
      </w:pPr>
      <w:r>
        <w:rPr>
          <w:rFonts w:ascii="Calibri" w:cs="Calibri" w:eastAsia="Calibri" w:hAnsi="Calibri"/>
          <w:color w:val="1A202C"/>
          <w:sz w:val="20"/>
          <w:szCs w:val="20"/>
        </w:rPr>
        <w:t xml:space="preserve">JSON export: complete scenario state including settings, overrides, reviews, and event log.</w:t>
      </w:r>
    </w:p>
    <w:p>
      <w:pPr>
        <w:pStyle w:val="ListParagraph"/>
        <w:numPr>
          <w:ilvl w:val="0"/>
          <w:numId w:val="2"/>
        </w:numPr>
        <w:spacing w:after="60"/>
      </w:pPr>
      <w:r>
        <w:rPr>
          <w:rFonts w:ascii="Calibri" w:cs="Calibri" w:eastAsia="Calibri" w:hAnsi="Calibri"/>
          <w:color w:val="1A202C"/>
          <w:sz w:val="20"/>
          <w:szCs w:val="20"/>
        </w:rPr>
        <w:t xml:space="preserve">Excluded Register export: all excluded and template records with exclusion reasons.</w:t>
      </w:r>
    </w:p>
    <w:p>
      <w:pPr>
        <w:spacing w:after="80"/>
      </w:pPr>
      <w:r>
        <w:rPr>
          <w:rFonts w:ascii="Calibri" w:cs="Calibri" w:eastAsia="Calibri" w:hAnsi="Calibri"/>
          <w:color w:val="1A202C"/>
          <w:sz w:val="20"/>
          <w:szCs w:val="20"/>
        </w:rPr>
        <w:t xml:space="preserve"/>
      </w:r>
    </w:p>
    <w:p>
      <w:pPr>
        <w:pBdr>
          <w:bottom w:val="single" w:color="D6E4F7" w:sz="4"/>
        </w:pBdr>
        <w:spacing w:after="100" w:before="320"/>
      </w:pPr>
      <w:bookmarkStart w:name="s72_anchor" w:id="35"/>
      <w:r>
        <w:rPr>
          <w:rFonts w:ascii="Calibri" w:cs="Calibri" w:eastAsia="Calibri" w:hAnsi="Calibri"/>
          <w:b/>
          <w:bCs/>
          <w:color w:val="003087"/>
          <w:sz w:val="26"/>
          <w:szCs w:val="26"/>
        </w:rPr>
        <w:t xml:space="preserve">7.2  Detailed Data Extract</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960"/>
        <w:gridCol w:w="2600"/>
      </w:tblGrid>
      <w:tr>
        <w:tc>
          <w:tcPr>
            <w:tcW w:type="dxa" w:w="1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Tab</w:t>
            </w:r>
          </w:p>
        </w:tc>
        <w:tc>
          <w:tcPr>
            <w:tcW w:type="dxa" w:w="49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Content</w:t>
            </w:r>
          </w:p>
        </w:tc>
        <w:tc>
          <w:tcPr>
            <w:tcW w:type="dxa" w:w="26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Primary User</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 — Program Data</w:t>
            </w:r>
          </w:p>
        </w:tc>
        <w:tc>
          <w:tcPr>
            <w:tcW w:type="dxa" w:w="4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 421 programmes. Multi-select filters across 7 dimensions (ExCo Leader, Organisation, Platform, Stage, Type, Status, Benefit Class). Sort by Score, BCR, Benefits, Cost. Expandable row detail with scoring breakdown and benefit evidence. Export CSV.</w:t>
            </w:r>
          </w:p>
        </w:tc>
        <w:tc>
          <w:tcPr>
            <w:tcW w:type="dxa" w:w="2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Managers, ITPFM</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 — Scoring Details</w:t>
            </w:r>
          </w:p>
        </w:tc>
        <w:tc>
          <w:tcPr>
            <w:tcW w:type="dxa" w:w="4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Full scoring component table per programme: BCR multiple, BCR tier, priority points, consequence tier, decision band points, payback tier. Five scoring reference cards above the table.</w:t>
            </w:r>
          </w:p>
        </w:tc>
        <w:tc>
          <w:tcPr>
            <w:tcW w:type="dxa" w:w="2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QA Auditors</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3 — Finance Attribution Methodology</w:t>
            </w:r>
          </w:p>
        </w:tc>
        <w:tc>
          <w:tcPr>
            <w:tcW w:type="dxa" w:w="4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Explanatory cards: two-pillar model, programme cost flow, stage target calculation, BCR scoring tiers, hard/soft classification, carry-over cap, partial scope rules, PMI treatment, rounding rules.</w:t>
            </w:r>
          </w:p>
        </w:tc>
        <w:tc>
          <w:tcPr>
            <w:tcW w:type="dxa" w:w="2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Finance Controllers</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4 — AOP 2026 Reference</w:t>
            </w:r>
          </w:p>
        </w:tc>
        <w:tc>
          <w:tcPr>
            <w:tcW w:type="dxa" w:w="4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Prior-year spend by stage category (184.71 M€) and by organisation (183.66 M€). Year-on-year context: AOP 2027 demand 280 M€ vs AOP 2026 actual 184.7 M€ (+51.6%).</w:t>
            </w:r>
          </w:p>
        </w:tc>
        <w:tc>
          <w:tcPr>
            <w:tcW w:type="dxa" w:w="2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Strategy</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5 — Mappings</w:t>
            </w:r>
          </w:p>
        </w:tc>
        <w:tc>
          <w:tcPr>
            <w:tcW w:type="dxa" w:w="4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ExCo Leader to Organisation mapping (16 members, 35+ orgs). Organisation name normalisation table. Stage classification rules. Carry-over classification logic.</w:t>
            </w:r>
          </w:p>
        </w:tc>
        <w:tc>
          <w:tcPr>
            <w:tcW w:type="dxa" w:w="2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Data Auditors</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 — Scenario Approach</w:t>
            </w:r>
          </w:p>
        </w:tc>
        <w:tc>
          <w:tcPr>
            <w:tcW w:type="dxa" w:w="4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Narrative guide to the scoring model philosophy, lever behaviour, and allocation sequence.</w:t>
            </w:r>
          </w:p>
        </w:tc>
        <w:tc>
          <w:tcPr>
            <w:tcW w:type="dxa" w:w="2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 users</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 — Excluded Register</w:t>
            </w:r>
          </w:p>
        </w:tc>
        <w:tc>
          <w:tcPr>
            <w:tcW w:type="dxa" w:w="4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 excluded records: template rows, zero-request records, hold-condition records. Filterable with exclusion reasons.</w:t>
            </w:r>
          </w:p>
        </w:tc>
        <w:tc>
          <w:tcPr>
            <w:tcW w:type="dxa" w:w="2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QA Auditors</w:t>
            </w:r>
          </w:p>
        </w:tc>
      </w:tr>
    </w:tbl>
    <w:p>
      <w:r>
        <w:br w:type="page"/>
      </w:r>
    </w:p>
    <w:p>
      <w:pPr>
        <w:pBdr>
          <w:bottom w:val="single" w:color="0B5ED7" w:sz="6"/>
        </w:pBdr>
        <w:shd w:fill="003087" w:color="auto" w:val="clear"/>
        <w:spacing w:after="160" w:before="480"/>
      </w:pPr>
      <w:bookmarkStart w:name="s8_anchor" w:id="36"/>
      <w:r>
        <w:rPr>
          <w:rFonts w:ascii="Calibri" w:cs="Calibri" w:eastAsia="Calibri" w:hAnsi="Calibri"/>
          <w:b/>
          <w:bCs/>
          <w:color w:val="FFFFFF"/>
          <w:sz w:val="34"/>
          <w:szCs w:val="34"/>
        </w:rPr>
        <w:t xml:space="preserve">8.  Target Audience and Personas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800"/>
        <w:gridCol w:w="2800"/>
        <w:gridCol w:w="3260"/>
      </w:tblGrid>
      <w:tr>
        <w:tc>
          <w:tcPr>
            <w:tcW w:type="dxa" w:w="15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Persona</w:t>
            </w:r>
          </w:p>
        </w:tc>
        <w:tc>
          <w:tcPr>
            <w:tcW w:type="dxa" w:w="1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Role</w:t>
            </w:r>
          </w:p>
        </w:tc>
        <w:tc>
          <w:tcPr>
            <w:tcW w:type="dxa" w:w="2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Primary Need</w:t>
            </w:r>
          </w:p>
        </w:tc>
        <w:tc>
          <w:tcPr>
            <w:tcW w:type="dxa" w:w="32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What the Tool Gives Them</w:t>
            </w:r>
          </w:p>
        </w:tc>
      </w:tr>
      <w:tr>
        <w:tc>
          <w:tcPr>
            <w:tcW w:type="dxa" w:w="1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 Leader</w:t>
            </w:r>
          </w:p>
        </w:tc>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 President, GM, Senior VP</w:t>
            </w:r>
          </w:p>
        </w:tc>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See total IT cost (Operations + Programmes) for their organisation. Understand what they are paying and what benefit they are getting.</w:t>
            </w:r>
          </w:p>
        </w:tc>
        <w:tc>
          <w:tcPr>
            <w:tcW w:type="dxa" w:w="3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One Portfolio table per organisation. Funding rate and benefit return per programme. Data basis for On Top Of request to CFO.</w:t>
            </w:r>
          </w:p>
        </w:tc>
      </w:tr>
      <w:tr>
        <w:tc>
          <w:tcPr>
            <w:tcW w:type="dxa" w:w="1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ExCo Leader</w:t>
            </w:r>
          </w:p>
        </w:tc>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CTO, CFO, COO, EVP Portfolio</w:t>
            </w:r>
          </w:p>
        </w:tc>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Real-time scenario comparison for AOP negotiation. Ability to apply trade-off decisions for their organisations and see portfolio-wide impact.</w:t>
            </w:r>
          </w:p>
        </w:tc>
        <w:tc>
          <w:tcPr>
            <w:tcW w:type="dxa" w:w="3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ExCo Trade-off panel. KPI dashboard. Scenario forking for "what if" analysis.</w:t>
            </w:r>
          </w:p>
        </w:tc>
      </w:tr>
      <w:tr>
        <w:tc>
          <w:tcPr>
            <w:tcW w:type="dxa" w:w="1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AOP Portfolio Manager</w:t>
            </w:r>
          </w:p>
        </w:tc>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team lead</w:t>
            </w:r>
          </w:p>
        </w:tc>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Scenario creation, lever tuning, manual override management, final allocation sign-off, and audit readiness.</w:t>
            </w:r>
          </w:p>
        </w:tc>
        <w:tc>
          <w:tcPr>
            <w:tcW w:type="dxa" w:w="3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Full Modeler capability. Event log. Excel and JSON export for archive.</w:t>
            </w:r>
          </w:p>
        </w:tc>
      </w:tr>
      <w:tr>
        <w:tc>
          <w:tcPr>
            <w:tcW w:type="dxa" w:w="1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Finance Controller</w:t>
            </w:r>
          </w:p>
        </w:tc>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AOP Controller, Finance Business Partner</w:t>
            </w:r>
          </w:p>
        </w:tc>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Validate One Portfolio attribution: programme costs correctly attributed to BU IT charges. Reconcile to corporate finance ledger.</w:t>
            </w:r>
          </w:p>
        </w:tc>
        <w:tc>
          <w:tcPr>
            <w:tcW w:type="dxa" w:w="3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Finance Attribution tab in Data Extract. One Portfolio table. Full ledger export.</w:t>
            </w:r>
          </w:p>
        </w:tc>
      </w:tr>
      <w:tr>
        <w:tc>
          <w:tcPr>
            <w:tcW w:type="dxa" w:w="1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Manager</w:t>
            </w:r>
          </w:p>
        </w:tc>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 IT lead, Programme owner</w:t>
            </w:r>
          </w:p>
        </w:tc>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Understand why their programme was or was not funded. See merit score vs peers. Prepare a stronger submission next cycle.</w:t>
            </w:r>
          </w:p>
        </w:tc>
        <w:tc>
          <w:tcPr>
            <w:tcW w:type="dxa" w:w="32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 Extract Programme Data tab. Scoring Details tab with full score breakdown. Export CSV for their records.</w:t>
            </w:r>
          </w:p>
        </w:tc>
      </w:tr>
      <w:tr>
        <w:tc>
          <w:tcPr>
            <w:tcW w:type="dxa" w:w="1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 Strategy / CIO Office</w:t>
            </w:r>
          </w:p>
        </w:tc>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Strategy analyst, CIO team</w:t>
            </w:r>
          </w:p>
        </w:tc>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Portfolio shape analysis: stage mix, benefit quality, coverage of strategic themes, year-on-year change.</w:t>
            </w:r>
          </w:p>
        </w:tc>
        <w:tc>
          <w:tcPr>
            <w:tcW w:type="dxa" w:w="32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 Extract full dataset. AOP 2026 Reference tab. Sortable, filterable programme list.</w:t>
            </w:r>
          </w:p>
        </w:tc>
      </w:tr>
    </w:tbl>
    <w:p>
      <w:r>
        <w:br w:type="page"/>
      </w:r>
    </w:p>
    <w:p>
      <w:pPr>
        <w:pBdr>
          <w:bottom w:val="single" w:color="0B5ED7" w:sz="6"/>
        </w:pBdr>
        <w:shd w:fill="003087" w:color="auto" w:val="clear"/>
        <w:spacing w:after="160" w:before="480"/>
      </w:pPr>
      <w:bookmarkStart w:name="s9_anchor" w:id="37"/>
      <w:r>
        <w:rPr>
          <w:rFonts w:ascii="Calibri" w:cs="Calibri" w:eastAsia="Calibri" w:hAnsi="Calibri"/>
          <w:b/>
          <w:bCs/>
          <w:color w:val="FFFFFF"/>
          <w:sz w:val="34"/>
          <w:szCs w:val="34"/>
        </w:rPr>
        <w:t xml:space="preserve">9.  Critical User Journeys</w:t>
      </w:r>
      <w:bookmarkEnd w:id="37"/>
    </w:p>
    <w:p>
      <w:pPr>
        <w:pBdr>
          <w:bottom w:val="single" w:color="D6E4F7" w:sz="4"/>
        </w:pBdr>
        <w:spacing w:after="100" w:before="320"/>
      </w:pPr>
      <w:r>
        <w:rPr>
          <w:rFonts w:ascii="Calibri" w:cs="Calibri" w:eastAsia="Calibri" w:hAnsi="Calibri"/>
          <w:b/>
          <w:bCs/>
          <w:color w:val="003087"/>
          <w:sz w:val="26"/>
          <w:szCs w:val="26"/>
        </w:rPr>
        <w:t xml:space="preserve">CUJ-01  BU Leader: Understanding My Total IT Cost</w:t>
      </w:r>
    </w:p>
    <w:p>
      <w:pPr>
        <w:pStyle w:val="ListParagraph"/>
        <w:numPr>
          <w:ilvl w:val="0"/>
          <w:numId w:val="3"/>
        </w:numPr>
        <w:spacing w:after="60"/>
      </w:pPr>
      <w:r>
        <w:rPr>
          <w:rFonts w:ascii="Calibri" w:cs="Calibri" w:eastAsia="Calibri" w:hAnsi="Calibri"/>
          <w:color w:val="1A202C"/>
          <w:sz w:val="20"/>
          <w:szCs w:val="20"/>
        </w:rPr>
        <w:t xml:space="preserve">ITPFM team uploads the AOP 2027 Consolidated Live workbook to the Modeler.</w:t>
      </w:r>
    </w:p>
    <w:p>
      <w:pPr>
        <w:pStyle w:val="ListParagraph"/>
        <w:numPr>
          <w:ilvl w:val="0"/>
          <w:numId w:val="3"/>
        </w:numPr>
        <w:spacing w:after="60"/>
      </w:pPr>
      <w:r>
        <w:rPr>
          <w:rFonts w:ascii="Calibri" w:cs="Calibri" w:eastAsia="Calibri" w:hAnsi="Calibri"/>
          <w:color w:val="1A202C"/>
          <w:sz w:val="20"/>
          <w:szCs w:val="20"/>
        </w:rPr>
        <w:t xml:space="preserve">ITPFM shares the resulting scenario with the BU leader (via exported HTML or a shared session).</w:t>
      </w:r>
    </w:p>
    <w:p>
      <w:pPr>
        <w:pStyle w:val="ListParagraph"/>
        <w:numPr>
          <w:ilvl w:val="0"/>
          <w:numId w:val="3"/>
        </w:numPr>
        <w:spacing w:after="60"/>
      </w:pPr>
      <w:r>
        <w:rPr>
          <w:rFonts w:ascii="Calibri" w:cs="Calibri" w:eastAsia="Calibri" w:hAnsi="Calibri"/>
          <w:color w:val="1A202C"/>
          <w:sz w:val="20"/>
          <w:szCs w:val="20"/>
        </w:rPr>
        <w:t xml:space="preserve">BU leader opens the One Portfolio view and finds their organisation.</w:t>
      </w:r>
    </w:p>
    <w:p>
      <w:pPr>
        <w:pStyle w:val="ListParagraph"/>
        <w:numPr>
          <w:ilvl w:val="0"/>
          <w:numId w:val="3"/>
        </w:numPr>
        <w:spacing w:after="60"/>
      </w:pPr>
      <w:r>
        <w:rPr>
          <w:rFonts w:ascii="Calibri" w:cs="Calibri" w:eastAsia="Calibri" w:hAnsi="Calibri"/>
          <w:color w:val="1A202C"/>
          <w:sz w:val="20"/>
          <w:szCs w:val="20"/>
        </w:rPr>
        <w:t xml:space="preserve">They see: Operations TCO (fixed, what they pay to run IT) + Funded Programmes (the investments approved) = Total IT AOP.</w:t>
      </w:r>
    </w:p>
    <w:p>
      <w:pPr>
        <w:pStyle w:val="ListParagraph"/>
        <w:numPr>
          <w:ilvl w:val="0"/>
          <w:numId w:val="3"/>
        </w:numPr>
        <w:spacing w:after="60"/>
      </w:pPr>
      <w:r>
        <w:rPr>
          <w:rFonts w:ascii="Calibri" w:cs="Calibri" w:eastAsia="Calibri" w:hAnsi="Calibri"/>
          <w:color w:val="1A202C"/>
          <w:sz w:val="20"/>
          <w:szCs w:val="20"/>
        </w:rPr>
        <w:t xml:space="preserve">They drill into each funded programme to see merit score, expected benefit, and funding rationale.</w:t>
      </w:r>
    </w:p>
    <w:p>
      <w:pPr>
        <w:pStyle w:val="ListParagraph"/>
        <w:numPr>
          <w:ilvl w:val="0"/>
          <w:numId w:val="3"/>
        </w:numPr>
        <w:spacing w:after="60"/>
      </w:pPr>
      <w:r>
        <w:rPr>
          <w:rFonts w:ascii="Calibri" w:cs="Calibri" w:eastAsia="Calibri" w:hAnsi="Calibri"/>
          <w:color w:val="1A202C"/>
          <w:sz w:val="20"/>
          <w:szCs w:val="20"/>
        </w:rPr>
        <w:t xml:space="preserve">They compare their funding rate against the portfolio average to understand their relative position.</w:t>
      </w:r>
    </w:p>
    <w:p>
      <w:pPr>
        <w:pStyle w:val="ListParagraph"/>
        <w:numPr>
          <w:ilvl w:val="0"/>
          <w:numId w:val="3"/>
        </w:numPr>
        <w:spacing w:after="60"/>
      </w:pPr>
      <w:r>
        <w:rPr>
          <w:rFonts w:ascii="Calibri" w:cs="Calibri" w:eastAsia="Calibri" w:hAnsi="Calibri"/>
          <w:color w:val="1A202C"/>
          <w:sz w:val="20"/>
          <w:szCs w:val="20"/>
        </w:rPr>
        <w:t xml:space="preserve">Outcome: BU leader has a clear, complete, and verified view of their total IT investment.</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CUJ-02  BU Leader: Preparing an On Top Of Funding Request</w:t>
      </w:r>
    </w:p>
    <w:p>
      <w:pPr>
        <w:pStyle w:val="ListParagraph"/>
        <w:numPr>
          <w:ilvl w:val="0"/>
          <w:numId w:val="3"/>
        </w:numPr>
        <w:spacing w:after="60"/>
      </w:pPr>
      <w:r>
        <w:rPr>
          <w:rFonts w:ascii="Calibri" w:cs="Calibri" w:eastAsia="Calibri" w:hAnsi="Calibri"/>
          <w:color w:val="1A202C"/>
          <w:sz w:val="20"/>
          <w:szCs w:val="20"/>
        </w:rPr>
        <w:t xml:space="preserve">BU leader identifies a programme that is Not Funded in the current scenario.</w:t>
      </w:r>
    </w:p>
    <w:p>
      <w:pPr>
        <w:pStyle w:val="ListParagraph"/>
        <w:numPr>
          <w:ilvl w:val="0"/>
          <w:numId w:val="3"/>
        </w:numPr>
        <w:spacing w:after="60"/>
      </w:pPr>
      <w:r>
        <w:rPr>
          <w:rFonts w:ascii="Calibri" w:cs="Calibri" w:eastAsia="Calibri" w:hAnsi="Calibri"/>
          <w:color w:val="1A202C"/>
          <w:sz w:val="20"/>
          <w:szCs w:val="20"/>
        </w:rPr>
        <w:t xml:space="preserve">They open the programme detail in the Data Extract: merit score, BCR ratio, consequence description, payback period.</w:t>
      </w:r>
    </w:p>
    <w:p>
      <w:pPr>
        <w:pStyle w:val="ListParagraph"/>
        <w:numPr>
          <w:ilvl w:val="0"/>
          <w:numId w:val="3"/>
        </w:numPr>
        <w:spacing w:after="60"/>
      </w:pPr>
      <w:r>
        <w:rPr>
          <w:rFonts w:ascii="Calibri" w:cs="Calibri" w:eastAsia="Calibri" w:hAnsi="Calibri"/>
          <w:color w:val="1A202C"/>
          <w:sz w:val="20"/>
          <w:szCs w:val="20"/>
        </w:rPr>
        <w:t xml:space="preserve">They confirm the unfunded amount and the reason (e.g., below merit floor, stage cap reached).</w:t>
      </w:r>
    </w:p>
    <w:p>
      <w:pPr>
        <w:pStyle w:val="ListParagraph"/>
        <w:numPr>
          <w:ilvl w:val="0"/>
          <w:numId w:val="3"/>
        </w:numPr>
        <w:spacing w:after="60"/>
      </w:pPr>
      <w:r>
        <w:rPr>
          <w:rFonts w:ascii="Calibri" w:cs="Calibri" w:eastAsia="Calibri" w:hAnsi="Calibri"/>
          <w:color w:val="1A202C"/>
          <w:sz w:val="20"/>
          <w:szCs w:val="20"/>
        </w:rPr>
        <w:t xml:space="preserve">They bring this data to a meeting with the ITPFM team: "This programme has a BCR of 4.2x, a Must Do priority, and will put 8M EUR of revenue at risk if not funded."</w:t>
      </w:r>
    </w:p>
    <w:p>
      <w:pPr>
        <w:pStyle w:val="ListParagraph"/>
        <w:numPr>
          <w:ilvl w:val="0"/>
          <w:numId w:val="3"/>
        </w:numPr>
        <w:spacing w:after="60"/>
      </w:pPr>
      <w:r>
        <w:rPr>
          <w:rFonts w:ascii="Calibri" w:cs="Calibri" w:eastAsia="Calibri" w:hAnsi="Calibri"/>
          <w:color w:val="1A202C"/>
          <w:sz w:val="20"/>
          <w:szCs w:val="20"/>
        </w:rPr>
        <w:t xml:space="preserve">ITPFM models the On Top Of scenario: the programme is flagged as Must Do On Top with a rationale note.</w:t>
      </w:r>
    </w:p>
    <w:p>
      <w:pPr>
        <w:pStyle w:val="ListParagraph"/>
        <w:numPr>
          <w:ilvl w:val="0"/>
          <w:numId w:val="3"/>
        </w:numPr>
        <w:spacing w:after="60"/>
      </w:pPr>
      <w:r>
        <w:rPr>
          <w:rFonts w:ascii="Calibri" w:cs="Calibri" w:eastAsia="Calibri" w:hAnsi="Calibri"/>
          <w:color w:val="1A202C"/>
          <w:sz w:val="20"/>
          <w:szCs w:val="20"/>
        </w:rPr>
        <w:t xml:space="preserve">The tool shows the total On Top amount added to the base allocation, and the expected hard benefit from the programme.</w:t>
      </w:r>
    </w:p>
    <w:p>
      <w:pPr>
        <w:pStyle w:val="ListParagraph"/>
        <w:numPr>
          <w:ilvl w:val="0"/>
          <w:numId w:val="3"/>
        </w:numPr>
        <w:spacing w:after="60"/>
      </w:pPr>
      <w:r>
        <w:rPr>
          <w:rFonts w:ascii="Calibri" w:cs="Calibri" w:eastAsia="Calibri" w:hAnsi="Calibri"/>
          <w:color w:val="1A202C"/>
          <w:sz w:val="20"/>
          <w:szCs w:val="20"/>
        </w:rPr>
        <w:t xml:space="preserve">The ITPFM team takes this to the CFO with the quantified case. The decision is recorded in the tool.</w:t>
      </w:r>
    </w:p>
    <w:p>
      <w:pPr>
        <w:pStyle w:val="ListParagraph"/>
        <w:numPr>
          <w:ilvl w:val="0"/>
          <w:numId w:val="3"/>
        </w:numPr>
        <w:spacing w:after="60"/>
      </w:pPr>
      <w:r>
        <w:rPr>
          <w:rFonts w:ascii="Calibri" w:cs="Calibri" w:eastAsia="Calibri" w:hAnsi="Calibri"/>
          <w:color w:val="1A202C"/>
          <w:sz w:val="20"/>
          <w:szCs w:val="20"/>
        </w:rPr>
        <w:t xml:space="preserve">Outcome: CFO makes a data-backed decision. BU leader has a fair hearing. The decision is auditable.</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CUJ-03  ExCo Negotiation Session (CFO / CTO Trade-off Meeting)</w:t>
      </w:r>
    </w:p>
    <w:p>
      <w:pPr>
        <w:pStyle w:val="ListParagraph"/>
        <w:numPr>
          <w:ilvl w:val="0"/>
          <w:numId w:val="3"/>
        </w:numPr>
        <w:spacing w:after="60"/>
      </w:pPr>
      <w:r>
        <w:rPr>
          <w:rFonts w:ascii="Calibri" w:cs="Calibri" w:eastAsia="Calibri" w:hAnsi="Calibri"/>
          <w:color w:val="1A202C"/>
          <w:sz w:val="20"/>
          <w:szCs w:val="20"/>
        </w:rPr>
        <w:t xml:space="preserve">ITPFM opens the Scenario Modeller in a facilitated ExCo session.</w:t>
      </w:r>
    </w:p>
    <w:p>
      <w:pPr>
        <w:pStyle w:val="ListParagraph"/>
        <w:numPr>
          <w:ilvl w:val="0"/>
          <w:numId w:val="3"/>
        </w:numPr>
        <w:spacing w:after="60"/>
      </w:pPr>
      <w:r>
        <w:rPr>
          <w:rFonts w:ascii="Calibri" w:cs="Calibri" w:eastAsia="Calibri" w:hAnsi="Calibri"/>
          <w:color w:val="1A202C"/>
          <w:sz w:val="20"/>
          <w:szCs w:val="20"/>
        </w:rPr>
        <w:t xml:space="preserve">The current allocation is displayed on screen: total requested 280 M€, allocated 100 M€, 180 M€ unfunded.</w:t>
      </w:r>
    </w:p>
    <w:p>
      <w:pPr>
        <w:pStyle w:val="ListParagraph"/>
        <w:numPr>
          <w:ilvl w:val="0"/>
          <w:numId w:val="3"/>
        </w:numPr>
        <w:spacing w:after="60"/>
      </w:pPr>
      <w:r>
        <w:rPr>
          <w:rFonts w:ascii="Calibri" w:cs="Calibri" w:eastAsia="Calibri" w:hAnsi="Calibri"/>
          <w:color w:val="1A202C"/>
          <w:sz w:val="20"/>
          <w:szCs w:val="20"/>
        </w:rPr>
        <w:t xml:space="preserve">ExCo leader for Personal Health requests a specific programme be included. ITPFM opens the programme detail — merit score is visible to all.</w:t>
      </w:r>
    </w:p>
    <w:p>
      <w:pPr>
        <w:pStyle w:val="ListParagraph"/>
        <w:numPr>
          <w:ilvl w:val="0"/>
          <w:numId w:val="3"/>
        </w:numPr>
        <w:spacing w:after="60"/>
      </w:pPr>
      <w:r>
        <w:rPr>
          <w:rFonts w:ascii="Calibri" w:cs="Calibri" w:eastAsia="Calibri" w:hAnsi="Calibri"/>
          <w:color w:val="1A202C"/>
          <w:sz w:val="20"/>
          <w:szCs w:val="20"/>
        </w:rPr>
        <w:t xml:space="preserve">ITPFM models the inclusion: applies the override with a rationale note. Budget headroom KPI updates in real time.</w:t>
      </w:r>
    </w:p>
    <w:p>
      <w:pPr>
        <w:pStyle w:val="ListParagraph"/>
        <w:numPr>
          <w:ilvl w:val="0"/>
          <w:numId w:val="3"/>
        </w:numPr>
        <w:spacing w:after="60"/>
      </w:pPr>
      <w:r>
        <w:rPr>
          <w:rFonts w:ascii="Calibri" w:cs="Calibri" w:eastAsia="Calibri" w:hAnsi="Calibri"/>
          <w:color w:val="1A202C"/>
          <w:sz w:val="20"/>
          <w:szCs w:val="20"/>
        </w:rPr>
        <w:t xml:space="preserve">The session reviews low-funding organisations. ITPFM adjusts levers to improve coverage without breaching the budget ceiling.</w:t>
      </w:r>
    </w:p>
    <w:p>
      <w:pPr>
        <w:pStyle w:val="ListParagraph"/>
        <w:numPr>
          <w:ilvl w:val="0"/>
          <w:numId w:val="3"/>
        </w:numPr>
        <w:spacing w:after="60"/>
      </w:pPr>
      <w:r>
        <w:rPr>
          <w:rFonts w:ascii="Calibri" w:cs="Calibri" w:eastAsia="Calibri" w:hAnsi="Calibri"/>
          <w:color w:val="1A202C"/>
          <w:sz w:val="20"/>
          <w:szCs w:val="20"/>
        </w:rPr>
        <w:t xml:space="preserve">CFO reviews the On Top Of programmes: total On Top amount, expected hard benefit return, and approval record.</w:t>
      </w:r>
    </w:p>
    <w:p>
      <w:pPr>
        <w:pStyle w:val="ListParagraph"/>
        <w:numPr>
          <w:ilvl w:val="0"/>
          <w:numId w:val="3"/>
        </w:numPr>
        <w:spacing w:after="60"/>
      </w:pPr>
      <w:r>
        <w:rPr>
          <w:rFonts w:ascii="Calibri" w:cs="Calibri" w:eastAsia="Calibri" w:hAnsi="Calibri"/>
          <w:color w:val="1A202C"/>
          <w:sz w:val="20"/>
          <w:szCs w:val="20"/>
        </w:rPr>
        <w:t xml:space="preserve">Session concludes with a Finalised scenario. ITPFM exports Excel and JSON for Finance and audit archive.</w:t>
      </w:r>
    </w:p>
    <w:p>
      <w:pPr>
        <w:pStyle w:val="ListParagraph"/>
        <w:numPr>
          <w:ilvl w:val="0"/>
          <w:numId w:val="3"/>
        </w:numPr>
        <w:spacing w:after="60"/>
      </w:pPr>
      <w:r>
        <w:rPr>
          <w:rFonts w:ascii="Calibri" w:cs="Calibri" w:eastAsia="Calibri" w:hAnsi="Calibri"/>
          <w:color w:val="1A202C"/>
          <w:sz w:val="20"/>
          <w:szCs w:val="20"/>
        </w:rPr>
        <w:t xml:space="preserve">Outcome: ExCo decisions are made in real time, on data, with a full audit trail.</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CUJ-04  ITPFM: Scenario Comparison and Lever Optimisation</w:t>
      </w:r>
    </w:p>
    <w:p>
      <w:pPr>
        <w:pStyle w:val="ListParagraph"/>
        <w:numPr>
          <w:ilvl w:val="0"/>
          <w:numId w:val="3"/>
        </w:numPr>
        <w:spacing w:after="60"/>
      </w:pPr>
      <w:r>
        <w:rPr>
          <w:rFonts w:ascii="Calibri" w:cs="Calibri" w:eastAsia="Calibri" w:hAnsi="Calibri"/>
          <w:color w:val="1A202C"/>
          <w:sz w:val="20"/>
          <w:szCs w:val="20"/>
        </w:rPr>
        <w:t xml:space="preserve">ITPFM team creates the baseline Optimal Segmentation scenario from source data upload.</w:t>
      </w:r>
    </w:p>
    <w:p>
      <w:pPr>
        <w:pStyle w:val="ListParagraph"/>
        <w:numPr>
          <w:ilvl w:val="0"/>
          <w:numId w:val="3"/>
        </w:numPr>
        <w:spacing w:after="60"/>
      </w:pPr>
      <w:r>
        <w:rPr>
          <w:rFonts w:ascii="Calibri" w:cs="Calibri" w:eastAsia="Calibri" w:hAnsi="Calibri"/>
          <w:color w:val="1A202C"/>
          <w:sz w:val="20"/>
          <w:szCs w:val="20"/>
        </w:rPr>
        <w:t xml:space="preserve">They fork the baseline to create a Balanced Portfolio variant.</w:t>
      </w:r>
    </w:p>
    <w:p>
      <w:pPr>
        <w:pStyle w:val="ListParagraph"/>
        <w:numPr>
          <w:ilvl w:val="0"/>
          <w:numId w:val="3"/>
        </w:numPr>
        <w:spacing w:after="60"/>
      </w:pPr>
      <w:r>
        <w:rPr>
          <w:rFonts w:ascii="Calibri" w:cs="Calibri" w:eastAsia="Calibri" w:hAnsi="Calibri"/>
          <w:color w:val="1A202C"/>
          <w:sz w:val="20"/>
          <w:szCs w:val="20"/>
        </w:rPr>
        <w:t xml:space="preserve">In the Balanced Portfolio, they activate the ISC ring-fence (10 M€), STO ring-fence (20 M€), and Regions floor (5 M€).</w:t>
      </w:r>
    </w:p>
    <w:p>
      <w:pPr>
        <w:pStyle w:val="ListParagraph"/>
        <w:numPr>
          <w:ilvl w:val="0"/>
          <w:numId w:val="3"/>
        </w:numPr>
        <w:spacing w:after="60"/>
      </w:pPr>
      <w:r>
        <w:rPr>
          <w:rFonts w:ascii="Calibri" w:cs="Calibri" w:eastAsia="Calibri" w:hAnsi="Calibri"/>
          <w:color w:val="1A202C"/>
          <w:sz w:val="20"/>
          <w:szCs w:val="20"/>
        </w:rPr>
        <w:t xml:space="preserve">They compare total hard benefit, funded programme count, and organisation funding rates between the two scenarios.</w:t>
      </w:r>
    </w:p>
    <w:p>
      <w:pPr>
        <w:pStyle w:val="ListParagraph"/>
        <w:numPr>
          <w:ilvl w:val="0"/>
          <w:numId w:val="3"/>
        </w:numPr>
        <w:spacing w:after="60"/>
      </w:pPr>
      <w:r>
        <w:rPr>
          <w:rFonts w:ascii="Calibri" w:cs="Calibri" w:eastAsia="Calibri" w:hAnsi="Calibri"/>
          <w:color w:val="1A202C"/>
          <w:sz w:val="20"/>
          <w:szCs w:val="20"/>
        </w:rPr>
        <w:t xml:space="preserve">They identify that one scenario funds 8 more programmes for 2 M€ more in hard benefit — a clear recommendation.</w:t>
      </w:r>
    </w:p>
    <w:p>
      <w:pPr>
        <w:pStyle w:val="ListParagraph"/>
        <w:numPr>
          <w:ilvl w:val="0"/>
          <w:numId w:val="3"/>
        </w:numPr>
        <w:spacing w:after="60"/>
      </w:pPr>
      <w:r>
        <w:rPr>
          <w:rFonts w:ascii="Calibri" w:cs="Calibri" w:eastAsia="Calibri" w:hAnsi="Calibri"/>
          <w:color w:val="1A202C"/>
          <w:sz w:val="20"/>
          <w:szCs w:val="20"/>
        </w:rPr>
        <w:t xml:space="preserve">The preferred scenario is finalised and exported for ExCo review.</w:t>
      </w:r>
    </w:p>
    <w:p>
      <w:pPr>
        <w:pStyle w:val="ListParagraph"/>
        <w:numPr>
          <w:ilvl w:val="0"/>
          <w:numId w:val="3"/>
        </w:numPr>
        <w:spacing w:after="60"/>
      </w:pPr>
      <w:r>
        <w:rPr>
          <w:rFonts w:ascii="Calibri" w:cs="Calibri" w:eastAsia="Calibri" w:hAnsi="Calibri"/>
          <w:color w:val="1A202C"/>
          <w:sz w:val="20"/>
          <w:szCs w:val="20"/>
        </w:rPr>
        <w:t xml:space="preserve">Outcome: ExCo receives two quantified scenarios to choose between, not a single undebatable proposal.</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CUJ-05  Programme Manager: Self-Service Score Review</w:t>
      </w:r>
    </w:p>
    <w:p>
      <w:pPr>
        <w:pStyle w:val="ListParagraph"/>
        <w:numPr>
          <w:ilvl w:val="0"/>
          <w:numId w:val="3"/>
        </w:numPr>
        <w:spacing w:after="60"/>
      </w:pPr>
      <w:r>
        <w:rPr>
          <w:rFonts w:ascii="Calibri" w:cs="Calibri" w:eastAsia="Calibri" w:hAnsi="Calibri"/>
          <w:color w:val="1A202C"/>
          <w:sz w:val="20"/>
          <w:szCs w:val="20"/>
        </w:rPr>
        <w:t xml:space="preserve">Programme manager opens the Detailed Data Extract.</w:t>
      </w:r>
    </w:p>
    <w:p>
      <w:pPr>
        <w:pStyle w:val="ListParagraph"/>
        <w:numPr>
          <w:ilvl w:val="0"/>
          <w:numId w:val="3"/>
        </w:numPr>
        <w:spacing w:after="60"/>
      </w:pPr>
      <w:r>
        <w:rPr>
          <w:rFonts w:ascii="Calibri" w:cs="Calibri" w:eastAsia="Calibri" w:hAnsi="Calibri"/>
          <w:color w:val="1A202C"/>
          <w:sz w:val="20"/>
          <w:szCs w:val="20"/>
        </w:rPr>
        <w:t xml:space="preserve">They filter by their organisation and find their submitted programmes.</w:t>
      </w:r>
    </w:p>
    <w:p>
      <w:pPr>
        <w:pStyle w:val="ListParagraph"/>
        <w:numPr>
          <w:ilvl w:val="0"/>
          <w:numId w:val="3"/>
        </w:numPr>
        <w:spacing w:after="60"/>
      </w:pPr>
      <w:r>
        <w:rPr>
          <w:rFonts w:ascii="Calibri" w:cs="Calibri" w:eastAsia="Calibri" w:hAnsi="Calibri"/>
          <w:color w:val="1A202C"/>
          <w:sz w:val="20"/>
          <w:szCs w:val="20"/>
        </w:rPr>
        <w:t xml:space="preserve">They expand a not-funded programme to see the full scoring breakdown: BCR 0.8x (2/5), Priority Must Have (18 pts), Consequence contextual (5 pts), Payback 4 years (4 pts). Total: 46 out of 100.</w:t>
      </w:r>
    </w:p>
    <w:p>
      <w:pPr>
        <w:pStyle w:val="ListParagraph"/>
        <w:numPr>
          <w:ilvl w:val="0"/>
          <w:numId w:val="3"/>
        </w:numPr>
        <w:spacing w:after="60"/>
      </w:pPr>
      <w:r>
        <w:rPr>
          <w:rFonts w:ascii="Calibri" w:cs="Calibri" w:eastAsia="Calibri" w:hAnsi="Calibri"/>
          <w:color w:val="1A202C"/>
          <w:sz w:val="20"/>
          <w:szCs w:val="20"/>
        </w:rPr>
        <w:t xml:space="preserve">They see the merit floor was 45 — their programme was just above it but the stage budget was exhausted before their rank.</w:t>
      </w:r>
    </w:p>
    <w:p>
      <w:pPr>
        <w:pStyle w:val="ListParagraph"/>
        <w:numPr>
          <w:ilvl w:val="0"/>
          <w:numId w:val="3"/>
        </w:numPr>
        <w:spacing w:after="60"/>
      </w:pPr>
      <w:r>
        <w:rPr>
          <w:rFonts w:ascii="Calibri" w:cs="Calibri" w:eastAsia="Calibri" w:hAnsi="Calibri"/>
          <w:color w:val="1A202C"/>
          <w:sz w:val="20"/>
          <w:szCs w:val="20"/>
        </w:rPr>
        <w:t xml:space="preserve">They understand what they need to improve for next cycle: better benefit quantification (currently qualitative) would raise BCR from 0 to a calculated value and potentially push them above the funding cut-off.</w:t>
      </w:r>
    </w:p>
    <w:p>
      <w:pPr>
        <w:pStyle w:val="ListParagraph"/>
        <w:numPr>
          <w:ilvl w:val="0"/>
          <w:numId w:val="3"/>
        </w:numPr>
        <w:spacing w:after="60"/>
      </w:pPr>
      <w:r>
        <w:rPr>
          <w:rFonts w:ascii="Calibri" w:cs="Calibri" w:eastAsia="Calibri" w:hAnsi="Calibri"/>
          <w:color w:val="1A202C"/>
          <w:sz w:val="20"/>
          <w:szCs w:val="20"/>
        </w:rPr>
        <w:t xml:space="preserve">Outcome: programme manager has actionable feedback to improve their submission next cycle. No bilateral negotiation needed.</w:t>
      </w:r>
    </w:p>
    <w:p>
      <w:r>
        <w:br w:type="page"/>
      </w:r>
    </w:p>
    <w:p>
      <w:pPr>
        <w:pBdr>
          <w:bottom w:val="single" w:color="0B5ED7" w:sz="6"/>
        </w:pBdr>
        <w:shd w:fill="003087" w:color="auto" w:val="clear"/>
        <w:spacing w:after="160" w:before="480"/>
      </w:pPr>
      <w:bookmarkStart w:name="s10_anchor" w:id="43"/>
      <w:r>
        <w:rPr>
          <w:rFonts w:ascii="Calibri" w:cs="Calibri" w:eastAsia="Calibri" w:hAnsi="Calibri"/>
          <w:b/>
          <w:bCs/>
          <w:color w:val="FFFFFF"/>
          <w:sz w:val="34"/>
          <w:szCs w:val="34"/>
        </w:rPr>
        <w:t xml:space="preserve">10.  Goals and Success Metrics</w:t>
      </w:r>
      <w:bookmarkEnd w:id="43"/>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2000"/>
        <w:gridCol w:w="3160"/>
      </w:tblGrid>
      <w:tr>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Goal</w:t>
            </w:r>
          </w:p>
        </w:tc>
        <w:tc>
          <w:tcPr>
            <w:tcW w:type="dxa" w:w="22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KPI</w:t>
            </w:r>
          </w:p>
        </w:tc>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Target</w:t>
            </w:r>
          </w:p>
        </w:tc>
        <w:tc>
          <w:tcPr>
            <w:tcW w:type="dxa" w:w="31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How Measured</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One Portfolio Accuracy</w:t>
            </w:r>
          </w:p>
        </w:tc>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Operations + Programme totals match the corporate Finance AOP submission</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100% match to 6 decimal places in exports</w:t>
            </w:r>
          </w:p>
        </w:tc>
        <w:tc>
          <w:tcPr>
            <w:tcW w:type="dxa" w:w="3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Finance reconciliation at AOP sign-off. Full precision in Excel and JSON exports.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 Leader Clarity</w:t>
            </w:r>
          </w:p>
        </w:tc>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 leaders can confirm their total IT AOP from the tool without needing a separate reconciliation</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100% of 35 organisations confirmed before Finalise</w:t>
            </w:r>
          </w:p>
        </w:tc>
        <w:tc>
          <w:tcPr>
            <w:tcW w:type="dxa" w:w="3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checklist: each org reviewed and signed off in the tool session.</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On Top Of Transparency</w:t>
            </w:r>
          </w:p>
        </w:tc>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CFO can see every On Top Of programme with its merit score, benefit case, and approval rationale in one view</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 On Top decisions have a written rationale note and an approver record</w:t>
            </w:r>
          </w:p>
        </w:tc>
        <w:tc>
          <w:tcPr>
            <w:tcW w:type="dxa" w:w="3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Export JSON: count On Top programmes where note.length &gt; 0 and approver is set.</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Allocation Speed</w:t>
            </w:r>
          </w:p>
        </w:tc>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Time from source data upload to first complete allocation result</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Under 10 seconds for 421 programmes</w:t>
            </w:r>
          </w:p>
        </w:tc>
        <w:tc>
          <w:tcPr>
            <w:tcW w:type="dxa" w:w="3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Browser performance API; validated with target dataset.</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Audit Trail Completeness</w:t>
            </w:r>
          </w:p>
        </w:tc>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Every manual override has a written rationale note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100% of overrides with choice not null have a note</w:t>
            </w:r>
          </w:p>
        </w:tc>
        <w:tc>
          <w:tcPr>
            <w:tcW w:type="dxa" w:w="3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Export JSON; parse overrides map.</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Hold Clearance</w:t>
            </w:r>
          </w:p>
        </w:tc>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Active hold conditions in the Finalised scenario</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Zero unresolved Critical holds at Finalise</w:t>
            </w:r>
          </w:p>
        </w:tc>
        <w:tc>
          <w:tcPr>
            <w:tcW w:type="dxa" w:w="3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Hold badge count checked at Finalise gate.</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Stakeholder Trust</w:t>
            </w:r>
          </w:p>
        </w:tc>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managers who find the scoring model fair and transparent</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At least 70% positive in post-AOP survey</w:t>
            </w:r>
          </w:p>
        </w:tc>
        <w:tc>
          <w:tcPr>
            <w:tcW w:type="dxa" w:w="3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stakeholder survey, Q4 2026.</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Cycle Time Reduction</w:t>
            </w:r>
          </w:p>
        </w:tc>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Weeks from source data receipt to final ExCo-approved allocation</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Under 2 weeks (down from 3-4 weeks in prior years)</w:t>
            </w:r>
          </w:p>
        </w:tc>
        <w:tc>
          <w:tcPr>
            <w:tcW w:type="dxa" w:w="3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team self-report vs AOP 2026 timeline.</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Continuous Prioritization Readiness</w:t>
            </w:r>
          </w:p>
        </w:tc>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Tool reusable for mid-year portfolio review without code changes</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Any updated Excel upload produces a valid new scenario within 5 minutes</w:t>
            </w:r>
          </w:p>
        </w:tc>
        <w:tc>
          <w:tcPr>
            <w:tcW w:type="dxa" w:w="3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team test with Q1 2027 refresh data.</w:t>
            </w:r>
          </w:p>
        </w:tc>
      </w:tr>
    </w:tbl>
    <w:p>
      <w:r>
        <w:br w:type="page"/>
      </w:r>
    </w:p>
    <w:p>
      <w:pPr>
        <w:pBdr>
          <w:bottom w:val="single" w:color="0B5ED7" w:sz="6"/>
        </w:pBdr>
        <w:shd w:fill="003087" w:color="auto" w:val="clear"/>
        <w:spacing w:after="160" w:before="480"/>
      </w:pPr>
      <w:bookmarkStart w:name="s11_anchor" w:id="44"/>
      <w:r>
        <w:rPr>
          <w:rFonts w:ascii="Calibri" w:cs="Calibri" w:eastAsia="Calibri" w:hAnsi="Calibri"/>
          <w:b/>
          <w:bCs/>
          <w:color w:val="FFFFFF"/>
          <w:sz w:val="34"/>
          <w:szCs w:val="34"/>
        </w:rPr>
        <w:t xml:space="preserve">11.  User Experience and Design</w:t>
      </w:r>
      <w:bookmarkEnd w:id="44"/>
    </w:p>
    <w:p>
      <w:pPr>
        <w:pBdr>
          <w:bottom w:val="single" w:color="D6E4F7" w:sz="4"/>
        </w:pBdr>
        <w:spacing w:after="100" w:before="320"/>
      </w:pPr>
      <w:r>
        <w:rPr>
          <w:rFonts w:ascii="Calibri" w:cs="Calibri" w:eastAsia="Calibri" w:hAnsi="Calibri"/>
          <w:b/>
          <w:bCs/>
          <w:color w:val="003087"/>
          <w:sz w:val="26"/>
          <w:szCs w:val="26"/>
        </w:rPr>
        <w:t xml:space="preserve">11.1  Design Principles</w:t>
      </w:r>
    </w:p>
    <w:p>
      <w:pPr>
        <w:pStyle w:val="ListParagraph"/>
        <w:numPr>
          <w:ilvl w:val="0"/>
          <w:numId w:val="2"/>
        </w:numPr>
        <w:spacing w:after="60"/>
      </w:pPr>
      <w:r>
        <w:rPr>
          <w:rFonts w:ascii="Calibri" w:cs="Calibri" w:eastAsia="Calibri" w:hAnsi="Calibri"/>
          <w:color w:val="1A202C"/>
          <w:sz w:val="20"/>
          <w:szCs w:val="20"/>
        </w:rPr>
        <w:t xml:space="preserve">Data density with hierarchy: the tool surfaces a large volume of financial data. The design prioritises legibility and hierarchy over decoration.</w:t>
      </w:r>
    </w:p>
    <w:p>
      <w:pPr>
        <w:pStyle w:val="ListParagraph"/>
        <w:numPr>
          <w:ilvl w:val="0"/>
          <w:numId w:val="2"/>
        </w:numPr>
        <w:spacing w:after="60"/>
      </w:pPr>
      <w:r>
        <w:rPr>
          <w:rFonts w:ascii="Calibri" w:cs="Calibri" w:eastAsia="Calibri" w:hAnsi="Calibri"/>
          <w:color w:val="1A202C"/>
          <w:sz w:val="20"/>
          <w:szCs w:val="20"/>
        </w:rPr>
        <w:t xml:space="preserve">Status is always visible: every programme carries a visible funding status, every hold condition carries a coloured badge, every KPI card shows current state. Users should never have to click to find out what the current allocation is.</w:t>
      </w:r>
    </w:p>
    <w:p>
      <w:pPr>
        <w:pStyle w:val="ListParagraph"/>
        <w:numPr>
          <w:ilvl w:val="0"/>
          <w:numId w:val="2"/>
        </w:numPr>
        <w:spacing w:after="60"/>
      </w:pPr>
      <w:r>
        <w:rPr>
          <w:rFonts w:ascii="Calibri" w:cs="Calibri" w:eastAsia="Calibri" w:hAnsi="Calibri"/>
          <w:color w:val="1A202C"/>
          <w:sz w:val="20"/>
          <w:szCs w:val="20"/>
        </w:rPr>
        <w:t xml:space="preserve">Actions are self-documenting: every lever change, override, and Apply action produces a record in the event log. The tool should feel like a decision-making room, not a form.</w:t>
      </w:r>
    </w:p>
    <w:p>
      <w:pPr>
        <w:pStyle w:val="ListParagraph"/>
        <w:numPr>
          <w:ilvl w:val="0"/>
          <w:numId w:val="2"/>
        </w:numPr>
        <w:spacing w:after="60"/>
      </w:pPr>
      <w:r>
        <w:rPr>
          <w:rFonts w:ascii="Calibri" w:cs="Calibri" w:eastAsia="Calibri" w:hAnsi="Calibri"/>
          <w:color w:val="1A202C"/>
          <w:sz w:val="20"/>
          <w:szCs w:val="20"/>
        </w:rPr>
        <w:t xml:space="preserve">Philips brand: the tool uses Philips Blue as the primary structural colour, with white surfaces and Philips Light Blue tints for alternate rows and callout panels.</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11.2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6160"/>
      </w:tblGrid>
      <w:tr>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Token</w:t>
            </w:r>
          </w:p>
        </w:tc>
        <w:tc>
          <w:tcPr>
            <w:tcW w:type="dxa" w:w="12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Hex</w:t>
            </w:r>
          </w:p>
        </w:tc>
        <w:tc>
          <w:tcPr>
            <w:tcW w:type="dxa" w:w="61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Usage</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Philips Blue</w:t>
            </w:r>
          </w:p>
        </w:tc>
        <w:tc>
          <w:tcPr>
            <w:tcW w:type="dxa" w:w="1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#003087</w:t>
            </w:r>
          </w:p>
        </w:tc>
        <w:tc>
          <w:tcPr>
            <w:tcW w:type="dxa" w:w="6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Primary header backgrounds, cover page, table header rows, thick borders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Philips Bright Blue</w:t>
            </w:r>
          </w:p>
        </w:tc>
        <w:tc>
          <w:tcPr>
            <w:tcW w:type="dxa" w:w="1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#0B5ED7</w:t>
            </w:r>
          </w:p>
        </w:tc>
        <w:tc>
          <w:tcPr>
            <w:tcW w:type="dxa" w:w="6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H2 text, subheader accents, active interactive elements, score bars</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Philips Light Blue</w:t>
            </w:r>
          </w:p>
        </w:tc>
        <w:tc>
          <w:tcPr>
            <w:tcW w:type="dxa" w:w="1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#D6E4F7</w:t>
            </w:r>
          </w:p>
        </w:tc>
        <w:tc>
          <w:tcPr>
            <w:tcW w:type="dxa" w:w="6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Alternate table rows, callout fills, tint backgrounds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White</w:t>
            </w:r>
          </w:p>
        </w:tc>
        <w:tc>
          <w:tcPr>
            <w:tcW w:type="dxa" w:w="1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#FFFFFF</w:t>
            </w:r>
          </w:p>
        </w:tc>
        <w:tc>
          <w:tcPr>
            <w:tcW w:type="dxa" w:w="6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Card and panel surfaces, primary table rows</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Near-White</w:t>
            </w:r>
          </w:p>
        </w:tc>
        <w:tc>
          <w:tcPr>
            <w:tcW w:type="dxa" w:w="1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#F7F9FC</w:t>
            </w:r>
          </w:p>
        </w:tc>
        <w:tc>
          <w:tcPr>
            <w:tcW w:type="dxa" w:w="6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Page background, section separators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Near-Black</w:t>
            </w:r>
          </w:p>
        </w:tc>
        <w:tc>
          <w:tcPr>
            <w:tcW w:type="dxa" w:w="1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#1A202C</w:t>
            </w:r>
          </w:p>
        </w:tc>
        <w:tc>
          <w:tcPr>
            <w:tcW w:type="dxa" w:w="6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Primary body text</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Muted Grey</w:t>
            </w:r>
          </w:p>
        </w:tc>
        <w:tc>
          <w:tcPr>
            <w:tcW w:type="dxa" w:w="1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#4A5568</w:t>
            </w:r>
          </w:p>
        </w:tc>
        <w:tc>
          <w:tcPr>
            <w:tcW w:type="dxa" w:w="6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Secondary text, column headers, labels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Green</w:t>
            </w:r>
          </w:p>
        </w:tc>
        <w:tc>
          <w:tcPr>
            <w:tcW w:type="dxa" w:w="1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#15803D</w:t>
            </w:r>
          </w:p>
        </w:tc>
        <w:tc>
          <w:tcPr>
            <w:tcW w:type="dxa" w:w="6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Funded status pills, high BCR tier, positive KPI values</w:t>
            </w:r>
          </w:p>
        </w:tc>
      </w:tr>
      <w:tr>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Amber</w:t>
            </w:r>
          </w:p>
        </w:tc>
        <w:tc>
          <w:tcPr>
            <w:tcW w:type="dxa" w:w="1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#B45309</w:t>
            </w:r>
          </w:p>
        </w:tc>
        <w:tc>
          <w:tcPr>
            <w:tcW w:type="dxa" w:w="6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Partial scope pills, medium BCR tier, tolerance warnings</w:t>
            </w:r>
          </w:p>
        </w:tc>
      </w:tr>
      <w:tr>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Red</w:t>
            </w:r>
          </w:p>
        </w:tc>
        <w:tc>
          <w:tcPr>
            <w:tcW w:type="dxa" w:w="1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#B91C1C</w:t>
            </w:r>
          </w:p>
        </w:tc>
        <w:tc>
          <w:tcPr>
            <w:tcW w:type="dxa" w:w="6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Not funded pills, hold badges, critical warnings, below-floor indicators</w:t>
            </w:r>
          </w:p>
        </w:tc>
      </w:tr>
    </w:tbl>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11.3  Layout Architecture</w:t>
      </w:r>
    </w:p>
    <w:p>
      <w:pPr>
        <w:spacing w:after="60" w:before="160"/>
      </w:pPr>
      <w:r>
        <w:rPr>
          <w:rFonts w:ascii="Calibri" w:cs="Calibri" w:eastAsia="Calibri" w:hAnsi="Calibri"/>
          <w:b/>
          <w:bCs/>
          <w:color w:val="1A202C"/>
          <w:sz w:val="20"/>
          <w:szCs w:val="20"/>
          <w:u w:val="single" w:color="0B5ED7"/>
        </w:rPr>
        <w:t xml:space="preserve">Modeler — Main Screen Layout</w:t>
      </w:r>
    </w:p>
    <w:p>
      <w:pPr>
        <w:pStyle w:val="ListParagraph"/>
        <w:numPr>
          <w:ilvl w:val="0"/>
          <w:numId w:val="2"/>
        </w:numPr>
        <w:spacing w:after="60"/>
      </w:pPr>
      <w:r>
        <w:rPr>
          <w:rFonts w:ascii="Calibri" w:cs="Calibri" w:eastAsia="Calibri" w:hAnsi="Calibri"/>
          <w:color w:val="1A202C"/>
          <w:sz w:val="20"/>
          <w:szCs w:val="20"/>
        </w:rPr>
        <w:t xml:space="preserve">Sticky header bar: product title, version badge, source file metadata (programme count, generation date, source workbook name).</w:t>
      </w:r>
    </w:p>
    <w:p>
      <w:pPr>
        <w:pStyle w:val="ListParagraph"/>
        <w:numPr>
          <w:ilvl w:val="0"/>
          <w:numId w:val="2"/>
        </w:numPr>
        <w:spacing w:after="60"/>
      </w:pPr>
      <w:r>
        <w:rPr>
          <w:rFonts w:ascii="Calibri" w:cs="Calibri" w:eastAsia="Calibri" w:hAnsi="Calibri"/>
          <w:color w:val="1A202C"/>
          <w:sz w:val="20"/>
          <w:szCs w:val="20"/>
        </w:rPr>
        <w:t xml:space="preserve">Scenario strip (below header): active scenario name, status chip (Draft / Finalised), preset selector, Fork and Finalise buttons.</w:t>
      </w:r>
    </w:p>
    <w:p>
      <w:pPr>
        <w:pStyle w:val="ListParagraph"/>
        <w:numPr>
          <w:ilvl w:val="0"/>
          <w:numId w:val="2"/>
        </w:numPr>
        <w:spacing w:after="60"/>
      </w:pPr>
      <w:r>
        <w:rPr>
          <w:rFonts w:ascii="Calibri" w:cs="Calibri" w:eastAsia="Calibri" w:hAnsi="Calibri"/>
          <w:color w:val="1A202C"/>
          <w:sz w:val="20"/>
          <w:szCs w:val="20"/>
        </w:rPr>
        <w:t xml:space="preserve">Three-zone canvas: Left rail = five lever sliders with mode toggles. Centre = prioritised programme list with stage headers, hold badges, and status pills. Right = KPI dashboard with live-updating cards.</w:t>
      </w:r>
    </w:p>
    <w:p>
      <w:pPr>
        <w:pStyle w:val="ListParagraph"/>
        <w:numPr>
          <w:ilvl w:val="0"/>
          <w:numId w:val="2"/>
        </w:numPr>
        <w:spacing w:after="60"/>
      </w:pPr>
      <w:r>
        <w:rPr>
          <w:rFonts w:ascii="Calibri" w:cs="Calibri" w:eastAsia="Calibri" w:hAnsi="Calibri"/>
          <w:color w:val="1A202C"/>
          <w:sz w:val="20"/>
          <w:szCs w:val="20"/>
        </w:rPr>
        <w:t xml:space="preserve">ExCo Trade-off panel: full-width panel that slides in below the scenario strip. Shows each ExCo leader's organisations, funded vs unfunded demand, and Apply controls.</w:t>
      </w:r>
    </w:p>
    <w:p>
      <w:pPr>
        <w:pStyle w:val="ListParagraph"/>
        <w:numPr>
          <w:ilvl w:val="0"/>
          <w:numId w:val="2"/>
        </w:numPr>
        <w:spacing w:after="60"/>
      </w:pPr>
      <w:r>
        <w:rPr>
          <w:rFonts w:ascii="Calibri" w:cs="Calibri" w:eastAsia="Calibri" w:hAnsi="Calibri"/>
          <w:color w:val="1A202C"/>
          <w:sz w:val="20"/>
          <w:szCs w:val="20"/>
        </w:rPr>
        <w:t xml:space="preserve">One Portfolio table: full-width panel showing Operations + Programmes = Total IT AOP per organisation, with percentage funding rates.</w:t>
      </w:r>
    </w:p>
    <w:p>
      <w:pPr>
        <w:spacing w:after="80"/>
      </w:pPr>
      <w:r>
        <w:rPr>
          <w:rFonts w:ascii="Calibri" w:cs="Calibri" w:eastAsia="Calibri" w:hAnsi="Calibri"/>
          <w:color w:val="1A202C"/>
          <w:sz w:val="20"/>
          <w:szCs w:val="20"/>
        </w:rPr>
        <w:t xml:space="preserve"/>
      </w:r>
    </w:p>
    <w:p>
      <w:pPr>
        <w:spacing w:after="60" w:before="160"/>
      </w:pPr>
      <w:r>
        <w:rPr>
          <w:rFonts w:ascii="Calibri" w:cs="Calibri" w:eastAsia="Calibri" w:hAnsi="Calibri"/>
          <w:b/>
          <w:bCs/>
          <w:color w:val="1A202C"/>
          <w:sz w:val="20"/>
          <w:szCs w:val="20"/>
          <w:u w:val="single" w:color="0B5ED7"/>
        </w:rPr>
        <w:t xml:space="preserve">Data Extract — Tab Layout</w:t>
      </w:r>
    </w:p>
    <w:p>
      <w:pPr>
        <w:pStyle w:val="ListParagraph"/>
        <w:numPr>
          <w:ilvl w:val="0"/>
          <w:numId w:val="2"/>
        </w:numPr>
        <w:spacing w:after="60"/>
      </w:pPr>
      <w:r>
        <w:rPr>
          <w:rFonts w:ascii="Calibri" w:cs="Calibri" w:eastAsia="Calibri" w:hAnsi="Calibri"/>
          <w:color w:val="1A202C"/>
          <w:sz w:val="20"/>
          <w:szCs w:val="20"/>
        </w:rPr>
        <w:t xml:space="preserve">Sticky dark Philips Blue header with tool title, record count badge, and source metadata.</w:t>
      </w:r>
    </w:p>
    <w:p>
      <w:pPr>
        <w:pStyle w:val="ListParagraph"/>
        <w:numPr>
          <w:ilvl w:val="0"/>
          <w:numId w:val="2"/>
        </w:numPr>
        <w:spacing w:after="60"/>
      </w:pPr>
      <w:r>
        <w:rPr>
          <w:rFonts w:ascii="Calibri" w:cs="Calibri" w:eastAsia="Calibri" w:hAnsi="Calibri"/>
          <w:color w:val="1A202C"/>
          <w:sz w:val="20"/>
          <w:szCs w:val="20"/>
        </w:rPr>
        <w:t xml:space="preserve">Tab bar (7 tabs): Programme Data, Scoring Details, Finance Attribution, AOP 2026 Reference, Mappings, Scenario Approach, Excluded Register.</w:t>
      </w:r>
    </w:p>
    <w:p>
      <w:pPr>
        <w:pStyle w:val="ListParagraph"/>
        <w:numPr>
          <w:ilvl w:val="0"/>
          <w:numId w:val="2"/>
        </w:numPr>
        <w:spacing w:after="60"/>
      </w:pPr>
      <w:r>
        <w:rPr>
          <w:rFonts w:ascii="Calibri" w:cs="Calibri" w:eastAsia="Calibri" w:hAnsi="Calibri"/>
          <w:color w:val="1A202C"/>
          <w:sz w:val="20"/>
          <w:szCs w:val="20"/>
        </w:rPr>
        <w:t xml:space="preserve">Filter bar below tabs: flex-wrap row of multi-select dropdowns, free-text search, sort selector. Record count badge on the right, with Reset and Export CSV buttons.</w:t>
      </w:r>
    </w:p>
    <w:p>
      <w:pPr>
        <w:pStyle w:val="ListParagraph"/>
        <w:numPr>
          <w:ilvl w:val="0"/>
          <w:numId w:val="2"/>
        </w:numPr>
        <w:spacing w:after="60"/>
      </w:pPr>
      <w:r>
        <w:rPr>
          <w:rFonts w:ascii="Calibri" w:cs="Calibri" w:eastAsia="Calibri" w:hAnsi="Calibri"/>
          <w:color w:val="1A202C"/>
          <w:sz w:val="20"/>
          <w:szCs w:val="20"/>
        </w:rPr>
        <w:t xml:space="preserve">Programme list: 10-column grid with expandable detail rows, pagination (50 records per page), and a summary row showing filtered totals.</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11.4  Status Pill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400"/>
        <w:gridCol w:w="5160"/>
      </w:tblGrid>
      <w:tr>
        <w:tc>
          <w:tcPr>
            <w:tcW w:type="dxa" w:w="1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Pill Label</w:t>
            </w:r>
          </w:p>
        </w:tc>
        <w:tc>
          <w:tcPr>
            <w:tcW w:type="dxa" w:w="2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Colour</w:t>
            </w:r>
          </w:p>
        </w:tc>
        <w:tc>
          <w:tcPr>
            <w:tcW w:type="dxa" w:w="51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Used For</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P1</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Red tint (#FEE2E2 / #991B1B)</w:t>
            </w:r>
          </w:p>
        </w:tc>
        <w:tc>
          <w:tcPr>
            <w:tcW w:type="dxa" w:w="5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Legal, Fiscal, Regulatory and Compliance programmes</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P2</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Amber tint (#FEF3C7 / #92400E)</w:t>
            </w:r>
          </w:p>
        </w:tc>
        <w:tc>
          <w:tcPr>
            <w:tcW w:type="dxa" w:w="5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Carry-over in-flight programmes</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P3</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Blue tint (#DBEAFE / #1E40AF)</w:t>
            </w:r>
          </w:p>
        </w:tc>
        <w:tc>
          <w:tcPr>
            <w:tcW w:type="dxa" w:w="5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Sustain, Hygiene, CI programmes</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P4</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Green tint (#D1FAE5 / #065F46)</w:t>
            </w:r>
          </w:p>
        </w:tc>
        <w:tc>
          <w:tcPr>
            <w:tcW w:type="dxa" w:w="5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Value Portfolio — merit-ranked new investment</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P5</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Purple tint (#E9D5FF / #6B21A8)</w:t>
            </w:r>
          </w:p>
        </w:tc>
        <w:tc>
          <w:tcPr>
            <w:tcW w:type="dxa" w:w="5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 Simplification — decommission and replatform</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Funded</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Green (#D1FAE5 / #065F46)</w:t>
            </w:r>
          </w:p>
        </w:tc>
        <w:tc>
          <w:tcPr>
            <w:tcW w:type="dxa" w:w="5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fully approved in the allocation</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Partial Scope</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Amber (#FEF3C7 / #92400E)</w:t>
            </w:r>
          </w:p>
        </w:tc>
        <w:tc>
          <w:tcPr>
            <w:tcW w:type="dxa" w:w="5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approved at a reduced scope (manual decision only)</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Not Funded</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Red (#FEE2E2 / #991B1B)</w:t>
            </w:r>
          </w:p>
        </w:tc>
        <w:tc>
          <w:tcPr>
            <w:tcW w:type="dxa" w:w="5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not approved in this scenario</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Excluded</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Grey (#F3F4F6 / #374151)</w:t>
            </w:r>
          </w:p>
        </w:tc>
        <w:tc>
          <w:tcPr>
            <w:tcW w:type="dxa" w:w="5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manually or automatically excluded from the allocation pool</w:t>
            </w:r>
          </w:p>
        </w:tc>
      </w:tr>
      <w:tr>
        <w:tc>
          <w:tcPr>
            <w:tcW w:type="dxa" w:w="1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Hard Benefit</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Blue (#DBEAFE / #1E40AF)</w:t>
            </w:r>
          </w:p>
        </w:tc>
        <w:tc>
          <w:tcPr>
            <w:tcW w:type="dxa" w:w="51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Revenue Increase or Productivity Savings benefit category</w:t>
            </w:r>
          </w:p>
        </w:tc>
      </w:tr>
      <w:tr>
        <w:tc>
          <w:tcPr>
            <w:tcW w:type="dxa" w:w="1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Soft Benefit</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Amber (#FEF3C7 / #92400E)</w:t>
            </w:r>
          </w:p>
        </w:tc>
        <w:tc>
          <w:tcPr>
            <w:tcW w:type="dxa" w:w="51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Cost Avoidance, Compliance, Security, Enabling, or other benefit categories</w:t>
            </w:r>
          </w:p>
        </w:tc>
      </w:tr>
    </w:tbl>
    <w:p>
      <w:r>
        <w:br w:type="page"/>
      </w:r>
    </w:p>
    <w:p>
      <w:pPr>
        <w:pBdr>
          <w:bottom w:val="single" w:color="0B5ED7" w:sz="6"/>
        </w:pBdr>
        <w:shd w:fill="003087" w:color="auto" w:val="clear"/>
        <w:spacing w:after="160" w:before="480"/>
      </w:pPr>
      <w:bookmarkStart w:name="s12_anchor" w:id="49"/>
      <w:r>
        <w:rPr>
          <w:rFonts w:ascii="Calibri" w:cs="Calibri" w:eastAsia="Calibri" w:hAnsi="Calibri"/>
          <w:b/>
          <w:bCs/>
          <w:color w:val="FFFFFF"/>
          <w:sz w:val="34"/>
          <w:szCs w:val="34"/>
        </w:rPr>
        <w:t xml:space="preserve">12.  Technical Requirements and Constraints</w:t>
      </w:r>
      <w:bookmarkEnd w:id="49"/>
    </w:p>
    <w:p>
      <w:pPr>
        <w:pBdr>
          <w:bottom w:val="single" w:color="D6E4F7" w:sz="4"/>
        </w:pBdr>
        <w:spacing w:after="100" w:before="320"/>
      </w:pPr>
      <w:r>
        <w:rPr>
          <w:rFonts w:ascii="Calibri" w:cs="Calibri" w:eastAsia="Calibri" w:hAnsi="Calibri"/>
          <w:b/>
          <w:bCs/>
          <w:color w:val="003087"/>
          <w:sz w:val="26"/>
          <w:szCs w:val="26"/>
        </w:rPr>
        <w:t xml:space="preserve">12.1  Platform Architecture</w:t>
      </w:r>
    </w:p>
    <w:p>
      <w:pPr>
        <w:pStyle w:val="ListParagraph"/>
        <w:numPr>
          <w:ilvl w:val="0"/>
          <w:numId w:val="2"/>
        </w:numPr>
        <w:spacing w:after="60"/>
      </w:pPr>
      <w:r>
        <w:rPr>
          <w:rFonts w:ascii="Calibri" w:cs="Calibri" w:eastAsia="Calibri" w:hAnsi="Calibri"/>
          <w:color w:val="1A202C"/>
          <w:sz w:val="20"/>
          <w:szCs w:val="20"/>
        </w:rPr>
        <w:t xml:space="preserve">Single-file HTML deployment. All JavaScript, CSS, and embedded data in one .html file. No server dependency. Runs fully offline.</w:t>
      </w:r>
    </w:p>
    <w:p>
      <w:pPr>
        <w:pStyle w:val="ListParagraph"/>
        <w:numPr>
          <w:ilvl w:val="0"/>
          <w:numId w:val="2"/>
        </w:numPr>
        <w:spacing w:after="60"/>
      </w:pPr>
      <w:r>
        <w:rPr>
          <w:rFonts w:ascii="Calibri" w:cs="Calibri" w:eastAsia="Calibri" w:hAnsi="Calibri"/>
          <w:color w:val="1A202C"/>
          <w:sz w:val="20"/>
          <w:szCs w:val="20"/>
        </w:rPr>
        <w:t xml:space="preserve">Target browsers: Chrome 110 or later, Edge 110 or later, Firefox 115 or later, Safari 16 or later. No Internet Explorer.</w:t>
      </w:r>
    </w:p>
    <w:p>
      <w:pPr>
        <w:pStyle w:val="ListParagraph"/>
        <w:numPr>
          <w:ilvl w:val="0"/>
          <w:numId w:val="2"/>
        </w:numPr>
        <w:spacing w:after="60"/>
      </w:pPr>
      <w:r>
        <w:rPr>
          <w:rFonts w:ascii="Calibri" w:cs="Calibri" w:eastAsia="Calibri" w:hAnsi="Calibri"/>
          <w:color w:val="1A202C"/>
          <w:sz w:val="20"/>
          <w:szCs w:val="20"/>
        </w:rPr>
        <w:t xml:space="preserve">All data processing in-browser using SheetJS for Excel parsing. No data transmitted to any external service.</w:t>
      </w:r>
    </w:p>
    <w:p>
      <w:pPr>
        <w:pStyle w:val="ListParagraph"/>
        <w:numPr>
          <w:ilvl w:val="0"/>
          <w:numId w:val="2"/>
        </w:numPr>
        <w:spacing w:after="60"/>
      </w:pPr>
      <w:r>
        <w:rPr>
          <w:rFonts w:ascii="Calibri" w:cs="Calibri" w:eastAsia="Calibri" w:hAnsi="Calibri"/>
          <w:color w:val="1A202C"/>
          <w:sz w:val="20"/>
          <w:szCs w:val="20"/>
        </w:rPr>
        <w:t xml:space="preserve">LocalStorage for scenario persistence between browser sessions. File size must remain under 5 MB for SharePoint compatibility.</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12.2  Allocation Engine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Rule</w:t>
            </w:r>
          </w:p>
        </w:tc>
        <w:tc>
          <w:tcPr>
            <w:tcW w:type="dxa" w:w="69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Specification</w:t>
            </w:r>
          </w:p>
        </w:tc>
      </w:tr>
      <w:tr>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Whole-programme allocation</w:t>
            </w:r>
          </w:p>
        </w:tc>
        <w:tc>
          <w:tcPr>
            <w:tcW w:type="dxa" w:w="6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Engine funds entire programmes or nothing. No automatic fractional splits. Partial scope is always a manual decision recorded in the audit log.</w:t>
            </w:r>
          </w:p>
        </w:tc>
      </w:tr>
      <w:tr>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Merit rank order</w:t>
            </w:r>
          </w:p>
        </w:tc>
        <w:tc>
          <w:tcPr>
            <w:tcW w:type="dxa" w:w="6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Within each stage, programmes funded in descending merit score order. Ties broken deterministically by programme ID.</w:t>
            </w:r>
          </w:p>
        </w:tc>
      </w:tr>
      <w:tr>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Stage processing order</w:t>
            </w:r>
          </w:p>
        </w:tc>
        <w:tc>
          <w:tcPr>
            <w:tcW w:type="dxa" w:w="6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P1 first (mandatory), then P2 (carry-overs with carry cap applied), then P3 (sustain block), then P4 (value merit ranking), then P5 (if lever enabled).</w:t>
            </w:r>
          </w:p>
        </w:tc>
      </w:tr>
      <w:tr>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Budget ceiling</w:t>
            </w:r>
          </w:p>
        </w:tc>
        <w:tc>
          <w:tcPr>
            <w:tcW w:type="dxa" w:w="6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Total allocation must not exceed budget multiplied by (1 + tolerance percentage). Default tolerance is 0%.</w:t>
            </w:r>
          </w:p>
        </w:tc>
      </w:tr>
      <w:tr>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PMI treatment</w:t>
            </w:r>
          </w:p>
        </w:tc>
        <w:tc>
          <w:tcPr>
            <w:tcW w:type="dxa" w:w="6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PMI programmes bypass the allocation engine. Funded automatically on top of base budget. Not attributed to any BU base budget.</w:t>
            </w:r>
          </w:p>
        </w:tc>
      </w:tr>
      <w:tr>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Carry-over cap</w:t>
            </w:r>
          </w:p>
        </w:tc>
        <w:tc>
          <w:tcPr>
            <w:tcW w:type="dxa" w:w="6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P2 funded amount capped at minimum of (Requested, Carry Over Baselined). Cannot over-commit prior-year baseline.</w:t>
            </w:r>
          </w:p>
        </w:tc>
      </w:tr>
      <w:tr>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Protected overrides</w:t>
            </w:r>
          </w:p>
        </w:tc>
        <w:tc>
          <w:tcPr>
            <w:tcW w:type="dxa" w:w="6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Manually included or excluded programmes carry a protection flag. Engine re-runs never alter protected decisions.</w:t>
            </w:r>
          </w:p>
        </w:tc>
      </w:tr>
      <w:tr>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Finalised lock</w:t>
            </w:r>
          </w:p>
        </w:tc>
        <w:tc>
          <w:tcPr>
            <w:tcW w:type="dxa" w:w="69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Finalised scenarios reject all mutating actions except Fork. Fork preserves parent as an immutable reference.</w:t>
            </w:r>
          </w:p>
        </w:tc>
      </w:tr>
      <w:tr>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Balanced Portfolio sub-rules</w:t>
            </w:r>
          </w:p>
        </w:tc>
        <w:tc>
          <w:tcPr>
            <w:tcW w:type="dxa" w:w="69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When active: CCB 70% of EW budget, ISC ring-fenced 10 M€, STO 20 M€, Regions 5 M€, NAR EW-28 auto-included. Sub-phases run sequentially within the engine.</w:t>
            </w:r>
          </w:p>
        </w:tc>
      </w:tr>
    </w:tbl>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12.3  Finance Calculation Rules</w:t>
      </w:r>
    </w:p>
    <w:p>
      <w:pPr>
        <w:pStyle w:val="ListParagraph"/>
        <w:numPr>
          <w:ilvl w:val="0"/>
          <w:numId w:val="2"/>
        </w:numPr>
        <w:spacing w:after="60"/>
      </w:pPr>
      <w:r>
        <w:rPr>
          <w:rFonts w:ascii="Calibri" w:cs="Calibri" w:eastAsia="Calibri" w:hAnsi="Calibri"/>
          <w:color w:val="1A202C"/>
          <w:sz w:val="20"/>
          <w:szCs w:val="20"/>
        </w:rPr>
        <w:t xml:space="preserve">One Portfolio formula: Total IT AOP = Prioritised Programme AOP + Operations AOP. Operations is read-only.</w:t>
      </w:r>
    </w:p>
    <w:p>
      <w:pPr>
        <w:pStyle w:val="ListParagraph"/>
        <w:numPr>
          <w:ilvl w:val="0"/>
          <w:numId w:val="2"/>
        </w:numPr>
        <w:spacing w:after="60"/>
      </w:pPr>
      <w:r>
        <w:rPr>
          <w:rFonts w:ascii="Calibri" w:cs="Calibri" w:eastAsia="Calibri" w:hAnsi="Calibri"/>
          <w:color w:val="1A202C"/>
          <w:sz w:val="20"/>
          <w:szCs w:val="20"/>
        </w:rPr>
        <w:t xml:space="preserve">EW charging key: each organisation's fraction = that organisation's raw key value divided by the total raw sum across all organisations. Fractions must sum to 1.0.</w:t>
      </w:r>
    </w:p>
    <w:p>
      <w:pPr>
        <w:pStyle w:val="ListParagraph"/>
        <w:numPr>
          <w:ilvl w:val="0"/>
          <w:numId w:val="2"/>
        </w:numPr>
        <w:spacing w:after="60"/>
      </w:pPr>
      <w:r>
        <w:rPr>
          <w:rFonts w:ascii="Calibri" w:cs="Calibri" w:eastAsia="Calibri" w:hAnsi="Calibri"/>
          <w:color w:val="1A202C"/>
          <w:sz w:val="20"/>
          <w:szCs w:val="20"/>
        </w:rPr>
        <w:t xml:space="preserve">Rounding: display uses 1-decimal upward rounding of magnitude (e.g., 0.0451 rounds to 0.1 M€). Internal calculations use full precision to 6 decimal places. Exports use full precision. Stage sub-totals are independently rounded — may differ from rounded grand total by up to 0.1 M€ (documented display behaviour, not an arithmetic error).</w:t>
      </w:r>
    </w:p>
    <w:p>
      <w:pPr>
        <w:pStyle w:val="ListParagraph"/>
        <w:numPr>
          <w:ilvl w:val="0"/>
          <w:numId w:val="2"/>
        </w:numPr>
        <w:spacing w:after="60"/>
      </w:pPr>
      <w:r>
        <w:rPr>
          <w:rFonts w:ascii="Calibri" w:cs="Calibri" w:eastAsia="Calibri" w:hAnsi="Calibri"/>
          <w:color w:val="1A202C"/>
          <w:sz w:val="20"/>
          <w:szCs w:val="20"/>
        </w:rPr>
        <w:t xml:space="preserve">Hard and Soft benefits are always displayed separately and never combined in any KPI, table, or export.</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12.4  Hold Conditions (Data Validation)</w:t>
      </w:r>
    </w:p>
    <w:p>
      <w:pPr>
        <w:spacing w:after="100"/>
      </w:pPr>
      <w:r>
        <w:rPr>
          <w:rFonts w:ascii="Calibri" w:cs="Calibri" w:eastAsia="Calibri" w:hAnsi="Calibri"/>
          <w:color w:val="1A202C"/>
          <w:sz w:val="20"/>
          <w:szCs w:val="20"/>
        </w:rPr>
        <w:t xml:space="preserve">The engine evaluates these conditions per programme. Critical holds block automatic funding until resolved or overridden with an evidence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0"/>
        <w:gridCol w:w="3600"/>
      </w:tblGrid>
      <w:tr>
        <w:tc>
          <w:tcPr>
            <w:tcW w:type="dxa" w:w="57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Hold Condition</w:t>
            </w:r>
          </w:p>
        </w:tc>
        <w:tc>
          <w:tcPr>
            <w:tcW w:type="dxa" w:w="36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Severity</w:t>
            </w:r>
          </w:p>
        </w:tc>
      </w:tr>
      <w:tr>
        <w:tc>
          <w:tcPr>
            <w:tcW w:type="dxa" w:w="5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Requested demand is non-numeric (source data issue)</w:t>
            </w:r>
          </w:p>
        </w:tc>
        <w:tc>
          <w:tcPr>
            <w:tcW w:type="dxa" w:w="3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Requested demand is negative</w:t>
            </w:r>
          </w:p>
        </w:tc>
        <w:tc>
          <w:tcPr>
            <w:tcW w:type="dxa" w:w="3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name missing in source</w:t>
            </w:r>
          </w:p>
        </w:tc>
        <w:tc>
          <w:tcPr>
            <w:tcW w:type="dxa" w:w="3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 positive requested demand</w:t>
            </w:r>
          </w:p>
        </w:tc>
        <w:tc>
          <w:tcPr>
            <w:tcW w:type="dxa" w:w="3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Priority TBD — mandatory field not submitted</w:t>
            </w:r>
          </w:p>
        </w:tc>
        <w:tc>
          <w:tcPr>
            <w:tcW w:type="dxa" w:w="3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Overall AOP decision field unmapped or uninterpretable</w:t>
            </w:r>
          </w:p>
        </w:tc>
        <w:tc>
          <w:tcPr>
            <w:tcW w:type="dxa" w:w="3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Contain band programme with no condition statement (P2 and above)</w:t>
            </w:r>
          </w:p>
        </w:tc>
        <w:tc>
          <w:tcPr>
            <w:tcW w:type="dxa" w:w="3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Below advanced merit floor (P4 programmes only)</w:t>
            </w:r>
          </w:p>
        </w:tc>
        <w:tc>
          <w:tcPr>
            <w:tcW w:type="dxa" w:w="3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 when score is below the merit threshold</w:t>
            </w:r>
          </w:p>
        </w:tc>
      </w:tr>
      <w:tr>
        <w:tc>
          <w:tcPr>
            <w:tcW w:type="dxa" w:w="5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Decision Band value contains an unresolvable source error (#, 0)</w:t>
            </w:r>
          </w:p>
        </w:tc>
        <w:tc>
          <w:tcPr>
            <w:tcW w:type="dxa" w:w="3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 — blocks auto-funding</w:t>
            </w:r>
          </w:p>
        </w:tc>
      </w:tr>
      <w:tr>
        <w:tc>
          <w:tcPr>
            <w:tcW w:type="dxa" w:w="5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Original source request missing or invalid</w:t>
            </w:r>
          </w:p>
        </w:tc>
        <w:tc>
          <w:tcPr>
            <w:tcW w:type="dxa" w:w="3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Warning — flagged, can be funded with evidence note</w:t>
            </w:r>
          </w:p>
        </w:tc>
      </w:tr>
      <w:tr>
        <w:tc>
          <w:tcPr>
            <w:tcW w:type="dxa" w:w="5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Negative submitted benefit</w:t>
            </w:r>
          </w:p>
        </w:tc>
        <w:tc>
          <w:tcPr>
            <w:tcW w:type="dxa" w:w="3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Warning — BCR set to 0, flagged for review</w:t>
            </w:r>
          </w:p>
        </w:tc>
      </w:tr>
      <w:tr>
        <w:tc>
          <w:tcPr>
            <w:tcW w:type="dxa" w:w="5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Benefit duration not supplied — defaulted to 3 years</w:t>
            </w:r>
          </w:p>
        </w:tc>
        <w:tc>
          <w:tcPr>
            <w:tcW w:type="dxa" w:w="3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Warning — BCR calculated with flag, not a block</w:t>
            </w:r>
          </w:p>
        </w:tc>
      </w:tr>
      <w:tr>
        <w:tc>
          <w:tcPr>
            <w:tcW w:type="dxa" w:w="5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Payback period is non-positive</w:t>
            </w:r>
          </w:p>
        </w:tc>
        <w:tc>
          <w:tcPr>
            <w:tcW w:type="dxa" w:w="3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Warning — payback points set to 0</w:t>
            </w:r>
          </w:p>
        </w:tc>
      </w:tr>
      <w:tr>
        <w:tc>
          <w:tcPr>
            <w:tcW w:type="dxa" w:w="5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Contain condition present (P1 only — mandatory obligations)</w:t>
            </w:r>
          </w:p>
        </w:tc>
        <w:tc>
          <w:tcPr>
            <w:tcW w:type="dxa" w:w="3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Warning — retained with flag</w:t>
            </w:r>
          </w:p>
        </w:tc>
      </w:tr>
    </w:tbl>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12.5  Privacy and Legal</w:t>
      </w:r>
    </w:p>
    <w:p>
      <w:pPr>
        <w:pStyle w:val="ListParagraph"/>
        <w:numPr>
          <w:ilvl w:val="0"/>
          <w:numId w:val="2"/>
        </w:numPr>
        <w:spacing w:after="60"/>
      </w:pPr>
      <w:r>
        <w:rPr>
          <w:rFonts w:ascii="Calibri" w:cs="Calibri" w:eastAsia="Calibri" w:hAnsi="Calibri"/>
          <w:color w:val="1A202C"/>
          <w:sz w:val="20"/>
          <w:szCs w:val="20"/>
        </w:rPr>
        <w:t xml:space="preserve">No data leaves the browser. All processing is client-side. No analytics, tracking, or telemetry.</w:t>
      </w:r>
    </w:p>
    <w:p>
      <w:pPr>
        <w:pStyle w:val="ListParagraph"/>
        <w:numPr>
          <w:ilvl w:val="0"/>
          <w:numId w:val="2"/>
        </w:numPr>
        <w:spacing w:after="60"/>
      </w:pPr>
      <w:r>
        <w:rPr>
          <w:rFonts w:ascii="Calibri" w:cs="Calibri" w:eastAsia="Calibri" w:hAnsi="Calibri"/>
          <w:color w:val="1A202C"/>
          <w:sz w:val="20"/>
          <w:szCs w:val="20"/>
        </w:rPr>
        <w:t xml:space="preserve">Source workbook contains programme and organisation data. Files must be handled under Philips data classification policies (Internal — Confidential).</w:t>
      </w:r>
    </w:p>
    <w:p>
      <w:pPr>
        <w:pStyle w:val="ListParagraph"/>
        <w:numPr>
          <w:ilvl w:val="0"/>
          <w:numId w:val="2"/>
        </w:numPr>
        <w:spacing w:after="60"/>
      </w:pPr>
      <w:r>
        <w:rPr>
          <w:rFonts w:ascii="Calibri" w:cs="Calibri" w:eastAsia="Calibri" w:hAnsi="Calibri"/>
          <w:color w:val="1A202C"/>
          <w:sz w:val="20"/>
          <w:szCs w:val="20"/>
        </w:rPr>
        <w:t xml:space="preserve">LFR ExCo Decision overrides encode programme exclusion decisions that have been bilaterally approved. Changes require ExCo sign-off.</w:t>
      </w:r>
    </w:p>
    <w:p>
      <w:pPr>
        <w:pStyle w:val="ListParagraph"/>
        <w:numPr>
          <w:ilvl w:val="0"/>
          <w:numId w:val="2"/>
        </w:numPr>
        <w:spacing w:after="60"/>
      </w:pPr>
      <w:r>
        <w:rPr>
          <w:rFonts w:ascii="Calibri" w:cs="Calibri" w:eastAsia="Calibri" w:hAnsi="Calibri"/>
          <w:color w:val="1A202C"/>
          <w:sz w:val="20"/>
          <w:szCs w:val="20"/>
        </w:rPr>
        <w:t xml:space="preserve">Exported files (Excel, JSON) must be distributed through approved Philips channels only (SharePoint ITPFM site, secure email).</w:t>
      </w:r>
    </w:p>
    <w:p>
      <w:r>
        <w:br w:type="page"/>
      </w:r>
    </w:p>
    <w:p>
      <w:pPr>
        <w:pBdr>
          <w:bottom w:val="single" w:color="0B5ED7" w:sz="6"/>
        </w:pBdr>
        <w:shd w:fill="003087" w:color="auto" w:val="clear"/>
        <w:spacing w:after="160" w:before="480"/>
      </w:pPr>
      <w:bookmarkStart w:name="s13_anchor" w:id="55"/>
      <w:r>
        <w:rPr>
          <w:rFonts w:ascii="Calibri" w:cs="Calibri" w:eastAsia="Calibri" w:hAnsi="Calibri"/>
          <w:b/>
          <w:bCs/>
          <w:color w:val="FFFFFF"/>
          <w:sz w:val="34"/>
          <w:szCs w:val="34"/>
        </w:rPr>
        <w:t xml:space="preserve">13.  Out of Scope — Version 6.10.26</w:t>
      </w:r>
      <w:bookmarkEnd w:id="5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Item</w:t>
            </w:r>
          </w:p>
        </w:tc>
        <w:tc>
          <w:tcPr>
            <w:tcW w:type="dxa" w:w="65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Why Out of Scope</w:t>
            </w:r>
          </w:p>
        </w:tc>
      </w:tr>
      <w:tr>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Multi-user real-time collaboration</w:t>
            </w:r>
          </w:p>
        </w:tc>
        <w:tc>
          <w:tcPr>
            <w:tcW w:type="dxa" w:w="65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Single-file HTML with localStorage cannot support concurrent editing. Addressed in Phase 1 of the Future Roadmap.</w:t>
            </w:r>
          </w:p>
        </w:tc>
      </w:tr>
      <w:tr>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Live SharePoint or API data refresh</w:t>
            </w:r>
          </w:p>
        </w:tc>
        <w:tc>
          <w:tcPr>
            <w:tcW w:type="dxa" w:w="65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 ingestion via file upload is the intentional mechanism for this version. Live API connection is a Phase 1 roadmap item.</w:t>
            </w:r>
          </w:p>
        </w:tc>
      </w:tr>
      <w:tr>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Mobile or tablet layout</w:t>
            </w:r>
          </w:p>
        </w:tc>
        <w:tc>
          <w:tcPr>
            <w:tcW w:type="dxa" w:w="65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Designed for large-screen use (1280px and above) in facilitated ExCo and ITPFM sessions. Mobile layout is a Phase 3 roadmap item.</w:t>
            </w:r>
          </w:p>
        </w:tc>
      </w:tr>
      <w:tr>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Role-based access control</w:t>
            </w:r>
          </w:p>
        </w:tc>
        <w:tc>
          <w:tcPr>
            <w:tcW w:type="dxa" w:w="65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Single HTML file with no server means all users who open the file have equal access. RBAC is addressed in Phase 1.</w:t>
            </w:r>
          </w:p>
        </w:tc>
      </w:tr>
      <w:tr>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Automated notifications (email, Teams)</w:t>
            </w:r>
          </w:p>
        </w:tc>
        <w:tc>
          <w:tcPr>
            <w:tcW w:type="dxa" w:w="65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 server component in this version. Notification system is a Phase 3 roadmap item.</w:t>
            </w:r>
          </w:p>
        </w:tc>
      </w:tr>
      <w:tr>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Integration with Jira, ServiceNow, or project tools</w:t>
            </w:r>
          </w:p>
        </w:tc>
        <w:tc>
          <w:tcPr>
            <w:tcW w:type="dxa" w:w="65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IDs are reference-only. Live sync is not planned for this version.</w:t>
            </w:r>
          </w:p>
        </w:tc>
      </w:tr>
      <w:tr>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Automatic partial allocation by the engine</w:t>
            </w:r>
          </w:p>
        </w:tc>
        <w:tc>
          <w:tcPr>
            <w:tcW w:type="dxa" w:w="65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By design, the engine funds whole programmes only. Partial scope is always a conscious, manual, documented decision.</w:t>
            </w:r>
          </w:p>
        </w:tc>
      </w:tr>
      <w:tr>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Multi-year historical trend analysis</w:t>
            </w:r>
          </w:p>
        </w:tc>
        <w:tc>
          <w:tcPr>
            <w:tcW w:type="dxa" w:w="65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AOP 2026 reference data is embedded. Multi-year trend analysis is a Phase 3 roadmap item.</w:t>
            </w:r>
          </w:p>
        </w:tc>
      </w:tr>
      <w:tr>
        <w:tc>
          <w:tcPr>
            <w:tcW w:type="dxa" w:w="2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Automatic currency conversion</w:t>
            </w:r>
          </w:p>
        </w:tc>
        <w:tc>
          <w:tcPr>
            <w:tcW w:type="dxa" w:w="65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 amounts in M€. No multi-currency support in this version.</w:t>
            </w:r>
          </w:p>
        </w:tc>
      </w:tr>
      <w:tr>
        <w:tc>
          <w:tcPr>
            <w:tcW w:type="dxa" w:w="2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Benefit realisation tracking</w:t>
            </w:r>
          </w:p>
        </w:tc>
        <w:tc>
          <w:tcPr>
            <w:tcW w:type="dxa" w:w="65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The tool records expected benefits at submission. Tracking actual realised benefits post-delivery is a future capability.</w:t>
            </w:r>
          </w:p>
        </w:tc>
      </w:tr>
    </w:tbl>
    <w:p>
      <w:r>
        <w:br w:type="page"/>
      </w:r>
    </w:p>
    <w:p>
      <w:pPr>
        <w:pBdr>
          <w:bottom w:val="single" w:color="0B5ED7" w:sz="6"/>
        </w:pBdr>
        <w:shd w:fill="003087" w:color="auto" w:val="clear"/>
        <w:spacing w:after="160" w:before="480"/>
      </w:pPr>
      <w:bookmarkStart w:name="s14_anchor" w:id="56"/>
      <w:r>
        <w:rPr>
          <w:rFonts w:ascii="Calibri" w:cs="Calibri" w:eastAsia="Calibri" w:hAnsi="Calibri"/>
          <w:b/>
          <w:bCs/>
          <w:color w:val="FFFFFF"/>
          <w:sz w:val="34"/>
          <w:szCs w:val="34"/>
        </w:rPr>
        <w:t xml:space="preserve">14.  Open Questions</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360"/>
        <w:gridCol w:w="2000"/>
        <w:gridCol w:w="2300"/>
      </w:tblGrid>
      <w:tr>
        <w:tc>
          <w:tcPr>
            <w:tcW w:type="dxa" w:w="7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ID</w:t>
            </w:r>
          </w:p>
        </w:tc>
        <w:tc>
          <w:tcPr>
            <w:tcW w:type="dxa" w:w="43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Question</w:t>
            </w:r>
          </w:p>
        </w:tc>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Owner</w:t>
            </w:r>
          </w:p>
        </w:tc>
        <w:tc>
          <w:tcPr>
            <w:tcW w:type="dxa" w:w="23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Due</w:t>
            </w:r>
          </w:p>
        </w:tc>
      </w:tr>
      <w:tr>
        <w:tc>
          <w:tcPr>
            <w:tcW w:type="dxa" w:w="7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OQ-01</w:t>
            </w:r>
          </w:p>
        </w:tc>
        <w:tc>
          <w:tcPr>
            <w:tcW w:type="dxa" w:w="4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Should the merit floor for P4 (currently 45 points) be fixed by ITPFM or negotiable per ExCo session? A lower floor funds more programmes at lower quality; a higher floor protects BCR average at the cost of coverage.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Lead</w:t>
            </w:r>
          </w:p>
        </w:tc>
        <w:tc>
          <w:tcPr>
            <w:tcW w:type="dxa" w:w="2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Before AOP 2027 finalisation</w:t>
            </w:r>
          </w:p>
        </w:tc>
      </w:tr>
      <w:tr>
        <w:tc>
          <w:tcPr>
            <w:tcW w:type="dxa" w:w="7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OQ-02</w:t>
            </w:r>
          </w:p>
        </w:tc>
        <w:tc>
          <w:tcPr>
            <w:tcW w:type="dxa" w:w="4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For On Top Of requests: should the CFO approval be recorded in the tool by the ITPFM team (current approach) or should ExCo leaders have a self-service approval button in a future version?</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CTO Office</w:t>
            </w:r>
          </w:p>
        </w:tc>
        <w:tc>
          <w:tcPr>
            <w:tcW w:type="dxa" w:w="2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Phase 1 design</w:t>
            </w:r>
          </w:p>
        </w:tc>
      </w:tr>
      <w:tr>
        <w:tc>
          <w:tcPr>
            <w:tcW w:type="dxa" w:w="7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OQ-03</w:t>
            </w:r>
          </w:p>
        </w:tc>
        <w:tc>
          <w:tcPr>
            <w:tcW w:type="dxa" w:w="4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Operations TCO data currently comes from the Bill of IT workbook. Should Operations data be directly imported from the SAP FI/CO system in future to eliminate manual workbook maintenance?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Finance Controller</w:t>
            </w:r>
          </w:p>
        </w:tc>
        <w:tc>
          <w:tcPr>
            <w:tcW w:type="dxa" w:w="2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Phase 1 scoping</w:t>
            </w:r>
          </w:p>
        </w:tc>
      </w:tr>
      <w:tr>
        <w:tc>
          <w:tcPr>
            <w:tcW w:type="dxa" w:w="7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OQ-04</w:t>
            </w:r>
          </w:p>
        </w:tc>
        <w:tc>
          <w:tcPr>
            <w:tcW w:type="dxa" w:w="4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NDA programmes are currently visible in the Modeler to all ITPFM users. Should NDA programmes be masked for ExCo leaders who are not the NDA programme owner?</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 Legal</w:t>
            </w:r>
          </w:p>
        </w:tc>
        <w:tc>
          <w:tcPr>
            <w:tcW w:type="dxa" w:w="2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November 2026</w:t>
            </w:r>
          </w:p>
        </w:tc>
      </w:tr>
      <w:tr>
        <w:tc>
          <w:tcPr>
            <w:tcW w:type="dxa" w:w="7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OQ-05</w:t>
            </w:r>
          </w:p>
        </w:tc>
        <w:tc>
          <w:tcPr>
            <w:tcW w:type="dxa" w:w="4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Balanced Portfolio sub-rules (CCB 70%, ISC 10 M€, STO 20 M€, Regions 5 M€): are these fixed for AOP 2027 or should they be configurable per scenario without a code change?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CTO Office</w:t>
            </w:r>
          </w:p>
        </w:tc>
        <w:tc>
          <w:tcPr>
            <w:tcW w:type="dxa" w:w="23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Q4 2026</w:t>
            </w:r>
          </w:p>
        </w:tc>
      </w:tr>
      <w:tr>
        <w:tc>
          <w:tcPr>
            <w:tcW w:type="dxa" w:w="7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OQ-06</w:t>
            </w:r>
          </w:p>
        </w:tc>
        <w:tc>
          <w:tcPr>
            <w:tcW w:type="dxa" w:w="4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Continuous Prioritization: what is the minimum data quality threshold for a mid-year portfolio refresh to be valid? (i.e., how complete does a partial resubmission need to be to run through the engine?)</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ITPFM Lead</w:t>
            </w:r>
          </w:p>
        </w:tc>
        <w:tc>
          <w:tcPr>
            <w:tcW w:type="dxa" w:w="23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Q1 2027</w:t>
            </w:r>
          </w:p>
        </w:tc>
      </w:tr>
    </w:tbl>
    <w:p>
      <w:r>
        <w:br w:type="page"/>
      </w:r>
    </w:p>
    <w:p>
      <w:pPr>
        <w:pBdr>
          <w:bottom w:val="single" w:color="0B5ED7" w:sz="6"/>
        </w:pBdr>
        <w:shd w:fill="003087" w:color="auto" w:val="clear"/>
        <w:spacing w:after="160" w:before="480"/>
      </w:pPr>
      <w:bookmarkStart w:name="s15_anchor" w:id="57"/>
      <w:r>
        <w:rPr>
          <w:rFonts w:ascii="Calibri" w:cs="Calibri" w:eastAsia="Calibri" w:hAnsi="Calibri"/>
          <w:b/>
          <w:bCs/>
          <w:color w:val="FFFFFF"/>
          <w:sz w:val="34"/>
          <w:szCs w:val="34"/>
        </w:rPr>
        <w:t xml:space="preserve">15.  Requirements Traceability Index</w:t>
      </w:r>
      <w:bookmarkEnd w:id="57"/>
    </w:p>
    <w:p>
      <w:pPr>
        <w:spacing w:after="100"/>
      </w:pPr>
      <w:r>
        <w:rPr>
          <w:rFonts w:ascii="Calibri" w:cs="Calibri" w:eastAsia="Calibri" w:hAnsi="Calibri"/>
          <w:color w:val="1A202C"/>
          <w:sz w:val="20"/>
          <w:szCs w:val="20"/>
        </w:rPr>
        <w:t xml:space="preserve">Cross-reference between requirements, the tool features that implement them, and the user journeys that exercise them.</w:t>
      </w:r>
    </w:p>
    <w:p>
      <w:pPr>
        <w:spacing w:after="80"/>
      </w:pPr>
      <w:r>
        <w:rPr>
          <w:rFonts w:ascii="Calibri" w:cs="Calibri" w:eastAsia="Calibri" w:hAnsi="Calibri"/>
          <w:color w:val="1A202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500"/>
        <w:gridCol w:w="2000"/>
        <w:gridCol w:w="1400"/>
        <w:gridCol w:w="900"/>
      </w:tblGrid>
      <w:tr>
        <w:tc>
          <w:tcPr>
            <w:tcW w:type="dxa" w:w="8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Req ID</w:t>
            </w:r>
          </w:p>
        </w:tc>
        <w:tc>
          <w:tcPr>
            <w:tcW w:type="dxa" w:w="35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Requirement</w:t>
            </w:r>
          </w:p>
        </w:tc>
        <w:tc>
          <w:tcPr>
            <w:tcW w:type="dxa" w:w="20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Feature</w:t>
            </w:r>
          </w:p>
        </w:tc>
        <w:tc>
          <w:tcPr>
            <w:tcW w:type="dxa" w:w="1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CUJ</w:t>
            </w:r>
          </w:p>
        </w:tc>
        <w:tc>
          <w:tcPr>
            <w:tcW w:type="dxa" w:w="9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Priority</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REQ-01</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Total IT AOP per organisation = Operations TCO + Funded Programmes.</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Finance Attribution, 7.1 KPI Dashboard</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CUJ-01</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REQ-02</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Operations data is read-only. It does not change with lever or override decisions.</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Finance Attribution</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CUJ-01, CUJ-04</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REQ-03</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Every programme classified into exactly one of P1 to P5 deterministically from the same source data.</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Data Ingestion</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CUJ-04</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REQ-04</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Every programme receives a merit score 0 to 100 using the five-dimension weighted model.</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Merit Scoring Engine</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CUJ-05, CUJ-02</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REQ-05</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Hard and Soft benefits displayed separately in every view. Never combined.</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KPI Dashboard</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CUJ-01, CUJ-03</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REQ-06</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Programmes funded whole in merit rank order within each stage. No automatic partial splits.</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Allocation Engine</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CUJ-04</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REQ-07</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Total allocation never exceeds budget multiplied by (1 + tolerance percentage).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Allocation Engine</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CUJ-03, CUJ-04</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REQ-08</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PMI programmes funded on top of base budget. Not attributed to any BU base IT charge.</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Data Ingestion, Finance Attribution</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CUJ-01</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REQ-09</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On Top Of funding: any programme can be flagged Must Do On Top with a mandatory approver record and rationale note.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6.3 Must Do On Top, 7.1 Overrides</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CUJ-02, CUJ-03</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REQ-10</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Every manual override (include, exclude, partial scope) requires a written rationale note.</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Manual Override System</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CUJ-03</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REQ-11</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 override decisions recorded in an immutable time-stamped event log.</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Scenario Management</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CUJ-03, CUJ-04</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REQ-12</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ExCo Trade-off Apply action does not change Total IT AOP.</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ExCo Trade-off Mode</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CUJ-03</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REQ-13</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Finalised scenarios reject all mutations except Fork.</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Scenario Management</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CUJ-04</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REQ-14</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Excluded records captured in a separate register. Nothing silently discarded.</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Data Ingestion, 7.2 Tab 7</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CUJ-05</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REQ-15</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Programme scoring fully visible: every score component displayed with tier and points per programme.</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7.2 Tab 2 Scoring Details</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CUJ-05</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REQ-16</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 Extract supports multi-select filtering across seven dimensions.</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7.2 Tab 1 Programme Data</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CUJ-05</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Medium</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REQ-17</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Finance attribution ledger accounts for 100% of funded programme amounts to organisations.</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Finance Attribution</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CUJ-04</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REQ-18</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 data processing is client-side. No data transmitted to any server.</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12.1 Platform Architecture</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REQ-19</w:t>
            </w:r>
          </w:p>
        </w:tc>
        <w:tc>
          <w:tcPr>
            <w:tcW w:type="dxa" w:w="35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Tool operates fully offline after HTML file load.</w:t>
            </w:r>
          </w:p>
        </w:tc>
        <w:tc>
          <w:tcPr>
            <w:tcW w:type="dxa" w:w="20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12.1 Platform Architecture</w:t>
            </w:r>
          </w:p>
        </w:tc>
        <w:tc>
          <w:tcPr>
            <w:tcW w:type="dxa" w:w="1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All</w:t>
            </w:r>
          </w:p>
        </w:tc>
        <w:tc>
          <w:tcPr>
            <w:tcW w:type="dxa" w:w="9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8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REQ-20</w:t>
            </w:r>
          </w:p>
        </w:tc>
        <w:tc>
          <w:tcPr>
            <w:tcW w:type="dxa" w:w="35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Carry-over funding capped at minimum of (Requested, Carry Over Baselined).</w:t>
            </w:r>
          </w:p>
        </w:tc>
        <w:tc>
          <w:tcPr>
            <w:tcW w:type="dxa" w:w="20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7.1 Allocation Engine</w:t>
            </w:r>
          </w:p>
        </w:tc>
        <w:tc>
          <w:tcPr>
            <w:tcW w:type="dxa" w:w="1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CUJ-04</w:t>
            </w:r>
          </w:p>
        </w:tc>
        <w:tc>
          <w:tcPr>
            <w:tcW w:type="dxa" w:w="9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Critical</w:t>
            </w:r>
          </w:p>
        </w:tc>
      </w:tr>
    </w:tbl>
    <w:p>
      <w:r>
        <w:br w:type="page"/>
      </w:r>
    </w:p>
    <w:p>
      <w:pPr>
        <w:pBdr>
          <w:bottom w:val="single" w:color="0B5ED7" w:sz="6"/>
        </w:pBdr>
        <w:shd w:fill="003087" w:color="auto" w:val="clear"/>
        <w:spacing w:after="160" w:before="480"/>
      </w:pPr>
      <w:bookmarkStart w:name="s16_anchor" w:id="58"/>
      <w:r>
        <w:rPr>
          <w:rFonts w:ascii="Calibri" w:cs="Calibri" w:eastAsia="Calibri" w:hAnsi="Calibri"/>
          <w:b/>
          <w:bCs/>
          <w:color w:val="FFFFFF"/>
          <w:sz w:val="34"/>
          <w:szCs w:val="34"/>
        </w:rPr>
        <w:t xml:space="preserve">16.  Future Roadmap — Continuous Prioritization</w:t>
      </w:r>
      <w:bookmarkEnd w:id="58"/>
    </w:p>
    <w:p>
      <w:pPr>
        <w:pBdr>
          <w:bottom w:val="single" w:color="D6E4F7" w:sz="4"/>
        </w:pBdr>
        <w:spacing w:after="100" w:before="320"/>
      </w:pPr>
      <w:r>
        <w:rPr>
          <w:rFonts w:ascii="Calibri" w:cs="Calibri" w:eastAsia="Calibri" w:hAnsi="Calibri"/>
          <w:b/>
          <w:bCs/>
          <w:color w:val="003087"/>
          <w:sz w:val="26"/>
          <w:szCs w:val="26"/>
        </w:rPr>
        <w:t xml:space="preserve">16.1  From Annual Event to Continuous Capability</w:t>
      </w:r>
    </w:p>
    <w:p>
      <w:pPr>
        <w:spacing w:after="100"/>
      </w:pPr>
      <w:r>
        <w:rPr>
          <w:rFonts w:ascii="Calibri" w:cs="Calibri" w:eastAsia="Calibri" w:hAnsi="Calibri"/>
          <w:color w:val="1A202C"/>
          <w:sz w:val="20"/>
          <w:szCs w:val="20"/>
        </w:rPr>
        <w:t xml:space="preserve">The AOP 2027 tool is the foundation. The strategic ambition is to evolve from an annual, batch, offline planning exercise to a continuous, real-time, AI-assisted portfolio management capability that gives Philips leadership a living view of IT investment value throughout the year.</w:t>
      </w:r>
    </w:p>
    <w:p>
      <w:pPr>
        <w:spacing w:after="80"/>
      </w:pPr>
      <w:r>
        <w:rPr>
          <w:rFonts w:ascii="Calibri" w:cs="Calibri" w:eastAsia="Calibri" w:hAnsi="Calibri"/>
          <w:color w:val="1A202C"/>
          <w:sz w:val="20"/>
          <w:szCs w:val="20"/>
        </w:rPr>
        <w:t xml:space="preserve"/>
      </w:r>
    </w:p>
    <w:p>
      <w:pPr>
        <w:spacing w:after="100"/>
      </w:pPr>
      <w:r>
        <w:rPr>
          <w:rFonts w:ascii="Calibri" w:cs="Calibri" w:eastAsia="Calibri" w:hAnsi="Calibri"/>
          <w:color w:val="1A202C"/>
          <w:sz w:val="20"/>
          <w:szCs w:val="20"/>
        </w:rPr>
        <w:t xml:space="preserve">This evolution happens in three phases, each building on the one before.</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16.2  Phase 1 — Infrastructure and Live Collaboration (Q4 2026 to Q1 2027)</w:t>
      </w:r>
    </w:p>
    <w:p>
      <w:pPr>
        <w:spacing w:after="80" w:before="200"/>
      </w:pPr>
      <w:r>
        <w:rPr>
          <w:rFonts w:ascii="Calibri" w:cs="Calibri" w:eastAsia="Calibri" w:hAnsi="Calibri"/>
          <w:b/>
          <w:bCs/>
          <w:color w:val="0B5ED7"/>
          <w:sz w:val="22"/>
          <w:szCs w:val="22"/>
        </w:rPr>
        <w:t xml:space="preserve">Live Data and Multi-User Access</w:t>
      </w:r>
    </w:p>
    <w:p>
      <w:pPr>
        <w:pStyle w:val="ListParagraph"/>
        <w:numPr>
          <w:ilvl w:val="0"/>
          <w:numId w:val="2"/>
        </w:numPr>
        <w:spacing w:after="60"/>
      </w:pPr>
      <w:r>
        <w:rPr>
          <w:rFonts w:ascii="Calibri" w:cs="Calibri" w:eastAsia="Calibri" w:hAnsi="Calibri"/>
          <w:color w:val="1A202C"/>
          <w:sz w:val="20"/>
          <w:szCs w:val="20"/>
        </w:rPr>
        <w:t xml:space="preserve">Deploy the allocation engine as a REST API service hosted in Philips Azure cloud (Philips internal tenant, not public SaaS).</w:t>
      </w:r>
    </w:p>
    <w:p>
      <w:pPr>
        <w:pStyle w:val="ListParagraph"/>
        <w:numPr>
          <w:ilvl w:val="0"/>
          <w:numId w:val="2"/>
        </w:numPr>
        <w:spacing w:after="60"/>
      </w:pPr>
      <w:r>
        <w:rPr>
          <w:rFonts w:ascii="Calibri" w:cs="Calibri" w:eastAsia="Calibri" w:hAnsi="Calibri"/>
          <w:color w:val="1A202C"/>
          <w:sz w:val="20"/>
          <w:szCs w:val="20"/>
        </w:rPr>
        <w:t xml:space="preserve">Connect directly to the SharePoint ITPFM site as the live data source. When the source workbook is updated, all open sessions see the latest data within minutes without a manual file upload.</w:t>
      </w:r>
    </w:p>
    <w:p>
      <w:pPr>
        <w:pStyle w:val="ListParagraph"/>
        <w:numPr>
          <w:ilvl w:val="0"/>
          <w:numId w:val="2"/>
        </w:numPr>
        <w:spacing w:after="60"/>
      </w:pPr>
      <w:r>
        <w:rPr>
          <w:rFonts w:ascii="Calibri" w:cs="Calibri" w:eastAsia="Calibri" w:hAnsi="Calibri"/>
          <w:color w:val="1A202C"/>
          <w:sz w:val="20"/>
          <w:szCs w:val="20"/>
        </w:rPr>
        <w:t xml:space="preserve">Integrate with Philips Azure Active Directory for Single Sign-On. Role-based access: ITPFM Admin (full edit), ExCo Leader (view + apply own trade-offs), Programme Manager (read-only), Finance Controller (finance view + export).</w:t>
      </w:r>
    </w:p>
    <w:p>
      <w:pPr>
        <w:pStyle w:val="ListParagraph"/>
        <w:numPr>
          <w:ilvl w:val="0"/>
          <w:numId w:val="2"/>
        </w:numPr>
        <w:spacing w:after="60"/>
      </w:pPr>
      <w:r>
        <w:rPr>
          <w:rFonts w:ascii="Calibri" w:cs="Calibri" w:eastAsia="Calibri" w:hAnsi="Calibri"/>
          <w:color w:val="1A202C"/>
          <w:sz w:val="20"/>
          <w:szCs w:val="20"/>
        </w:rPr>
        <w:t xml:space="preserve">Scenario persistence moves from localStorage to a shared Azure database. Multiple ITPFM team members can edit the same scenario simultaneously with conflict resolution.</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Operational Improvements</w:t>
      </w:r>
    </w:p>
    <w:p>
      <w:pPr>
        <w:pStyle w:val="ListParagraph"/>
        <w:numPr>
          <w:ilvl w:val="0"/>
          <w:numId w:val="2"/>
        </w:numPr>
        <w:spacing w:after="60"/>
      </w:pPr>
      <w:r>
        <w:rPr>
          <w:rFonts w:ascii="Calibri" w:cs="Calibri" w:eastAsia="Calibri" w:hAnsi="Calibri"/>
          <w:color w:val="1A202C"/>
          <w:sz w:val="20"/>
          <w:szCs w:val="20"/>
        </w:rPr>
        <w:t xml:space="preserve">Operations TCO data sourced directly from SAP FI/CO via API, eliminating manual workbook maintenance.</w:t>
      </w:r>
    </w:p>
    <w:p>
      <w:pPr>
        <w:pStyle w:val="ListParagraph"/>
        <w:numPr>
          <w:ilvl w:val="0"/>
          <w:numId w:val="2"/>
        </w:numPr>
        <w:spacing w:after="60"/>
      </w:pPr>
      <w:r>
        <w:rPr>
          <w:rFonts w:ascii="Calibri" w:cs="Calibri" w:eastAsia="Calibri" w:hAnsi="Calibri"/>
          <w:color w:val="1A202C"/>
          <w:sz w:val="20"/>
          <w:szCs w:val="20"/>
        </w:rPr>
        <w:t xml:space="preserve">Automated data quality validation on upload: the tool flags incomplete submissions, missing priority fields, and benefit evidence gaps before the first allocation run.</w:t>
      </w:r>
    </w:p>
    <w:p>
      <w:pPr>
        <w:pStyle w:val="ListParagraph"/>
        <w:numPr>
          <w:ilvl w:val="0"/>
          <w:numId w:val="2"/>
        </w:numPr>
        <w:spacing w:after="60"/>
      </w:pPr>
      <w:r>
        <w:rPr>
          <w:rFonts w:ascii="Calibri" w:cs="Calibri" w:eastAsia="Calibri" w:hAnsi="Calibri"/>
          <w:color w:val="1A202C"/>
          <w:sz w:val="20"/>
          <w:szCs w:val="20"/>
        </w:rPr>
        <w:t xml:space="preserve">Notification system: programme managers notified via Teams when their programme status changes.</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16.3  Phase 2 — Agentic AI Capabilities (Q2 2027)</w:t>
      </w:r>
    </w:p>
    <w:p>
      <w:pPr>
        <w:spacing w:after="80" w:before="200"/>
      </w:pPr>
      <w:r>
        <w:rPr>
          <w:rFonts w:ascii="Calibri" w:cs="Calibri" w:eastAsia="Calibri" w:hAnsi="Calibri"/>
          <w:b/>
          <w:bCs/>
          <w:color w:val="0B5ED7"/>
          <w:sz w:val="22"/>
          <w:szCs w:val="22"/>
        </w:rPr>
        <w:t xml:space="preserve">AI Portfolio Advisor (built on Claude)</w:t>
      </w:r>
    </w:p>
    <w:p>
      <w:pPr>
        <w:pStyle w:val="ListParagraph"/>
        <w:numPr>
          <w:ilvl w:val="0"/>
          <w:numId w:val="2"/>
        </w:numPr>
        <w:spacing w:after="60"/>
      </w:pPr>
      <w:r>
        <w:rPr>
          <w:rFonts w:ascii="Calibri" w:cs="Calibri" w:eastAsia="Calibri" w:hAnsi="Calibri"/>
          <w:color w:val="1A202C"/>
          <w:sz w:val="20"/>
          <w:szCs w:val="20"/>
        </w:rPr>
        <w:t xml:space="preserve">An integrated AI assistant that answers natural-language questions about the portfolio in plain English: "Which unfunded programmes have the strongest BCR?" or "If I raise the merit floor to 55, how does the hard benefit total change?"</w:t>
      </w:r>
    </w:p>
    <w:p>
      <w:pPr>
        <w:pStyle w:val="ListParagraph"/>
        <w:numPr>
          <w:ilvl w:val="0"/>
          <w:numId w:val="2"/>
        </w:numPr>
        <w:spacing w:after="60"/>
      </w:pPr>
      <w:r>
        <w:rPr>
          <w:rFonts w:ascii="Calibri" w:cs="Calibri" w:eastAsia="Calibri" w:hAnsi="Calibri"/>
          <w:color w:val="1A202C"/>
          <w:sz w:val="20"/>
          <w:szCs w:val="20"/>
        </w:rPr>
        <w:t xml:space="preserve">Scenario recommendation engine: the AI analyses the current allocation and suggests lever settings that maximise total hard benefit for a given budget, respecting all stage constraints and protected overrides.</w:t>
      </w:r>
    </w:p>
    <w:p>
      <w:pPr>
        <w:pStyle w:val="ListParagraph"/>
        <w:numPr>
          <w:ilvl w:val="0"/>
          <w:numId w:val="2"/>
        </w:numPr>
        <w:spacing w:after="60"/>
      </w:pPr>
      <w:r>
        <w:rPr>
          <w:rFonts w:ascii="Calibri" w:cs="Calibri" w:eastAsia="Calibri" w:hAnsi="Calibri"/>
          <w:color w:val="1A202C"/>
          <w:sz w:val="20"/>
          <w:szCs w:val="20"/>
        </w:rPr>
        <w:t xml:space="preserve">Hold condition assistant: for common hold patterns (Contain programmes without a condition statement, benefit duration not supplied), the AI drafts a proposed resolution for human review and one-click approval.</w:t>
      </w:r>
    </w:p>
    <w:p>
      <w:pPr>
        <w:pStyle w:val="ListParagraph"/>
        <w:numPr>
          <w:ilvl w:val="0"/>
          <w:numId w:val="2"/>
        </w:numPr>
        <w:spacing w:after="60"/>
      </w:pPr>
      <w:r>
        <w:rPr>
          <w:rFonts w:ascii="Calibri" w:cs="Calibri" w:eastAsia="Calibri" w:hAnsi="Calibri"/>
          <w:color w:val="1A202C"/>
          <w:sz w:val="20"/>
          <w:szCs w:val="20"/>
        </w:rPr>
        <w:t xml:space="preserve">Anomaly detection: AI flags statistically unusual merit scores, outlier BCR values that appear inflated, and programmes with inconsistent priority and consequence classifications.</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On Top Of Recommendation Engine</w:t>
      </w:r>
    </w:p>
    <w:p>
      <w:pPr>
        <w:pStyle w:val="ListParagraph"/>
        <w:numPr>
          <w:ilvl w:val="0"/>
          <w:numId w:val="2"/>
        </w:numPr>
        <w:spacing w:after="60"/>
      </w:pPr>
      <w:r>
        <w:rPr>
          <w:rFonts w:ascii="Calibri" w:cs="Calibri" w:eastAsia="Calibri" w:hAnsi="Calibri"/>
          <w:color w:val="1A202C"/>
          <w:sz w:val="20"/>
          <w:szCs w:val="20"/>
        </w:rPr>
        <w:t xml:space="preserve">AI pre-analyses every unfunded programme and generates a one-paragraph data-backed investment case for the strongest On Top Of candidates, ready for the BU leader to review and take to the CFO.</w:t>
      </w:r>
    </w:p>
    <w:p>
      <w:pPr>
        <w:pStyle w:val="ListParagraph"/>
        <w:numPr>
          <w:ilvl w:val="0"/>
          <w:numId w:val="2"/>
        </w:numPr>
        <w:spacing w:after="60"/>
      </w:pPr>
      <w:r>
        <w:rPr>
          <w:rFonts w:ascii="Calibri" w:cs="Calibri" w:eastAsia="Calibri" w:hAnsi="Calibri"/>
          <w:color w:val="1A202C"/>
          <w:sz w:val="20"/>
          <w:szCs w:val="20"/>
        </w:rPr>
        <w:t xml:space="preserve">AI generates a CFO summary document for each On Top Of request: programme name, merit score, BCR, consequence, expected hard and soft benefit, cost of not doing it, and comparable funded programmes at similar BCR.</w:t>
      </w:r>
    </w:p>
    <w:p>
      <w:pPr>
        <w:pStyle w:val="ListParagraph"/>
        <w:numPr>
          <w:ilvl w:val="0"/>
          <w:numId w:val="2"/>
        </w:numPr>
        <w:spacing w:after="60"/>
      </w:pPr>
      <w:r>
        <w:rPr>
          <w:rFonts w:ascii="Calibri" w:cs="Calibri" w:eastAsia="Calibri" w:hAnsi="Calibri"/>
          <w:color w:val="1A202C"/>
          <w:sz w:val="20"/>
          <w:szCs w:val="20"/>
        </w:rPr>
        <w:t xml:space="preserve">All AI suggestions require explicit human approval before any decision is recorded. The human remains in the loop.</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16.4  Phase 3 — Continuous Prioritization Portal (Q3 2027)</w:t>
      </w:r>
    </w:p>
    <w:p>
      <w:pPr>
        <w:spacing w:after="80" w:before="200"/>
      </w:pPr>
      <w:r>
        <w:rPr>
          <w:rFonts w:ascii="Calibri" w:cs="Calibri" w:eastAsia="Calibri" w:hAnsi="Calibri"/>
          <w:b/>
          <w:bCs/>
          <w:color w:val="0B5ED7"/>
          <w:sz w:val="22"/>
          <w:szCs w:val="22"/>
        </w:rPr>
        <w:t xml:space="preserve">Quarterly Portfolio Reviews</w:t>
      </w:r>
    </w:p>
    <w:p>
      <w:pPr>
        <w:pStyle w:val="ListParagraph"/>
        <w:numPr>
          <w:ilvl w:val="0"/>
          <w:numId w:val="2"/>
        </w:numPr>
        <w:spacing w:after="60"/>
      </w:pPr>
      <w:r>
        <w:rPr>
          <w:rFonts w:ascii="Calibri" w:cs="Calibri" w:eastAsia="Calibri" w:hAnsi="Calibri"/>
          <w:color w:val="1A202C"/>
          <w:sz w:val="20"/>
          <w:szCs w:val="20"/>
        </w:rPr>
        <w:t xml:space="preserve">Move from annual AOP cycle to quarterly portfolio refresh. Updated business cases, new programme submissions, and re-scored merit can trigger re-ranking mid-year.</w:t>
      </w:r>
    </w:p>
    <w:p>
      <w:pPr>
        <w:pStyle w:val="ListParagraph"/>
        <w:numPr>
          <w:ilvl w:val="0"/>
          <w:numId w:val="2"/>
        </w:numPr>
        <w:spacing w:after="60"/>
      </w:pPr>
      <w:r>
        <w:rPr>
          <w:rFonts w:ascii="Calibri" w:cs="Calibri" w:eastAsia="Calibri" w:hAnsi="Calibri"/>
          <w:color w:val="1A202C"/>
          <w:sz w:val="20"/>
          <w:szCs w:val="20"/>
        </w:rPr>
        <w:t xml:space="preserve">Delta view: show what has changed since the last review — which programmes have moved up or down the merit ranking, which holds have been cleared, which On Top programmes have been delivered.</w:t>
      </w:r>
    </w:p>
    <w:p>
      <w:pPr>
        <w:pStyle w:val="ListParagraph"/>
        <w:numPr>
          <w:ilvl w:val="0"/>
          <w:numId w:val="2"/>
        </w:numPr>
        <w:spacing w:after="60"/>
      </w:pPr>
      <w:r>
        <w:rPr>
          <w:rFonts w:ascii="Calibri" w:cs="Calibri" w:eastAsia="Calibri" w:hAnsi="Calibri"/>
          <w:color w:val="1A202C"/>
          <w:sz w:val="20"/>
          <w:szCs w:val="20"/>
        </w:rPr>
        <w:t xml:space="preserve">Benefit realisation tracking: connect AOP programme commitments to actual delivered benefits from programme closure reports. Over time, this creates a feedback loop that improves the quality of benefit submissions.</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BU Leader Self-Service Portal</w:t>
      </w:r>
    </w:p>
    <w:p>
      <w:pPr>
        <w:pStyle w:val="ListParagraph"/>
        <w:numPr>
          <w:ilvl w:val="0"/>
          <w:numId w:val="2"/>
        </w:numPr>
        <w:spacing w:after="60"/>
      </w:pPr>
      <w:r>
        <w:rPr>
          <w:rFonts w:ascii="Calibri" w:cs="Calibri" w:eastAsia="Calibri" w:hAnsi="Calibri"/>
          <w:color w:val="1A202C"/>
          <w:sz w:val="20"/>
          <w:szCs w:val="20"/>
        </w:rPr>
        <w:t xml:space="preserve">BU leaders log in and see their organisation's portfolio at any time: current Operations TCO, funded programmes, benefit delivery status, and unfunded backlog.</w:t>
      </w:r>
    </w:p>
    <w:p>
      <w:pPr>
        <w:pStyle w:val="ListParagraph"/>
        <w:numPr>
          <w:ilvl w:val="0"/>
          <w:numId w:val="2"/>
        </w:numPr>
        <w:spacing w:after="60"/>
      </w:pPr>
      <w:r>
        <w:rPr>
          <w:rFonts w:ascii="Calibri" w:cs="Calibri" w:eastAsia="Calibri" w:hAnsi="Calibri"/>
          <w:color w:val="1A202C"/>
          <w:sz w:val="20"/>
          <w:szCs w:val="20"/>
        </w:rPr>
        <w:t xml:space="preserve">Programme managers can submit updated business cases for unfunded programmes at any time. The AI scores the submission and compares it to the current cut-off merit score, giving instant feedback.</w:t>
      </w:r>
    </w:p>
    <w:p>
      <w:pPr>
        <w:pStyle w:val="ListParagraph"/>
        <w:numPr>
          <w:ilvl w:val="0"/>
          <w:numId w:val="2"/>
        </w:numPr>
        <w:spacing w:after="60"/>
      </w:pPr>
      <w:r>
        <w:rPr>
          <w:rFonts w:ascii="Calibri" w:cs="Calibri" w:eastAsia="Calibri" w:hAnsi="Calibri"/>
          <w:color w:val="1A202C"/>
          <w:sz w:val="20"/>
          <w:szCs w:val="20"/>
        </w:rPr>
        <w:t xml:space="preserve">On Top Of funding requests can be submitted, scored, and tracked through an approval workflow — from BU leader to ITPFM to CFO — all in the same tool.</w:t>
      </w:r>
    </w:p>
    <w:p>
      <w:pPr>
        <w:spacing w:after="80"/>
      </w:pPr>
      <w:r>
        <w:rPr>
          <w:rFonts w:ascii="Calibri" w:cs="Calibri" w:eastAsia="Calibri" w:hAnsi="Calibri"/>
          <w:color w:val="1A202C"/>
          <w:sz w:val="20"/>
          <w:szCs w:val="20"/>
        </w:rPr>
        <w:t xml:space="preserve"/>
      </w:r>
    </w:p>
    <w:p>
      <w:pPr>
        <w:spacing w:after="80" w:before="200"/>
      </w:pPr>
      <w:r>
        <w:rPr>
          <w:rFonts w:ascii="Calibri" w:cs="Calibri" w:eastAsia="Calibri" w:hAnsi="Calibri"/>
          <w:b/>
          <w:bCs/>
          <w:color w:val="0B5ED7"/>
          <w:sz w:val="22"/>
          <w:szCs w:val="22"/>
        </w:rPr>
        <w:t xml:space="preserve">Executive Intelligence Dashboard</w:t>
      </w:r>
    </w:p>
    <w:p>
      <w:pPr>
        <w:pStyle w:val="ListParagraph"/>
        <w:numPr>
          <w:ilvl w:val="0"/>
          <w:numId w:val="2"/>
        </w:numPr>
        <w:spacing w:after="60"/>
      </w:pPr>
      <w:r>
        <w:rPr>
          <w:rFonts w:ascii="Calibri" w:cs="Calibri" w:eastAsia="Calibri" w:hAnsi="Calibri"/>
          <w:color w:val="1A202C"/>
          <w:sz w:val="20"/>
          <w:szCs w:val="20"/>
        </w:rPr>
        <w:t xml:space="preserve">CTO and CFO see a live portfolio health view: total IT AOP, hard benefit pipeline, benefit realisation vs plan, organisation funding equity, and merit score distribution.</w:t>
      </w:r>
    </w:p>
    <w:p>
      <w:pPr>
        <w:pStyle w:val="ListParagraph"/>
        <w:numPr>
          <w:ilvl w:val="0"/>
          <w:numId w:val="2"/>
        </w:numPr>
        <w:spacing w:after="60"/>
      </w:pPr>
      <w:r>
        <w:rPr>
          <w:rFonts w:ascii="Calibri" w:cs="Calibri" w:eastAsia="Calibri" w:hAnsi="Calibri"/>
          <w:color w:val="1A202C"/>
          <w:sz w:val="20"/>
          <w:szCs w:val="20"/>
        </w:rPr>
        <w:t xml:space="preserve">Year-on-year comparisons: AOP 2025, 2026, and 2027 programme data, benefit delivery, and allocation efficiency in a single dashboard.</w:t>
      </w:r>
    </w:p>
    <w:p>
      <w:pPr>
        <w:pStyle w:val="ListParagraph"/>
        <w:numPr>
          <w:ilvl w:val="0"/>
          <w:numId w:val="2"/>
        </w:numPr>
        <w:spacing w:after="60"/>
      </w:pPr>
      <w:r>
        <w:rPr>
          <w:rFonts w:ascii="Calibri" w:cs="Calibri" w:eastAsia="Calibri" w:hAnsi="Calibri"/>
          <w:color w:val="1A202C"/>
          <w:sz w:val="20"/>
          <w:szCs w:val="20"/>
        </w:rPr>
        <w:t xml:space="preserve">Portfolio risk view: programmes with high consequence scores that are not funded highlighted as a risk register for the CTO to review quarterly.</w:t>
      </w:r>
    </w:p>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16.5  Technology Stack Recommendation for Live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5360"/>
      </w:tblGrid>
      <w:tr>
        <w:tc>
          <w:tcPr>
            <w:tcW w:type="dxa" w:w="16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Layer</w:t>
            </w:r>
          </w:p>
        </w:tc>
        <w:tc>
          <w:tcPr>
            <w:tcW w:type="dxa" w:w="24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Technology</w:t>
            </w:r>
          </w:p>
        </w:tc>
        <w:tc>
          <w:tcPr>
            <w:tcW w:type="dxa" w:w="53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Rationale</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Frontend</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React with TypeScript</w:t>
            </w:r>
          </w:p>
        </w:tc>
        <w:tc>
          <w:tcPr>
            <w:tcW w:type="dxa" w:w="5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Component architecture for scenario cards, lever panels, and ExCo views. TypeScript catches formula errors at compile time. Existing engine logic portable from JavaScript.</w:t>
            </w:r>
          </w:p>
        </w:tc>
      </w:tr>
      <w:tr>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 Tables</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TanStack Table v8</w:t>
            </w:r>
          </w:p>
        </w:tc>
        <w:tc>
          <w:tcPr>
            <w:tcW w:type="dxa" w:w="5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Virtualised rows for 421 or more programmes without pagination. Built-in sort, filter, and group without a separate library.</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State Management</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Zustand and TanStack Query</w:t>
            </w:r>
          </w:p>
        </w:tc>
        <w:tc>
          <w:tcPr>
            <w:tcW w:type="dxa" w:w="5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Zustand for UI and lever state. TanStack Query for server-side scenario state with optimistic updates and cache management.</w:t>
            </w:r>
          </w:p>
        </w:tc>
      </w:tr>
      <w:tr>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AI Integration</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Claude API (Anthropic) — claude-sonnet-5-5 or claude-opus-5-5</w:t>
            </w:r>
          </w:p>
        </w:tc>
        <w:tc>
          <w:tcPr>
            <w:tcW w:type="dxa" w:w="5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Portfolio advisor, On Top Of recommendation drafts, hold resolution suggestions, and CFO summary generation. Tool-use API for structured allocation recommendations that the engine can execute.</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Backend</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Node.js with TypeScript and Fastify</w:t>
            </w:r>
          </w:p>
        </w:tc>
        <w:tc>
          <w:tcPr>
            <w:tcW w:type="dxa" w:w="5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Port existing engine.js to server-side for multi-user shared computation. Expose as REST API and WebSocket for real-time scenario sync.</w:t>
            </w:r>
          </w:p>
        </w:tc>
      </w:tr>
      <w:tr>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Database</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Azure CosmosDB for scenarios, Azure SQL for finance ledger</w:t>
            </w:r>
          </w:p>
        </w:tc>
        <w:tc>
          <w:tcPr>
            <w:tcW w:type="dxa" w:w="5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CosmosDB handles flexible scenario JSON documents with versioning. Azure SQL provides queryable, auditable finance attribution ledger.</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Authentication</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Azure Active Directory with MSAL</w:t>
            </w:r>
          </w:p>
        </w:tc>
        <w:tc>
          <w:tcPr>
            <w:tcW w:type="dxa" w:w="5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Philips corporate SSO. RBAC via AD security groups already maintained by IT.</w:t>
            </w:r>
          </w:p>
        </w:tc>
      </w:tr>
      <w:tr>
        <w:tc>
          <w:tcPr>
            <w:tcW w:type="dxa" w:w="16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Data Integration</w:t>
            </w:r>
          </w:p>
        </w:tc>
        <w:tc>
          <w:tcPr>
            <w:tcW w:type="dxa" w:w="24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Azure Data Factory or Logic Apps connecting to SAP FI/CO and SharePoint</w:t>
            </w:r>
          </w:p>
        </w:tc>
        <w:tc>
          <w:tcPr>
            <w:tcW w:type="dxa" w:w="53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Automated Operations TCO and programme submission data refresh without manual workbook maintenance.</w:t>
            </w:r>
          </w:p>
        </w:tc>
      </w:tr>
      <w:tr>
        <w:tc>
          <w:tcPr>
            <w:tcW w:type="dxa" w:w="16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Deployment</w:t>
            </w:r>
          </w:p>
        </w:tc>
        <w:tc>
          <w:tcPr>
            <w:tcW w:type="dxa" w:w="24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Azure Static Web Apps (frontend) and Azure App Service (backend)</w:t>
            </w:r>
          </w:p>
        </w:tc>
        <w:tc>
          <w:tcPr>
            <w:tcW w:type="dxa" w:w="53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Both within the Philips Azure tenant. No data leaves the Philips boundary.</w:t>
            </w:r>
          </w:p>
        </w:tc>
      </w:tr>
    </w:tbl>
    <w:p>
      <w:pPr>
        <w:spacing w:after="80"/>
      </w:pPr>
      <w:r>
        <w:rPr>
          <w:rFonts w:ascii="Calibri" w:cs="Calibri" w:eastAsia="Calibri" w:hAnsi="Calibri"/>
          <w:color w:val="1A202C"/>
          <w:sz w:val="20"/>
          <w:szCs w:val="20"/>
        </w:rPr>
        <w:t xml:space="preserve"/>
      </w:r>
    </w:p>
    <w:p>
      <w:pPr>
        <w:pBdr>
          <w:bottom w:val="single" w:color="D6E4F7" w:sz="4"/>
        </w:pBdr>
        <w:spacing w:after="100" w:before="320"/>
      </w:pPr>
      <w:r>
        <w:rPr>
          <w:rFonts w:ascii="Calibri" w:cs="Calibri" w:eastAsia="Calibri" w:hAnsi="Calibri"/>
          <w:b/>
          <w:bCs/>
          <w:color w:val="003087"/>
          <w:sz w:val="26"/>
          <w:szCs w:val="26"/>
        </w:rPr>
        <w:t xml:space="preserve">16.6  Effort and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2200"/>
        <w:gridCol w:w="1760"/>
      </w:tblGrid>
      <w:tr>
        <w:tc>
          <w:tcPr>
            <w:tcW w:type="dxa" w:w="22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Phase</w:t>
            </w:r>
          </w:p>
        </w:tc>
        <w:tc>
          <w:tcPr>
            <w:tcW w:type="dxa" w:w="32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Scope</w:t>
            </w:r>
          </w:p>
        </w:tc>
        <w:tc>
          <w:tcPr>
            <w:tcW w:type="dxa" w:w="220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Effort Estimate</w:t>
            </w:r>
          </w:p>
        </w:tc>
        <w:tc>
          <w:tcPr>
            <w:tcW w:type="dxa" w:w="1760"/>
            <w:tcBorders>
              <w:top w:val="single" w:color="CBD5E0" w:sz="4"/>
              <w:left w:val="single" w:color="CBD5E0" w:sz="4"/>
              <w:bottom w:val="single" w:color="CBD5E0" w:sz="4"/>
              <w:right w:val="single" w:color="CBD5E0" w:sz="4"/>
            </w:tcBorders>
            <w:shd w:fill="003087" w:color="auto"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8"/>
                <w:szCs w:val="18"/>
              </w:rPr>
              <w:t xml:space="preserve">Target</w:t>
            </w:r>
          </w:p>
        </w:tc>
      </w:tr>
      <w:tr>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Phase 1 — Infrastructure</w:t>
            </w:r>
          </w:p>
        </w:tc>
        <w:tc>
          <w:tcPr>
            <w:tcW w:type="dxa" w:w="3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API, SSO, live data, multi-user, Operations data from SAP</w:t>
            </w:r>
          </w:p>
        </w:tc>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8 to 10 weeks, 2 engineers</w:t>
            </w:r>
          </w:p>
        </w:tc>
        <w:tc>
          <w:tcPr>
            <w:tcW w:type="dxa" w:w="1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Q4 2026 to Q1 2027</w:t>
            </w:r>
          </w:p>
        </w:tc>
      </w:tr>
      <w:tr>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Phase 2 — Agentic AI</w:t>
            </w:r>
          </w:p>
        </w:tc>
        <w:tc>
          <w:tcPr>
            <w:tcW w:type="dxa" w:w="3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AI advisor, On Top Of recommendation, anomaly detection, CFO summary</w:t>
            </w:r>
          </w:p>
        </w:tc>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 to 12 weeks, 2 engineers and 1 AI specialist</w:t>
            </w:r>
          </w:p>
        </w:tc>
        <w:tc>
          <w:tcPr>
            <w:tcW w:type="dxa" w:w="1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Q2 2027</w:t>
            </w:r>
          </w:p>
        </w:tc>
      </w:tr>
      <w:tr>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Phase 3 — Continuous Portal</w:t>
            </w:r>
          </w:p>
        </w:tc>
        <w:tc>
          <w:tcPr>
            <w:tcW w:type="dxa" w:w="3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Quarterly reviews, BU self-service, benefit realisation, executive dashboard</w:t>
            </w:r>
          </w:p>
        </w:tc>
        <w:tc>
          <w:tcPr>
            <w:tcW w:type="dxa" w:w="220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10 to 12 weeks, 2 engineers and 1 UX designer</w:t>
            </w:r>
          </w:p>
        </w:tc>
        <w:tc>
          <w:tcPr>
            <w:tcW w:type="dxa" w:w="1760"/>
            <w:tcBorders>
              <w:top w:val="single" w:color="CBD5E0" w:sz="4"/>
              <w:left w:val="single" w:color="CBD5E0" w:sz="4"/>
              <w:bottom w:val="single" w:color="CBD5E0" w:sz="4"/>
              <w:right w:val="single" w:color="CBD5E0" w:sz="4"/>
            </w:tcBorders>
            <w:shd w:fill="FFFFFF"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Q3 2027</w:t>
            </w:r>
          </w:p>
        </w:tc>
      </w:tr>
      <w:tr>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Total</w:t>
            </w:r>
          </w:p>
        </w:tc>
        <w:tc>
          <w:tcPr>
            <w:tcW w:type="dxa" w:w="3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Full continuous prioritization product</w:t>
            </w:r>
          </w:p>
        </w:tc>
        <w:tc>
          <w:tcPr>
            <w:tcW w:type="dxa" w:w="220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28 to 34 weeks</w:t>
            </w:r>
          </w:p>
        </w:tc>
        <w:tc>
          <w:tcPr>
            <w:tcW w:type="dxa" w:w="1760"/>
            <w:tcBorders>
              <w:top w:val="single" w:color="CBD5E0" w:sz="4"/>
              <w:left w:val="single" w:color="CBD5E0" w:sz="4"/>
              <w:bottom w:val="single" w:color="CBD5E0" w:sz="4"/>
              <w:right w:val="single" w:color="CBD5E0" w:sz="4"/>
            </w:tcBorders>
            <w:shd w:fill="F1F5F9" w:color="auto"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1A202C"/>
                <w:sz w:val="18"/>
                <w:szCs w:val="18"/>
              </w:rPr>
              <w:t xml:space="preserve">Q4 2026 to Q3 2027</w:t>
            </w:r>
          </w:p>
        </w:tc>
      </w:tr>
    </w:tbl>
    <w:sectPr>
      <w:pgSz w:w="12240" w:h="15840"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lvl w:ilvl="1" w:tentative="1">
      <w:start w:val="1"/>
      <w:numFmt w:val="bullet"/>
      <w:lvlText w:val="◦"/>
      <w:lvlJc w:val="left"/>
      <w:pPr>
        <w:ind w:left="760" w:hanging="22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2026-10-07T07:51:53.861Z</dcterms:created>
  <dcterms:modified xsi:type="dcterms:W3CDTF">2026-10-07T07:51:53.884Z</dcterms:modified>
</cp:coreProperties>
</file>

<file path=docProps/custom.xml><?xml version="1.0" encoding="utf-8"?>
<Properties xmlns="http://schemas.openxmlformats.org/officeDocument/2006/custom-properties" xmlns:vt="http://schemas.openxmlformats.org/officeDocument/2006/docPropsVTypes"/>
</file>