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0"/>
      </w:pPr>
    </w:p>
    <w:p>
      <w:pPr>
        <w:pBdr>
          <w:top w:val="single" w:color="BDF0FF" w:sz="12"/>
          <w:left w:val="single" w:color="BDF0FF" w:sz="12"/>
          <w:right w:val="single" w:color="BDF0FF" w:sz="12"/>
        </w:pBdr>
        <w:shd w:fill="00126E" w:color="auto" w:val="clear"/>
        <w:spacing w:after="0" w:before="0"/>
        <w:jc w:val="center"/>
      </w:pPr>
      <w:r>
        <w:rPr>
          <w:rFonts w:ascii="Calibri" w:cs="Calibri" w:eastAsia="Calibri" w:hAnsi="Calibri"/>
          <w:b/>
          <w:bCs/>
          <w:color w:val="FFFFFF"/>
          <w:sz w:val="52"/>
          <w:szCs w:val="52"/>
        </w:rPr>
        <w:t xml:space="preserve">AOP 2027 IT Portfolio Scenario Modelling Tool</w:t>
      </w:r>
    </w:p>
    <w:p>
      <w:pPr>
        <w:pBdr>
          <w:left w:val="single" w:color="BDF0FF" w:sz="12"/>
          <w:right w:val="single" w:color="BDF0FF" w:sz="12"/>
        </w:pBdr>
        <w:shd w:fill="00126E" w:color="auto" w:val="clear"/>
        <w:spacing w:after="0" w:before="80"/>
        <w:jc w:val="center"/>
      </w:pPr>
      <w:r>
        <w:rPr>
          <w:rFonts w:ascii="Calibri" w:cs="Calibri" w:eastAsia="Calibri" w:hAnsi="Calibri"/>
          <w:i/>
          <w:iCs/>
          <w:color w:val="BDF0FF"/>
          <w:sz w:val="28"/>
          <w:szCs w:val="28"/>
        </w:rPr>
        <w:t xml:space="preserve">Product Requirements Document &amp; Technical Specification</w:t>
      </w:r>
    </w:p>
    <w:p>
      <w:pPr>
        <w:pBdr>
          <w:left w:val="single" w:color="BDF0FF" w:sz="12"/>
          <w:bottom w:val="single" w:color="BDF0FF" w:sz="12"/>
          <w:right w:val="single" w:color="BDF0FF" w:sz="12"/>
        </w:pBdr>
        <w:shd w:fill="00126E" w:color="auto" w:val="clear"/>
        <w:spacing w:after="0" w:before="120"/>
        <w:jc w:val="center"/>
      </w:pPr>
      <w:r>
        <w:rPr>
          <w:rFonts w:ascii="Calibri" w:cs="Calibri" w:eastAsia="Calibri" w:hAnsi="Calibri"/>
          <w:color w:val="BDF0FF"/>
          <w:sz w:val="20"/>
          <w:szCs w:val="20"/>
        </w:rPr>
        <w:t xml:space="preserve">Version 6.10.26-p6  ·  Document Date: 7 October 2026</w:t>
      </w:r>
    </w:p>
    <w:p>
      <w:pPr>
        <w:spacing w:after="0" w:before="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7200"/>
      </w:tblGrid>
      <w:tr>
        <w:tc>
          <w:tcPr>
            <w:tcW w:type="dxa" w:w="216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Field</w:t>
            </w:r>
          </w:p>
        </w:tc>
        <w:tc>
          <w:tcPr>
            <w:tcW w:type="dxa" w:w="72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Details</w:t>
            </w:r>
          </w:p>
        </w:tc>
      </w:tr>
      <w:tr>
        <w:tc>
          <w:tcPr>
            <w:tcW w:type="dxa" w:w="2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Product Title</w:t>
            </w:r>
          </w:p>
        </w:tc>
        <w:tc>
          <w:tcPr>
            <w:tcW w:type="dxa" w:w="7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AOP 2027 IT Portfolio Scenario Modelling Tool + Data Extract</w:t>
            </w:r>
          </w:p>
        </w:tc>
      </w:tr>
      <w:tr>
        <w:tc>
          <w:tcPr>
            <w:tcW w:type="dxa" w:w="2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Document Version</w:t>
            </w:r>
          </w:p>
        </w:tc>
        <w:tc>
          <w:tcPr>
            <w:tcW w:type="dxa" w:w="7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1.0 — aligned to software version 6.10.26-p6</w:t>
            </w:r>
          </w:p>
        </w:tc>
      </w:tr>
      <w:tr>
        <w:tc>
          <w:tcPr>
            <w:tcW w:type="dxa" w:w="2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Author</w:t>
            </w:r>
          </w:p>
        </w:tc>
        <w:tc>
          <w:tcPr>
            <w:tcW w:type="dxa" w:w="7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IT Portfolio Management &amp; Finance (ITPFM)</w:t>
            </w:r>
          </w:p>
        </w:tc>
      </w:tr>
      <w:tr>
        <w:tc>
          <w:tcPr>
            <w:tcW w:type="dxa" w:w="2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Engineering Lead</w:t>
            </w:r>
          </w:p>
        </w:tc>
        <w:tc>
          <w:tcPr>
            <w:tcW w:type="dxa" w:w="7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AOP Modeler Dev (Claude Code assisted)</w:t>
            </w:r>
          </w:p>
        </w:tc>
      </w:tr>
      <w:tr>
        <w:tc>
          <w:tcPr>
            <w:tcW w:type="dxa" w:w="2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Design Owner</w:t>
            </w:r>
          </w:p>
        </w:tc>
        <w:tc>
          <w:tcPr>
            <w:tcW w:type="dxa" w:w="7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ITPFM — Digital Tools Team</w:t>
            </w:r>
          </w:p>
        </w:tc>
      </w:tr>
      <w:tr>
        <w:tc>
          <w:tcPr>
            <w:tcW w:type="dxa" w:w="2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Finance Owner</w:t>
            </w:r>
          </w:p>
        </w:tc>
        <w:tc>
          <w:tcPr>
            <w:tcW w:type="dxa" w:w="7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Corporate Finance / AOP Controller</w:t>
            </w:r>
          </w:p>
        </w:tc>
      </w:tr>
      <w:tr>
        <w:tc>
          <w:tcPr>
            <w:tcW w:type="dxa" w:w="2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ExCo Sponsor</w:t>
            </w:r>
          </w:p>
        </w:tc>
        <w:tc>
          <w:tcPr>
            <w:tcW w:type="dxa" w:w="7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CTO / Chief Information Officer</w:t>
            </w:r>
          </w:p>
        </w:tc>
      </w:tr>
      <w:tr>
        <w:tc>
          <w:tcPr>
            <w:tcW w:type="dxa" w:w="2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Document Date</w:t>
            </w:r>
          </w:p>
        </w:tc>
        <w:tc>
          <w:tcPr>
            <w:tcW w:type="dxa" w:w="7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7 October 2026</w:t>
            </w:r>
          </w:p>
        </w:tc>
      </w:tr>
      <w:tr>
        <w:tc>
          <w:tcPr>
            <w:tcW w:type="dxa" w:w="2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Status</w:t>
            </w:r>
          </w:p>
        </w:tc>
        <w:tc>
          <w:tcPr>
            <w:tcW w:type="dxa" w:w="7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DRAFT — For Internal Review</w:t>
            </w:r>
          </w:p>
        </w:tc>
      </w:tr>
      <w:tr>
        <w:tc>
          <w:tcPr>
            <w:tcW w:type="dxa" w:w="2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Classification</w:t>
            </w:r>
          </w:p>
        </w:tc>
        <w:tc>
          <w:tcPr>
            <w:tcW w:type="dxa" w:w="7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Confidential — Philips Internal Only</w:t>
            </w:r>
          </w:p>
        </w:tc>
      </w:tr>
    </w:tbl>
    <w:p>
      <w:r>
        <w:br w:type="page"/>
      </w:r>
    </w:p>
    <w:p>
      <w:pPr>
        <w:pStyle w:val="Heading1"/>
        <w:pBdr>
          <w:bottom w:val="single" w:color="BDF0FF" w:sz="6"/>
        </w:pBdr>
        <w:shd w:fill="00126E" w:val="clear"/>
        <w:spacing w:after="120" w:before="360"/>
        <w:rPr>
          <w:color w:val="FFFFFF"/>
        </w:rPr>
      </w:pPr>
      <w:r>
        <w:t xml:space="preserve">§0  Change Log &amp; Document History</w:t>
      </w:r>
      <w:r>
        <w:rPr>
          <w:rFonts w:ascii="Calibri" w:cs="Calibri" w:eastAsia="Calibri" w:hAnsi="Calibri"/>
          <w:b/>
          <w:bCs/>
          <w:color w:val="FFFFFF"/>
          <w:sz w:val="32"/>
          <w:szCs w:val="32"/>
        </w:rPr>
        <w:t xml:space="preserve">§0  Change Log &amp; Document History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200"/>
        <w:gridCol w:w="1800"/>
        <w:gridCol w:w="5460"/>
      </w:tblGrid>
      <w:tr>
        <w:tc>
          <w:tcPr>
            <w:tcW w:type="dxa" w:w="9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Version</w:t>
            </w:r>
          </w:p>
        </w:tc>
        <w:tc>
          <w:tcPr>
            <w:tcW w:type="dxa" w:w="12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Date</w:t>
            </w:r>
          </w:p>
        </w:tc>
        <w:tc>
          <w:tcPr>
            <w:tcW w:type="dxa" w:w="18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Author</w:t>
            </w:r>
          </w:p>
        </w:tc>
        <w:tc>
          <w:tcPr>
            <w:tcW w:type="dxa" w:w="546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Summary of Changes</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1.0</w:t>
            </w:r>
          </w:p>
        </w:tc>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7 Oct 2026</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ITPFM</w:t>
            </w:r>
          </w:p>
        </w:tc>
        <w:tc>
          <w:tcPr>
            <w:tcW w:type="dxa" w:w="54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Initial PRD created from v6.10.26-p6 codebase. Full feature set documented.</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0.9</w:t>
            </w:r>
          </w:p>
        </w:tc>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6 Oct 2026</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ITPFM</w:t>
            </w:r>
          </w:p>
        </w:tc>
        <w:tc>
          <w:tcPr>
            <w:tcW w:type="dxa" w:w="54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v6.10.26-p5 QA fixes: Bu-87 benefit 23M→38.8M, Tab 6 compliance fixes, hold badges.</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0.8</w:t>
            </w:r>
          </w:p>
        </w:tc>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6 Oct 2026</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ITPFM</w:t>
            </w:r>
          </w:p>
        </w:tc>
        <w:tc>
          <w:tcPr>
            <w:tcW w:type="dxa" w:w="54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v6.10.26-p4 FINAL: Z01–Z26 closed, IR/GRC/NAR rules, rules-version.json audit.</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0.7</w:t>
            </w:r>
          </w:p>
        </w:tc>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6 Oct 2026</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ITPFM</w:t>
            </w:r>
          </w:p>
        </w:tc>
        <w:tc>
          <w:tcPr>
            <w:tcW w:type="dxa" w:w="54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v6.10.26-p3: Balanced Portfolio scenario, hold badges, Contain/Priority warnings.</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0.6</w:t>
            </w:r>
          </w:p>
        </w:tc>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6 Oct 2026</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ITPFM</w:t>
            </w:r>
          </w:p>
        </w:tc>
        <w:tc>
          <w:tcPr>
            <w:tcW w:type="dxa" w:w="54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v6.10.26-p2: Excluded Register panel, benefit exception notices, duration labels.</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0.5</w:t>
            </w:r>
          </w:p>
        </w:tc>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6 Oct 2026</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ITPFM</w:t>
            </w:r>
          </w:p>
        </w:tc>
        <w:tc>
          <w:tcPr>
            <w:tcW w:type="dxa" w:w="54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v6.10.26-p1: PMI override gate, 3-state duration parser, zero-benefit BCR path.</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0.4</w:t>
            </w:r>
          </w:p>
        </w:tc>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6 Oct 2026</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ITPFM</w:t>
            </w:r>
          </w:p>
        </w:tc>
        <w:tc>
          <w:tcPr>
            <w:tcW w:type="dxa" w:w="54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v6.10.26: 421 programmes, PMI &amp; NDA, Tab 6 multiselect, AOP 2026 Spent column.</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0.3</w:t>
            </w:r>
          </w:p>
        </w:tc>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2 Oct 2026</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ITPFM</w:t>
            </w:r>
          </w:p>
        </w:tc>
        <w:tc>
          <w:tcPr>
            <w:tcW w:type="dxa" w:w="54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v5.9.1: Lever 3 at 20M, 1-decimal rule, ExCo cockpit stage fix.</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0.2</w:t>
            </w:r>
          </w:p>
        </w:tc>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29 Sep 2026</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ITPFM</w:t>
            </w:r>
          </w:p>
        </w:tc>
        <w:tc>
          <w:tcPr>
            <w:tcW w:type="dxa" w:w="54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v5.6: IT Simplification 5th lever, Platform header.</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0.1</w:t>
            </w:r>
          </w:p>
        </w:tc>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25 Sep 2026</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ITPFM</w:t>
            </w:r>
          </w:p>
        </w:tc>
        <w:tc>
          <w:tcPr>
            <w:tcW w:type="dxa" w:w="54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v5.1.1 golden baseline frozen.</w:t>
            </w:r>
          </w:p>
        </w:tc>
      </w:tr>
    </w:tbl>
    <w:p>
      <w:r>
        <w:br w:type="page"/>
      </w:r>
    </w:p>
    <w:p>
      <w:pPr>
        <w:pStyle w:val="Heading1"/>
        <w:pBdr>
          <w:bottom w:val="single" w:color="BDF0FF" w:sz="6"/>
        </w:pBdr>
        <w:shd w:fill="00126E" w:val="clear"/>
        <w:spacing w:after="120" w:before="360"/>
        <w:rPr>
          <w:color w:val="FFFFFF"/>
        </w:rPr>
      </w:pPr>
      <w:r>
        <w:t xml:space="preserve">§1  Context &amp; Objective</w:t>
      </w:r>
      <w:r>
        <w:rPr>
          <w:rFonts w:ascii="Calibri" w:cs="Calibri" w:eastAsia="Calibri" w:hAnsi="Calibri"/>
          <w:b/>
          <w:bCs/>
          <w:color w:val="FFFFFF"/>
          <w:sz w:val="32"/>
          <w:szCs w:val="32"/>
        </w:rPr>
        <w:t xml:space="preserve">§1  Context &amp; Objective</w:t>
      </w:r>
    </w:p>
    <w:p>
      <w:pPr>
        <w:pStyle w:val="Heading2"/>
        <w:pBdr>
          <w:bottom w:val="single" w:color="0B5ED7" w:sz="4"/>
        </w:pBdr>
        <w:spacing w:after="80" w:before="280"/>
      </w:pPr>
      <w:r>
        <w:rPr>
          <w:rFonts w:ascii="Calibri" w:cs="Calibri" w:eastAsia="Calibri" w:hAnsi="Calibri"/>
          <w:b/>
          <w:bCs/>
          <w:color w:val="00126E"/>
          <w:sz w:val="26"/>
          <w:szCs w:val="26"/>
        </w:rPr>
        <w:t xml:space="preserve">1.1  Vision</w:t>
      </w:r>
    </w:p>
    <w:p>
      <w:pPr>
        <w:spacing w:after="100"/>
      </w:pPr>
      <w:r>
        <w:rPr>
          <w:rFonts w:ascii="Calibri" w:cs="Calibri" w:eastAsia="Calibri" w:hAnsi="Calibri"/>
          <w:color w:val="1A202C"/>
          <w:sz w:val="20"/>
          <w:szCs w:val="20"/>
        </w:rPr>
        <w:t xml:space="preserve">The AOP 2027 IT Portfolio Scenario Modelling Tool is a self-contained, browser-based decision-support platform that enables the Philips IT Portfolio Management &amp; Finance (ITPFM) team and ExCo leaders to model, negotiate, and finalise the Annual Operating Plan (AOP) for IT programme investment. It replaces manual spreadsheet consolidation with a deterministic, auditable engine that allocates budget across 421 IT programmes spanning all 35 organisations and enterprise functions.</w:t>
      </w:r>
    </w:p>
    <w:p/>
    <w:p>
      <w:pPr>
        <w:pStyle w:val="Heading2"/>
        <w:pBdr>
          <w:bottom w:val="single" w:color="0B5ED7" w:sz="4"/>
        </w:pBdr>
        <w:spacing w:after="80" w:before="280"/>
      </w:pPr>
      <w:r>
        <w:rPr>
          <w:rFonts w:ascii="Calibri" w:cs="Calibri" w:eastAsia="Calibri" w:hAnsi="Calibri"/>
          <w:b/>
          <w:bCs/>
          <w:color w:val="00126E"/>
          <w:sz w:val="26"/>
          <w:szCs w:val="26"/>
        </w:rPr>
        <w:t xml:space="preserve">1.2  Business Background</w:t>
      </w:r>
    </w:p>
    <w:p>
      <w:pPr>
        <w:spacing w:after="100"/>
      </w:pPr>
      <w:r>
        <w:rPr>
          <w:rFonts w:ascii="Calibri" w:cs="Calibri" w:eastAsia="Calibri" w:hAnsi="Calibri"/>
          <w:color w:val="1A202C"/>
          <w:sz w:val="20"/>
          <w:szCs w:val="20"/>
        </w:rPr>
        <w:t xml:space="preserve">Each year, Philips's Annual Operating Plan requires the allocation of a finite IT investment budget (historically ~100 M€ programme demand, rising to 280 M€ in AOP 2027 — a 51.6% year-on-year increase) across competing IT programmes submitted by Business Units (BUs), Functions, and Regions. The traditional approach used multi-tab Excel workbooks that were slow to recalculate, error-prone, and difficult to scenario-plan or share in real time.</w:t>
      </w:r>
    </w:p>
    <w:p/>
    <w:p>
      <w:pPr>
        <w:spacing w:after="100"/>
      </w:pPr>
      <w:r>
        <w:rPr>
          <w:rFonts w:ascii="Calibri" w:cs="Calibri" w:eastAsia="Calibri" w:hAnsi="Calibri"/>
          <w:color w:val="1A202C"/>
          <w:sz w:val="20"/>
          <w:szCs w:val="20"/>
        </w:rPr>
        <w:t xml:space="preserve">The Modeler was conceived to solve this by encoding all allocation logic — stage classification, merit scoring, lever-controlled targets, ExCo trade-off negotiation, and finance attribution — into a single, portable HTML file that runs offline in any modern browser. The companion Detailed Data Extract provides read-only transparency of all 421 programme records, their scoring breakdown, finance methodology, and AOP 2026 reference data.</w:t>
      </w:r>
    </w:p>
    <w:p/>
    <w:p>
      <w:pPr>
        <w:pStyle w:val="Heading2"/>
        <w:pBdr>
          <w:bottom w:val="single" w:color="0B5ED7" w:sz="4"/>
        </w:pBdr>
        <w:spacing w:after="80" w:before="280"/>
      </w:pPr>
      <w:r>
        <w:rPr>
          <w:rFonts w:ascii="Calibri" w:cs="Calibri" w:eastAsia="Calibri" w:hAnsi="Calibri"/>
          <w:b/>
          <w:bCs/>
          <w:color w:val="00126E"/>
          <w:sz w:val="26"/>
          <w:szCs w:val="26"/>
        </w:rPr>
        <w:t xml:space="preserve">1.3  Why Now</w:t>
      </w:r>
    </w:p>
    <w:p>
      <w:pPr>
        <w:pStyle w:val="ListParagraph"/>
        <w:numPr>
          <w:ilvl w:val="0"/>
          <w:numId w:val="2"/>
        </w:numPr>
        <w:spacing w:after="60"/>
      </w:pPr>
      <w:r>
        <w:rPr>
          <w:rFonts w:ascii="Calibri" w:cs="Calibri" w:eastAsia="Calibri" w:hAnsi="Calibri"/>
          <w:color w:val="1A202C"/>
          <w:sz w:val="20"/>
          <w:szCs w:val="20"/>
        </w:rPr>
        <w:t xml:space="preserve">AOP 2027 demand volume (280 M€) has grown 51.6% vs AOP 2026 (184.7 M€) — manual tooling cannot keep pace.</w:t>
      </w:r>
    </w:p>
    <w:p>
      <w:pPr>
        <w:pStyle w:val="ListParagraph"/>
        <w:numPr>
          <w:ilvl w:val="0"/>
          <w:numId w:val="2"/>
        </w:numPr>
        <w:spacing w:after="60"/>
      </w:pPr>
      <w:r>
        <w:rPr>
          <w:rFonts w:ascii="Calibri" w:cs="Calibri" w:eastAsia="Calibri" w:hAnsi="Calibri"/>
          <w:color w:val="1A202C"/>
          <w:sz w:val="20"/>
          <w:szCs w:val="20"/>
        </w:rPr>
        <w:t xml:space="preserve">ExCo tradeoff discussions require real-time scenario comparison across all 35 organisations; spreadsheets have no scenario forking or audit trail.</w:t>
      </w:r>
    </w:p>
    <w:p>
      <w:pPr>
        <w:pStyle w:val="ListParagraph"/>
        <w:numPr>
          <w:ilvl w:val="0"/>
          <w:numId w:val="2"/>
        </w:numPr>
        <w:spacing w:after="60"/>
      </w:pPr>
      <w:r>
        <w:rPr>
          <w:rFonts w:ascii="Calibri" w:cs="Calibri" w:eastAsia="Calibri" w:hAnsi="Calibri"/>
          <w:color w:val="1A202C"/>
          <w:sz w:val="20"/>
          <w:szCs w:val="20"/>
        </w:rPr>
        <w:t xml:space="preserve">Regulatory complexity (P1 LFR programmes, PMI on-top funding, NDA ring-fencing) demands deterministic, validated allocation logic.</w:t>
      </w:r>
    </w:p>
    <w:p>
      <w:pPr>
        <w:pStyle w:val="ListParagraph"/>
        <w:numPr>
          <w:ilvl w:val="0"/>
          <w:numId w:val="2"/>
        </w:numPr>
        <w:spacing w:after="60"/>
      </w:pPr>
      <w:r>
        <w:rPr>
          <w:rFonts w:ascii="Calibri" w:cs="Calibri" w:eastAsia="Calibri" w:hAnsi="Calibri"/>
          <w:color w:val="1A202C"/>
          <w:sz w:val="20"/>
          <w:szCs w:val="20"/>
        </w:rPr>
        <w:t xml:space="preserve">Finance teams require auditable one-portfolio attribution that links programme decisions to BU IT charges — the tool produces this automatically.</w:t>
      </w:r>
    </w:p>
    <w:p>
      <w:pPr>
        <w:pStyle w:val="ListParagraph"/>
        <w:numPr>
          <w:ilvl w:val="0"/>
          <w:numId w:val="2"/>
        </w:numPr>
        <w:spacing w:after="60"/>
      </w:pPr>
      <w:r>
        <w:rPr>
          <w:rFonts w:ascii="Calibri" w:cs="Calibri" w:eastAsia="Calibri" w:hAnsi="Calibri"/>
          <w:color w:val="1A202C"/>
          <w:sz w:val="20"/>
          <w:szCs w:val="20"/>
        </w:rPr>
        <w:t xml:space="preserve">All prior AOP cycles relied on manual consolidation taking 2–3 weeks; the modeler reduces this to real-time interactive sessions.</w:t>
      </w:r>
    </w:p>
    <w:p>
      <w:r>
        <w:br w:type="page"/>
      </w:r>
    </w:p>
    <w:p>
      <w:pPr>
        <w:pStyle w:val="Heading1"/>
        <w:pBdr>
          <w:bottom w:val="single" w:color="BDF0FF" w:sz="6"/>
        </w:pBdr>
        <w:shd w:fill="00126E" w:val="clear"/>
        <w:spacing w:after="120" w:before="360"/>
        <w:rPr>
          <w:color w:val="FFFFFF"/>
        </w:rPr>
      </w:pPr>
      <w:r>
        <w:t xml:space="preserve">§2  Problem Statement</w:t>
      </w:r>
      <w:r>
        <w:rPr>
          <w:rFonts w:ascii="Calibri" w:cs="Calibri" w:eastAsia="Calibri" w:hAnsi="Calibri"/>
          <w:b/>
          <w:bCs/>
          <w:color w:val="FFFFFF"/>
          <w:sz w:val="32"/>
          <w:szCs w:val="32"/>
        </w:rPr>
        <w:t xml:space="preserve">§2  Problem Statement</w:t>
      </w:r>
    </w:p>
    <w:p>
      <w:pPr>
        <w:pStyle w:val="Heading2"/>
        <w:pBdr>
          <w:bottom w:val="single" w:color="0B5ED7" w:sz="4"/>
        </w:pBdr>
        <w:spacing w:after="80" w:before="280"/>
      </w:pPr>
      <w:r>
        <w:rPr>
          <w:rFonts w:ascii="Calibri" w:cs="Calibri" w:eastAsia="Calibri" w:hAnsi="Calibri"/>
          <w:b/>
          <w:bCs/>
          <w:color w:val="00126E"/>
          <w:sz w:val="26"/>
          <w:szCs w:val="26"/>
        </w:rPr>
        <w:t xml:space="preserve">2.1  Core User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200"/>
        <w:gridCol w:w="3760"/>
      </w:tblGrid>
      <w:tr>
        <w:tc>
          <w:tcPr>
            <w:tcW w:type="dxa" w:w="24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Pain Point</w:t>
            </w:r>
          </w:p>
        </w:tc>
        <w:tc>
          <w:tcPr>
            <w:tcW w:type="dxa" w:w="32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Evidence / Metric</w:t>
            </w:r>
          </w:p>
        </w:tc>
        <w:tc>
          <w:tcPr>
            <w:tcW w:type="dxa" w:w="376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Impact</w:t>
            </w:r>
          </w:p>
        </w:tc>
      </w:tr>
      <w:tr>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Manual Excel consolidation</w:t>
            </w:r>
          </w:p>
        </w:tc>
        <w:tc>
          <w:tcPr>
            <w:tcW w:type="dxa" w:w="3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AOP 2026 required 2–3 weeks of manual tab stitching across 35 organisations</w:t>
            </w:r>
          </w:p>
        </w:tc>
        <w:tc>
          <w:tcPr>
            <w:tcW w:type="dxa" w:w="37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High — delays final allocation and ExCo sign-off</w:t>
            </w:r>
          </w:p>
        </w:tc>
      </w:tr>
      <w:tr>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No scenario comparison</w:t>
            </w:r>
          </w:p>
        </w:tc>
        <w:tc>
          <w:tcPr>
            <w:tcW w:type="dxa" w:w="3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Each "what if" required a new Excel copy; no forking or diff capability</w:t>
            </w:r>
          </w:p>
        </w:tc>
        <w:tc>
          <w:tcPr>
            <w:tcW w:type="dxa" w:w="37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High — ExCo cannot negotiate trade-offs in real time</w:t>
            </w:r>
          </w:p>
        </w:tc>
      </w:tr>
      <w:tr>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Silent formula errors</w:t>
            </w:r>
          </w:p>
        </w:tc>
        <w:tc>
          <w:tcPr>
            <w:tcW w:type="dxa" w:w="3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PMI double-count and ops over-count defects found post-submission in v5.5</w:t>
            </w:r>
          </w:p>
        </w:tc>
        <w:tc>
          <w:tcPr>
            <w:tcW w:type="dxa" w:w="37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Critical — materially wrong budget numbers</w:t>
            </w:r>
          </w:p>
        </w:tc>
      </w:tr>
      <w:tr>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No merit ranking transparency</w:t>
            </w:r>
          </w:p>
        </w:tc>
        <w:tc>
          <w:tcPr>
            <w:tcW w:type="dxa" w:w="3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BU leaders could not see why one programme was funded over another</w:t>
            </w:r>
          </w:p>
        </w:tc>
        <w:tc>
          <w:tcPr>
            <w:tcW w:type="dxa" w:w="37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Medium — trust deficit in allocation decisions</w:t>
            </w:r>
          </w:p>
        </w:tc>
      </w:tr>
      <w:tr>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Finance attribution manual</w:t>
            </w:r>
          </w:p>
        </w:tc>
        <w:tc>
          <w:tcPr>
            <w:tcW w:type="dxa" w:w="3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One Portfolio BU IT charge required separate manual workbook</w:t>
            </w:r>
          </w:p>
        </w:tc>
        <w:tc>
          <w:tcPr>
            <w:tcW w:type="dxa" w:w="37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High — attribution errors charged wrong cost centres</w:t>
            </w:r>
          </w:p>
        </w:tc>
      </w:tr>
      <w:tr>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No audit trail</w:t>
            </w:r>
          </w:p>
        </w:tc>
        <w:tc>
          <w:tcPr>
            <w:tcW w:type="dxa" w:w="3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Manual decisions not recorded; re-creation from scratch each cycle</w:t>
            </w:r>
          </w:p>
        </w:tc>
        <w:tc>
          <w:tcPr>
            <w:tcW w:type="dxa" w:w="37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Medium — compliance risk, no institutional memory</w:t>
            </w:r>
          </w:p>
        </w:tc>
      </w:tr>
      <w:tr>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280 M€ vs 100 M€ gap</w:t>
            </w:r>
          </w:p>
        </w:tc>
        <w:tc>
          <w:tcPr>
            <w:tcW w:type="dxa" w:w="3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Demand grew 51.6% YoY with no increase in available budget</w:t>
            </w:r>
          </w:p>
        </w:tc>
        <w:tc>
          <w:tcPr>
            <w:tcW w:type="dxa" w:w="37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Critical — requires rigorous prioritisation, not guesswork</w:t>
            </w:r>
          </w:p>
        </w:tc>
      </w:tr>
    </w:tbl>
    <w:p/>
    <w:p>
      <w:pPr>
        <w:pStyle w:val="Heading2"/>
        <w:pBdr>
          <w:bottom w:val="single" w:color="0B5ED7" w:sz="4"/>
        </w:pBdr>
        <w:spacing w:after="80" w:before="280"/>
      </w:pPr>
      <w:r>
        <w:rPr>
          <w:rFonts w:ascii="Calibri" w:cs="Calibri" w:eastAsia="Calibri" w:hAnsi="Calibri"/>
          <w:b/>
          <w:bCs/>
          <w:color w:val="00126E"/>
          <w:sz w:val="26"/>
          <w:szCs w:val="26"/>
        </w:rPr>
        <w:t xml:space="preserve">2.2  Quantitative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7920"/>
      </w:tblGrid>
      <w:tr>
        <w:tc>
          <w:tcPr>
            <w:tcW w:type="dxa" w:w="1440"/>
            <w:tcBorders>
              <w:top w:val="single" w:color="D5DAE0" w:sz="4"/>
              <w:left w:val="single" w:color="D5DAE0" w:sz="4"/>
              <w:bottom w:val="single" w:color="D5DAE0" w:sz="4"/>
              <w:right w:val="single" w:color="D5DAE0" w:sz="4"/>
            </w:tcBorders>
            <w:shd w:fill="0B5ED7"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AOP 2027 Demand</w:t>
            </w:r>
          </w:p>
        </w:tc>
        <w:tc>
          <w:tcPr>
            <w:tcW w:type="dxa" w:w="7920"/>
            <w:tcBorders>
              <w:top w:val="single" w:color="D5DAE0" w:sz="4"/>
              <w:left w:val="single" w:color="D5DAE0" w:sz="4"/>
              <w:bottom w:val="single" w:color="D5DAE0" w:sz="4"/>
              <w:right w:val="single" w:color="D5DAE0" w:sz="4"/>
            </w:tcBorders>
            <w:shd w:fill="EBF4FF" w:color="auto" w:val="clear"/>
            <w:tcMar>
              <w:top w:type="dxa" w:w="80"/>
              <w:left w:type="dxa" w:w="120"/>
              <w:bottom w:type="dxa" w:w="80"/>
              <w:right w:type="dxa" w:w="100"/>
            </w:tcMar>
            <w:vAlign w:val="center"/>
          </w:tcPr>
          <w:p>
            <w:pPr>
              <w:spacing w:after="0"/>
            </w:pPr>
            <w:r>
              <w:rPr>
                <w:rFonts w:ascii="Calibri" w:cs="Calibri" w:eastAsia="Calibri" w:hAnsi="Calibri"/>
                <w:color w:val="1A202C"/>
                <w:sz w:val="18"/>
                <w:szCs w:val="18"/>
              </w:rPr>
              <w:t xml:space="preserve">280.0 M€ requested across 421 programmes (444 including AOP 2026 reference)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7920"/>
      </w:tblGrid>
      <w:tr>
        <w:tc>
          <w:tcPr>
            <w:tcW w:type="dxa" w:w="1440"/>
            <w:tcBorders>
              <w:top w:val="single" w:color="D5DAE0" w:sz="4"/>
              <w:left w:val="single" w:color="D5DAE0" w:sz="4"/>
              <w:bottom w:val="single" w:color="D5DAE0" w:sz="4"/>
              <w:right w:val="single" w:color="D5DAE0" w:sz="4"/>
            </w:tcBorders>
            <w:shd w:fill="0B5ED7"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AOP 2027 Budget</w:t>
            </w:r>
          </w:p>
        </w:tc>
        <w:tc>
          <w:tcPr>
            <w:tcW w:type="dxa" w:w="7920"/>
            <w:tcBorders>
              <w:top w:val="single" w:color="D5DAE0" w:sz="4"/>
              <w:left w:val="single" w:color="D5DAE0" w:sz="4"/>
              <w:bottom w:val="single" w:color="D5DAE0" w:sz="4"/>
              <w:right w:val="single" w:color="D5DAE0" w:sz="4"/>
            </w:tcBorders>
            <w:shd w:fill="EBF4FF" w:color="auto" w:val="clear"/>
            <w:tcMar>
              <w:top w:type="dxa" w:w="80"/>
              <w:left w:type="dxa" w:w="120"/>
              <w:bottom w:type="dxa" w:w="80"/>
              <w:right w:type="dxa" w:w="100"/>
            </w:tcMar>
            <w:vAlign w:val="center"/>
          </w:tcPr>
          <w:p>
            <w:pPr>
              <w:spacing w:after="0"/>
            </w:pPr>
            <w:r>
              <w:rPr>
                <w:rFonts w:ascii="Calibri" w:cs="Calibri" w:eastAsia="Calibri" w:hAnsi="Calibri"/>
                <w:color w:val="1A202C"/>
                <w:sz w:val="18"/>
                <w:szCs w:val="18"/>
              </w:rPr>
              <w:t xml:space="preserve">~100 M€ programme allocation ceiling (default; configurable per scenario)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7920"/>
      </w:tblGrid>
      <w:tr>
        <w:tc>
          <w:tcPr>
            <w:tcW w:type="dxa" w:w="1440"/>
            <w:tcBorders>
              <w:top w:val="single" w:color="D5DAE0" w:sz="4"/>
              <w:left w:val="single" w:color="D5DAE0" w:sz="4"/>
              <w:bottom w:val="single" w:color="D5DAE0" w:sz="4"/>
              <w:right w:val="single" w:color="D5DAE0" w:sz="4"/>
            </w:tcBorders>
            <w:shd w:fill="0B5ED7"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Funding Gap</w:t>
            </w:r>
          </w:p>
        </w:tc>
        <w:tc>
          <w:tcPr>
            <w:tcW w:type="dxa" w:w="7920"/>
            <w:tcBorders>
              <w:top w:val="single" w:color="D5DAE0" w:sz="4"/>
              <w:left w:val="single" w:color="D5DAE0" w:sz="4"/>
              <w:bottom w:val="single" w:color="D5DAE0" w:sz="4"/>
              <w:right w:val="single" w:color="D5DAE0" w:sz="4"/>
            </w:tcBorders>
            <w:shd w:fill="EBF4FF" w:color="auto" w:val="clear"/>
            <w:tcMar>
              <w:top w:type="dxa" w:w="80"/>
              <w:left w:type="dxa" w:w="120"/>
              <w:bottom w:type="dxa" w:w="80"/>
              <w:right w:type="dxa" w:w="100"/>
            </w:tcMar>
            <w:vAlign w:val="center"/>
          </w:tcPr>
          <w:p>
            <w:pPr>
              <w:spacing w:after="0"/>
            </w:pPr>
            <w:r>
              <w:rPr>
                <w:rFonts w:ascii="Calibri" w:cs="Calibri" w:eastAsia="Calibri" w:hAnsi="Calibri"/>
                <w:color w:val="1A202C"/>
                <w:sz w:val="18"/>
                <w:szCs w:val="18"/>
              </w:rPr>
              <w:t xml:space="preserve">~180 M€ must be deprioritised — 64% of total demand cannot be funded at the 100 M€ ceiling</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7920"/>
      </w:tblGrid>
      <w:tr>
        <w:tc>
          <w:tcPr>
            <w:tcW w:type="dxa" w:w="1440"/>
            <w:tcBorders>
              <w:top w:val="single" w:color="D5DAE0" w:sz="4"/>
              <w:left w:val="single" w:color="D5DAE0" w:sz="4"/>
              <w:bottom w:val="single" w:color="D5DAE0" w:sz="4"/>
              <w:right w:val="single" w:color="D5DAE0" w:sz="4"/>
            </w:tcBorders>
            <w:shd w:fill="0B5ED7"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18"/>
                <w:szCs w:val="18"/>
              </w:rPr>
              <w:t xml:space="preserve">Stage Breakdown</w:t>
            </w:r>
          </w:p>
        </w:tc>
        <w:tc>
          <w:tcPr>
            <w:tcW w:type="dxa" w:w="7920"/>
            <w:tcBorders>
              <w:top w:val="single" w:color="D5DAE0" w:sz="4"/>
              <w:left w:val="single" w:color="D5DAE0" w:sz="4"/>
              <w:bottom w:val="single" w:color="D5DAE0" w:sz="4"/>
              <w:right w:val="single" w:color="D5DAE0" w:sz="4"/>
            </w:tcBorders>
            <w:shd w:fill="EBF4FF" w:color="auto" w:val="clear"/>
            <w:tcMar>
              <w:top w:type="dxa" w:w="80"/>
              <w:left w:type="dxa" w:w="120"/>
              <w:bottom w:type="dxa" w:w="80"/>
              <w:right w:type="dxa" w:w="100"/>
            </w:tcMar>
            <w:vAlign w:val="center"/>
          </w:tcPr>
          <w:p>
            <w:pPr>
              <w:spacing w:after="0"/>
            </w:pPr>
            <w:r>
              <w:rPr>
                <w:rFonts w:ascii="Calibri" w:cs="Calibri" w:eastAsia="Calibri" w:hAnsi="Calibri"/>
                <w:color w:val="1A202C"/>
                <w:sz w:val="18"/>
                <w:szCs w:val="18"/>
              </w:rPr>
              <w:t xml:space="preserve">P1 LFR: 85 progs (mandatory) · P2 Carry-over: 124 · P3 Sustain: 85 · P4 Value: 121 · P5 IT Simplification: 29 (optional lever)</w:t>
            </w:r>
          </w:p>
        </w:tc>
      </w:tr>
    </w:tbl>
    <w:p>
      <w:r>
        <w:br w:type="page"/>
      </w:r>
    </w:p>
    <w:p>
      <w:pPr>
        <w:pStyle w:val="Heading1"/>
        <w:pBdr>
          <w:bottom w:val="single" w:color="BDF0FF" w:sz="6"/>
        </w:pBdr>
        <w:shd w:fill="00126E" w:val="clear"/>
        <w:spacing w:after="120" w:before="360"/>
        <w:rPr>
          <w:color w:val="FFFFFF"/>
        </w:rPr>
      </w:pPr>
      <w:r>
        <w:t xml:space="preserve">§3  Detailed Feature List</w:t>
      </w:r>
      <w:r>
        <w:rPr>
          <w:rFonts w:ascii="Calibri" w:cs="Calibri" w:eastAsia="Calibri" w:hAnsi="Calibri"/>
          <w:b/>
          <w:bCs/>
          <w:color w:val="FFFFFF"/>
          <w:sz w:val="32"/>
          <w:szCs w:val="32"/>
        </w:rPr>
        <w:t xml:space="preserve">§3  Detailed Feature List</w:t>
      </w:r>
    </w:p>
    <w:p>
      <w:pPr>
        <w:spacing w:after="100"/>
      </w:pPr>
      <w:r>
        <w:rPr>
          <w:rFonts w:ascii="Calibri" w:cs="Calibri" w:eastAsia="Calibri" w:hAnsi="Calibri"/>
          <w:color w:val="1A202C"/>
          <w:sz w:val="20"/>
          <w:szCs w:val="20"/>
        </w:rPr>
        <w:t xml:space="preserve">The product consists of two linked HTML artefacts that together form the complete AOP 2027 toolset.</w:t>
      </w:r>
    </w:p>
    <w:p/>
    <w:p>
      <w:pPr>
        <w:pStyle w:val="Heading2"/>
        <w:pBdr>
          <w:bottom w:val="single" w:color="0B5ED7" w:sz="4"/>
        </w:pBdr>
        <w:spacing w:after="80" w:before="280"/>
      </w:pPr>
      <w:r>
        <w:rPr>
          <w:rFonts w:ascii="Calibri" w:cs="Calibri" w:eastAsia="Calibri" w:hAnsi="Calibri"/>
          <w:b/>
          <w:bCs/>
          <w:color w:val="00126E"/>
          <w:sz w:val="26"/>
          <w:szCs w:val="26"/>
        </w:rPr>
        <w:t xml:space="preserve">3.1  Scenario Modelling Navigator (Modeler)</w:t>
      </w:r>
    </w:p>
    <w:p>
      <w:pPr>
        <w:pStyle w:val="Heading3"/>
        <w:spacing w:after="60" w:before="200"/>
      </w:pPr>
      <w:r>
        <w:rPr>
          <w:rFonts w:ascii="Calibri" w:cs="Calibri" w:eastAsia="Calibri" w:hAnsi="Calibri"/>
          <w:b/>
          <w:bCs/>
          <w:color w:val="0B5ED7"/>
          <w:sz w:val="22"/>
          <w:szCs w:val="22"/>
        </w:rPr>
        <w:t xml:space="preserve">3.1.1  Data Ingestion &amp; Source Parsing</w:t>
      </w:r>
    </w:p>
    <w:p>
      <w:pPr>
        <w:pStyle w:val="ListParagraph"/>
        <w:numPr>
          <w:ilvl w:val="0"/>
          <w:numId w:val="2"/>
        </w:numPr>
        <w:spacing w:after="60"/>
      </w:pPr>
      <w:r>
        <w:rPr>
          <w:rFonts w:ascii="Calibri" w:cs="Calibri" w:eastAsia="Calibri" w:hAnsi="Calibri"/>
          <w:color w:val="1A202C"/>
          <w:sz w:val="20"/>
          <w:szCs w:val="20"/>
        </w:rPr>
        <w:t xml:space="preserve">Parses AOP 2027 Consolidated Live Excel workbook (.xlsx) via drag-and-drop file upload into the browser (SheetJS/xlsx library).</w:t>
      </w:r>
    </w:p>
    <w:p>
      <w:pPr>
        <w:pStyle w:val="ListParagraph"/>
        <w:numPr>
          <w:ilvl w:val="0"/>
          <w:numId w:val="2"/>
        </w:numPr>
        <w:spacing w:after="60"/>
      </w:pPr>
      <w:r>
        <w:rPr>
          <w:rFonts w:ascii="Calibri" w:cs="Calibri" w:eastAsia="Calibri" w:hAnsi="Calibri"/>
          <w:color w:val="1A202C"/>
          <w:sz w:val="20"/>
          <w:szCs w:val="20"/>
        </w:rPr>
        <w:t xml:space="preserve">Reads three source worksheets: EW (Enterprise-Wide), BU (Business Unit), and OPS (Operations/TCO).</w:t>
      </w:r>
    </w:p>
    <w:p>
      <w:pPr>
        <w:pStyle w:val="ListParagraph"/>
        <w:numPr>
          <w:ilvl w:val="0"/>
          <w:numId w:val="2"/>
        </w:numPr>
        <w:spacing w:after="60"/>
      </w:pPr>
      <w:r>
        <w:rPr>
          <w:rFonts w:ascii="Calibri" w:cs="Calibri" w:eastAsia="Calibri" w:hAnsi="Calibri"/>
          <w:color w:val="1A202C"/>
          <w:sz w:val="20"/>
          <w:szCs w:val="20"/>
        </w:rPr>
        <w:t xml:space="preserve">Converts K€ source amounts to M€ internal representation (÷ 1000).</w:t>
      </w:r>
    </w:p>
    <w:p>
      <w:pPr>
        <w:pStyle w:val="ListParagraph"/>
        <w:numPr>
          <w:ilvl w:val="0"/>
          <w:numId w:val="2"/>
        </w:numPr>
        <w:spacing w:after="60"/>
      </w:pPr>
      <w:r>
        <w:rPr>
          <w:rFonts w:ascii="Calibri" w:cs="Calibri" w:eastAsia="Calibri" w:hAnsi="Calibri"/>
          <w:color w:val="1A202C"/>
          <w:sz w:val="20"/>
          <w:szCs w:val="20"/>
        </w:rPr>
        <w:t xml:space="preserve">Deterministic stage classification engine assigns each programme to P1–P5 based on LFR flags, carry-over metadata, sustain categories, and IT Simplification toggle.</w:t>
      </w:r>
    </w:p>
    <w:p>
      <w:pPr>
        <w:pStyle w:val="ListParagraph"/>
        <w:numPr>
          <w:ilvl w:val="0"/>
          <w:numId w:val="2"/>
        </w:numPr>
        <w:spacing w:after="60"/>
      </w:pPr>
      <w:r>
        <w:rPr>
          <w:rFonts w:ascii="Calibri" w:cs="Calibri" w:eastAsia="Calibri" w:hAnsi="Calibri"/>
          <w:color w:val="1A202C"/>
          <w:sz w:val="20"/>
          <w:szCs w:val="20"/>
        </w:rPr>
        <w:t xml:space="preserve">Organisation name normalisation maps 80+ source variants to 35 canonical organisation names.</w:t>
      </w:r>
    </w:p>
    <w:p>
      <w:pPr>
        <w:pStyle w:val="ListParagraph"/>
        <w:numPr>
          <w:ilvl w:val="0"/>
          <w:numId w:val="2"/>
        </w:numPr>
        <w:spacing w:after="60"/>
      </w:pPr>
      <w:r>
        <w:rPr>
          <w:rFonts w:ascii="Calibri" w:cs="Calibri" w:eastAsia="Calibri" w:hAnsi="Calibri"/>
          <w:color w:val="1A202C"/>
          <w:sz w:val="20"/>
          <w:szCs w:val="20"/>
        </w:rPr>
        <w:t xml:space="preserve">Enterprise-Wide (EW) charging key parsed and stored for finance attribution.</w:t>
      </w:r>
    </w:p>
    <w:p>
      <w:pPr>
        <w:pStyle w:val="ListParagraph"/>
        <w:numPr>
          <w:ilvl w:val="0"/>
          <w:numId w:val="2"/>
        </w:numPr>
        <w:spacing w:after="60"/>
      </w:pPr>
      <w:r>
        <w:rPr>
          <w:rFonts w:ascii="Calibri" w:cs="Calibri" w:eastAsia="Calibri" w:hAnsi="Calibri"/>
          <w:color w:val="1A202C"/>
          <w:sz w:val="20"/>
          <w:szCs w:val="20"/>
        </w:rPr>
        <w:t xml:space="preserve">PMI programmes (type = PMI) auto-funded on top of budget; NDA programmes ring-fenced.</w:t>
      </w:r>
    </w:p>
    <w:p>
      <w:pPr>
        <w:pStyle w:val="ListParagraph"/>
        <w:numPr>
          <w:ilvl w:val="0"/>
          <w:numId w:val="2"/>
        </w:numPr>
        <w:spacing w:after="60"/>
      </w:pPr>
      <w:r>
        <w:rPr>
          <w:rFonts w:ascii="Calibri" w:cs="Calibri" w:eastAsia="Calibri" w:hAnsi="Calibri"/>
          <w:color w:val="1A202C"/>
          <w:sz w:val="20"/>
          <w:szCs w:val="20"/>
        </w:rPr>
        <w:t xml:space="preserve">Excluded register: zero-request records, template rows, and records with validation errors captured separately and never mixed into the allocation pool.</w:t>
      </w:r>
    </w:p>
    <w:p/>
    <w:p>
      <w:pPr>
        <w:pStyle w:val="Heading3"/>
        <w:spacing w:after="60" w:before="200"/>
      </w:pPr>
      <w:r>
        <w:rPr>
          <w:rFonts w:ascii="Calibri" w:cs="Calibri" w:eastAsia="Calibri" w:hAnsi="Calibri"/>
          <w:b/>
          <w:bCs/>
          <w:color w:val="0B5ED7"/>
          <w:sz w:val="22"/>
          <w:szCs w:val="22"/>
        </w:rPr>
        <w:t xml:space="preserve">3.1.2  Merit Scoring Engine</w:t>
      </w:r>
    </w:p>
    <w:p>
      <w:pPr>
        <w:spacing w:after="100"/>
      </w:pPr>
      <w:r>
        <w:rPr>
          <w:rFonts w:ascii="Calibri" w:cs="Calibri" w:eastAsia="Calibri" w:hAnsi="Calibri"/>
          <w:color w:val="1A202C"/>
          <w:sz w:val="20"/>
          <w:szCs w:val="20"/>
        </w:rPr>
        <w:t xml:space="preserve">Each programme receives a composite merit score out of 100 using five weighted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900"/>
        <w:gridCol w:w="4160"/>
        <w:gridCol w:w="1100"/>
      </w:tblGrid>
      <w:tr>
        <w:tc>
          <w:tcPr>
            <w:tcW w:type="dxa" w:w="22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Dimension</w:t>
            </w:r>
          </w:p>
        </w:tc>
        <w:tc>
          <w:tcPr>
            <w:tcW w:type="dxa" w:w="9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Weight</w:t>
            </w:r>
          </w:p>
        </w:tc>
        <w:tc>
          <w:tcPr>
            <w:tcW w:type="dxa" w:w="416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Calculation</w:t>
            </w:r>
          </w:p>
        </w:tc>
        <w:tc>
          <w:tcPr>
            <w:tcW w:type="dxa" w:w="11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Max Points</w:t>
            </w:r>
          </w:p>
        </w:tc>
      </w:tr>
      <w:tr>
        <w:tc>
          <w:tcPr>
            <w:tcW w:type="dxa" w:w="2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Annual BCR (Benefit-Cost Ratio)</w:t>
            </w:r>
          </w:p>
        </w:tc>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40%</w:t>
            </w:r>
          </w:p>
        </w:tc>
        <w:tc>
          <w:tcPr>
            <w:tcW w:type="dxa" w:w="4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Avg Annual Benefit ÷ Requested Cost; benefit ÷ duration (default 3 yr)</w:t>
            </w:r>
          </w:p>
        </w:tc>
        <w:tc>
          <w:tcPr>
            <w:tcW w:type="dxa" w:w="11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40.0</w:t>
            </w:r>
          </w:p>
        </w:tc>
      </w:tr>
      <w:tr>
        <w:tc>
          <w:tcPr>
            <w:tcW w:type="dxa" w:w="2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Submitted Priority</w:t>
            </w:r>
          </w:p>
        </w:tc>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25%</w:t>
            </w:r>
          </w:p>
        </w:tc>
        <w:tc>
          <w:tcPr>
            <w:tcW w:type="dxa" w:w="4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Must Do = 25 pts, Must Have = 18 pts, Deprioritised = 5 pts, Blank = 0</w:t>
            </w:r>
          </w:p>
        </w:tc>
        <w:tc>
          <w:tcPr>
            <w:tcW w:type="dxa" w:w="11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25.0</w:t>
            </w:r>
          </w:p>
        </w:tc>
      </w:tr>
      <w:tr>
        <w:tc>
          <w:tcPr>
            <w:tcW w:type="dxa" w:w="2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Captured Consequence</w:t>
            </w:r>
          </w:p>
        </w:tc>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15%</w:t>
            </w:r>
          </w:p>
        </w:tc>
        <w:tc>
          <w:tcPr>
            <w:tcW w:type="dxa" w:w="4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Quantified/Enterprise = 15, Explicit harm = 10, Contextual = 5, None = 0</w:t>
            </w:r>
          </w:p>
        </w:tc>
        <w:tc>
          <w:tcPr>
            <w:tcW w:type="dxa" w:w="11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15.0</w:t>
            </w:r>
          </w:p>
        </w:tc>
      </w:tr>
      <w:tr>
        <w:tc>
          <w:tcPr>
            <w:tcW w:type="dxa" w:w="2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Decision Band</w:t>
            </w:r>
          </w:p>
        </w:tc>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10%</w:t>
            </w:r>
          </w:p>
        </w:tc>
        <w:tc>
          <w:tcPr>
            <w:tcW w:type="dxa" w:w="4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Healthy = 10 pts, Contain = 6 pts, Blank/Other = 0</w:t>
            </w:r>
          </w:p>
        </w:tc>
        <w:tc>
          <w:tcPr>
            <w:tcW w:type="dxa" w:w="11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10.0</w:t>
            </w:r>
          </w:p>
        </w:tc>
      </w:tr>
      <w:tr>
        <w:tc>
          <w:tcPr>
            <w:tcW w:type="dxa" w:w="2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Payback Period</w:t>
            </w:r>
          </w:p>
        </w:tc>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10%</w:t>
            </w:r>
          </w:p>
        </w:tc>
        <w:tc>
          <w:tcPr>
            <w:tcW w:type="dxa" w:w="4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≤1yr=10, ≤2yr=8, ≤3yr=6, ≤5yr=4, &gt;5yr/missing=0</w:t>
            </w:r>
          </w:p>
        </w:tc>
        <w:tc>
          <w:tcPr>
            <w:tcW w:type="dxa" w:w="11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10.0</w:t>
            </w:r>
          </w:p>
        </w:tc>
      </w:tr>
    </w:tbl>
    <w:p/>
    <w:p>
      <w:pPr>
        <w:pStyle w:val="ListParagraph"/>
        <w:numPr>
          <w:ilvl w:val="0"/>
          <w:numId w:val="2"/>
        </w:numPr>
        <w:spacing w:after="60"/>
      </w:pPr>
      <w:r>
        <w:rPr>
          <w:rFonts w:ascii="Calibri" w:cs="Calibri" w:eastAsia="Calibri" w:hAnsi="Calibri"/>
          <w:color w:val="1A202C"/>
          <w:sz w:val="20"/>
          <w:szCs w:val="20"/>
        </w:rPr>
        <w:t xml:space="preserve">Qualitative BCR fallback: keyword-based NLP scoring (revenue/productivity = 3; specific text &gt;50 chars = 2; general = 1; insufficient = 0) → (score/5) × 40.</w:t>
      </w:r>
    </w:p>
    <w:p>
      <w:pPr>
        <w:pStyle w:val="ListParagraph"/>
        <w:numPr>
          <w:ilvl w:val="0"/>
          <w:numId w:val="2"/>
        </w:numPr>
        <w:spacing w:after="60"/>
      </w:pPr>
      <w:r>
        <w:rPr>
          <w:rFonts w:ascii="Calibri" w:cs="Calibri" w:eastAsia="Calibri" w:hAnsi="Calibri"/>
          <w:color w:val="1A202C"/>
          <w:sz w:val="20"/>
          <w:szCs w:val="20"/>
        </w:rPr>
        <w:t xml:space="preserve">Hard vs Soft benefit classification by Investment Area (Column O): Revenue Increase / Productivity Savings = Hard; all others = Soft.</w:t>
      </w:r>
    </w:p>
    <w:p>
      <w:pPr>
        <w:pStyle w:val="ListParagraph"/>
        <w:numPr>
          <w:ilvl w:val="0"/>
          <w:numId w:val="2"/>
        </w:numPr>
        <w:spacing w:after="60"/>
      </w:pPr>
      <w:r>
        <w:rPr>
          <w:rFonts w:ascii="Calibri" w:cs="Calibri" w:eastAsia="Calibri" w:hAnsi="Calibri"/>
          <w:color w:val="1A202C"/>
          <w:sz w:val="20"/>
          <w:szCs w:val="20"/>
        </w:rPr>
        <w:t xml:space="preserve">Benefit duration parser: 3-state (explicit years, derived from text, defaulted to 3 yr with flag).</w:t>
      </w:r>
    </w:p>
    <w:p>
      <w:pPr>
        <w:pStyle w:val="ListParagraph"/>
        <w:numPr>
          <w:ilvl w:val="0"/>
          <w:numId w:val="2"/>
        </w:numPr>
        <w:spacing w:after="60"/>
      </w:pPr>
      <w:r>
        <w:rPr>
          <w:rFonts w:ascii="Calibri" w:cs="Calibri" w:eastAsia="Calibri" w:hAnsi="Calibri"/>
          <w:color w:val="1A202C"/>
          <w:sz w:val="20"/>
          <w:szCs w:val="20"/>
        </w:rPr>
        <w:t xml:space="preserve">Manual merit review override: ExCo officers can set a bespoke merit score with a mandatory evidence note.</w:t>
      </w:r>
    </w:p>
    <w:p/>
    <w:p>
      <w:pPr>
        <w:pStyle w:val="Heading3"/>
        <w:spacing w:after="60" w:before="200"/>
      </w:pPr>
      <w:r>
        <w:rPr>
          <w:rFonts w:ascii="Calibri" w:cs="Calibri" w:eastAsia="Calibri" w:hAnsi="Calibri"/>
          <w:b/>
          <w:bCs/>
          <w:color w:val="0B5ED7"/>
          <w:sz w:val="22"/>
          <w:szCs w:val="22"/>
        </w:rPr>
        <w:t xml:space="preserve">3.1.3  Investment Levers (5 Configurable Sliders)</w:t>
      </w:r>
    </w:p>
    <w:p>
      <w:pPr>
        <w:spacing w:after="100"/>
      </w:pPr>
      <w:r>
        <w:rPr>
          <w:rFonts w:ascii="Calibri" w:cs="Calibri" w:eastAsia="Calibri" w:hAnsi="Calibri"/>
          <w:color w:val="1A202C"/>
          <w:sz w:val="20"/>
          <w:szCs w:val="20"/>
        </w:rPr>
        <w:t xml:space="preserve">Five independent lever controls configure stage allocation targets. Each lever supports three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Mode</w:t>
            </w:r>
          </w:p>
        </w:tc>
        <w:tc>
          <w:tcPr>
            <w:tcW w:type="dxa" w:w="696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Behaviour</w:t>
            </w:r>
          </w:p>
        </w:tc>
      </w:tr>
      <w:tr>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 of Bucket</w:t>
            </w:r>
          </w:p>
        </w:tc>
        <w:tc>
          <w:tcPr>
            <w:tcW w:type="dxa" w:w="6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target = stage_demand × pct ÷ 100  (default)</w:t>
            </w:r>
          </w:p>
        </w:tc>
      </w:tr>
      <w:tr>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 of AOP</w:t>
            </w:r>
          </w:p>
        </w:tc>
        <w:tc>
          <w:tcPr>
            <w:tcW w:type="dxa" w:w="6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target = Total_AOP × pct ÷ 100</w:t>
            </w:r>
          </w:p>
        </w:tc>
      </w:tr>
      <w:tr>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M€ Amount</w:t>
            </w:r>
          </w:p>
        </w:tc>
        <w:tc>
          <w:tcPr>
            <w:tcW w:type="dxa" w:w="6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target = directly entered monetary amount</w:t>
            </w:r>
          </w:p>
        </w:tc>
      </w:tr>
    </w:tbl>
    <w:p/>
    <w:p>
      <w:pPr>
        <w:spacing w:after="100"/>
      </w:pPr>
      <w:r>
        <w:rPr>
          <w:rFonts w:ascii="Calibri" w:cs="Calibri" w:eastAsia="Calibri" w:hAnsi="Calibri"/>
          <w:color w:val="1A202C"/>
          <w:sz w:val="20"/>
          <w:szCs w:val="20"/>
        </w:rPr>
        <w:t xml:space="preserve">The five levers and their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800"/>
        <w:gridCol w:w="1400"/>
        <w:gridCol w:w="1400"/>
        <w:gridCol w:w="2960"/>
      </w:tblGrid>
      <w:tr>
        <w:tc>
          <w:tcPr>
            <w:tcW w:type="dxa" w:w="18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Lever</w:t>
            </w:r>
          </w:p>
        </w:tc>
        <w:tc>
          <w:tcPr>
            <w:tcW w:type="dxa" w:w="18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Stage</w:t>
            </w:r>
          </w:p>
        </w:tc>
        <w:tc>
          <w:tcPr>
            <w:tcW w:type="dxa" w:w="14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Default Mode</w:t>
            </w:r>
          </w:p>
        </w:tc>
        <w:tc>
          <w:tcPr>
            <w:tcW w:type="dxa" w:w="14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Default Value</w:t>
            </w:r>
          </w:p>
        </w:tc>
        <w:tc>
          <w:tcPr>
            <w:tcW w:type="dxa" w:w="296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Notes</w:t>
            </w:r>
          </w:p>
        </w:tc>
      </w:tr>
      <w:tr>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L1 — LFR</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P1 Legal &amp; Regulatory</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 Bucket</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100%</w:t>
            </w:r>
          </w:p>
        </w:tc>
        <w:tc>
          <w:tcPr>
            <w:tcW w:type="dxa" w:w="2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Must-fund mandatory compliance. Hard floor.</w:t>
            </w:r>
          </w:p>
        </w:tc>
      </w:tr>
      <w:tr>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L2 — Carry-over</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P2 Carry-over programmes</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 Bucket</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100%</w:t>
            </w:r>
          </w:p>
        </w:tc>
        <w:tc>
          <w:tcPr>
            <w:tcW w:type="dxa" w:w="2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Cap = min(Requested, Carry Over Baselined). Priority filter applies.</w:t>
            </w:r>
          </w:p>
        </w:tc>
      </w:tr>
      <w:tr>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L3 — Sustain &amp; Hygiene</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P3 Change &amp; Sustain</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M€ Amount</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20 M€</w:t>
            </w:r>
          </w:p>
        </w:tc>
        <w:tc>
          <w:tcPr>
            <w:tcW w:type="dxa" w:w="2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Hygiene floor for IT run-the-business.</w:t>
            </w:r>
          </w:p>
        </w:tc>
      </w:tr>
      <w:tr>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L4 — Value Portfolio</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P4 Merit-ranked new demand</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 Bucket</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100%</w:t>
            </w:r>
          </w:p>
        </w:tc>
        <w:tc>
          <w:tcPr>
            <w:tcW w:type="dxa" w:w="2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Primary competitive allocation; merit rank order.</w:t>
            </w:r>
          </w:p>
        </w:tc>
      </w:tr>
      <w:tr>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L5 — IT Simplification</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P5 Decomm/Replatform</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 Bucket</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0% (OFF)</w:t>
            </w:r>
          </w:p>
        </w:tc>
        <w:tc>
          <w:tcPr>
            <w:tcW w:type="dxa" w:w="2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Opt-in only. Toggle activates P5 bucket separately.</w:t>
            </w:r>
          </w:p>
        </w:tc>
      </w:tr>
    </w:tbl>
    <w:p/>
    <w:p>
      <w:pPr>
        <w:pStyle w:val="Heading3"/>
        <w:spacing w:after="60" w:before="200"/>
      </w:pPr>
      <w:r>
        <w:rPr>
          <w:rFonts w:ascii="Calibri" w:cs="Calibri" w:eastAsia="Calibri" w:hAnsi="Calibri"/>
          <w:b/>
          <w:bCs/>
          <w:color w:val="0B5ED7"/>
          <w:sz w:val="22"/>
          <w:szCs w:val="22"/>
        </w:rPr>
        <w:t xml:space="preserve">3.1.4  Scenario Presets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Preset</w:t>
            </w:r>
          </w:p>
        </w:tc>
        <w:tc>
          <w:tcPr>
            <w:tcW w:type="dxa" w:w="696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Description</w:t>
            </w:r>
          </w:p>
        </w:tc>
      </w:tr>
      <w:tr>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Optimal Segmentation</w:t>
            </w:r>
          </w:p>
        </w:tc>
        <w:tc>
          <w:tcPr>
            <w:tcW w:type="dxa" w:w="6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Default. Auto-calibrates levers from source data. Maximises funded count within budget.</w:t>
            </w:r>
          </w:p>
        </w:tc>
      </w:tr>
      <w:tr>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Balanced Portfolio</w:t>
            </w:r>
          </w:p>
        </w:tc>
        <w:tc>
          <w:tcPr>
            <w:tcW w:type="dxa" w:w="6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Structured sub-allocation: CCB 70%, ISC 10 M€, STO 20 M€, Regions 5 M€, NAR EW-28 inclusion. Protects regional and supply-chain investment floors.</w:t>
            </w:r>
          </w:p>
        </w:tc>
      </w:tr>
      <w:tr>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Conservative</w:t>
            </w:r>
          </w:p>
        </w:tc>
        <w:tc>
          <w:tcPr>
            <w:tcW w:type="dxa" w:w="6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Tighter merit floor; fewer value-stage programmes funded. Risk-averse.</w:t>
            </w:r>
          </w:p>
        </w:tc>
      </w:tr>
      <w:tr>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Aggressive Growth</w:t>
            </w:r>
          </w:p>
        </w:tc>
        <w:tc>
          <w:tcPr>
            <w:tcW w:type="dxa" w:w="6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Lower merit threshold; maximises programme count at cost of average BCR quality.</w:t>
            </w:r>
          </w:p>
        </w:tc>
      </w:tr>
    </w:tbl>
    <w:p/>
    <w:p>
      <w:pPr>
        <w:pStyle w:val="Heading3"/>
        <w:spacing w:after="60" w:before="200"/>
      </w:pPr>
      <w:r>
        <w:rPr>
          <w:rFonts w:ascii="Calibri" w:cs="Calibri" w:eastAsia="Calibri" w:hAnsi="Calibri"/>
          <w:b/>
          <w:bCs/>
          <w:color w:val="0B5ED7"/>
          <w:sz w:val="22"/>
          <w:szCs w:val="22"/>
        </w:rPr>
        <w:t xml:space="preserve">3.1.5  Manual Override System</w:t>
      </w:r>
    </w:p>
    <w:p>
      <w:pPr>
        <w:pStyle w:val="ListParagraph"/>
        <w:numPr>
          <w:ilvl w:val="0"/>
          <w:numId w:val="2"/>
        </w:numPr>
        <w:spacing w:after="60"/>
      </w:pPr>
      <w:r>
        <w:rPr>
          <w:rFonts w:ascii="Calibri" w:cs="Calibri" w:eastAsia="Calibri" w:hAnsi="Calibri"/>
          <w:color w:val="1A202C"/>
          <w:sz w:val="20"/>
          <w:szCs w:val="20"/>
        </w:rPr>
        <w:t xml:space="preserve">Programme-level decisions: Include (force-fund), Exclude (force-defund), or Partial Scope (set a funded amount &lt; requested).</w:t>
      </w:r>
    </w:p>
    <w:p>
      <w:pPr>
        <w:pStyle w:val="ListParagraph"/>
        <w:numPr>
          <w:ilvl w:val="0"/>
          <w:numId w:val="2"/>
        </w:numPr>
        <w:spacing w:after="60"/>
      </w:pPr>
      <w:r>
        <w:rPr>
          <w:rFonts w:ascii="Calibri" w:cs="Calibri" w:eastAsia="Calibri" w:hAnsi="Calibri"/>
          <w:color w:val="1A202C"/>
          <w:sz w:val="20"/>
          <w:szCs w:val="20"/>
        </w:rPr>
        <w:t xml:space="preserve">Every override requires a written rationale note and is stored in the session event log.</w:t>
      </w:r>
    </w:p>
    <w:p>
      <w:pPr>
        <w:pStyle w:val="ListParagraph"/>
        <w:numPr>
          <w:ilvl w:val="0"/>
          <w:numId w:val="2"/>
        </w:numPr>
        <w:spacing w:after="60"/>
      </w:pPr>
      <w:r>
        <w:rPr>
          <w:rFonts w:ascii="Calibri" w:cs="Calibri" w:eastAsia="Calibri" w:hAnsi="Calibri"/>
          <w:color w:val="1A202C"/>
          <w:sz w:val="20"/>
          <w:szCs w:val="20"/>
        </w:rPr>
        <w:t xml:space="preserve">Hold detection: engine auto-detects 15+ hold conditions (missing cost, negative benefit, unmapped decision band, below merit floor, Contain without condition, etc.) and surfaces them as coloured badges.</w:t>
      </w:r>
    </w:p>
    <w:p>
      <w:pPr>
        <w:pStyle w:val="ListParagraph"/>
        <w:numPr>
          <w:ilvl w:val="0"/>
          <w:numId w:val="2"/>
        </w:numPr>
        <w:spacing w:after="60"/>
      </w:pPr>
      <w:r>
        <w:rPr>
          <w:rFonts w:ascii="Calibri" w:cs="Calibri" w:eastAsia="Calibri" w:hAnsi="Calibri"/>
          <w:color w:val="1A202C"/>
          <w:sz w:val="20"/>
          <w:szCs w:val="20"/>
        </w:rPr>
        <w:t xml:space="preserve">Override protection: manually included/excluded programmes are flagged as _protected and never disturbed by engine re-runs.</w:t>
      </w:r>
    </w:p>
    <w:p>
      <w:pPr>
        <w:pStyle w:val="ListParagraph"/>
        <w:numPr>
          <w:ilvl w:val="0"/>
          <w:numId w:val="2"/>
        </w:numPr>
        <w:spacing w:after="60"/>
      </w:pPr>
      <w:r>
        <w:rPr>
          <w:rFonts w:ascii="Calibri" w:cs="Calibri" w:eastAsia="Calibri" w:hAnsi="Calibri"/>
          <w:color w:val="1A202C"/>
          <w:sz w:val="20"/>
          <w:szCs w:val="20"/>
        </w:rPr>
        <w:t xml:space="preserve">LFR ExCo Decision table: pre-loaded opt-out decisions for specific LFR programmes that have been bilaterally agreed out-of-scope.</w:t>
      </w:r>
    </w:p>
    <w:p/>
    <w:p>
      <w:pPr>
        <w:pStyle w:val="Heading3"/>
        <w:spacing w:after="60" w:before="200"/>
      </w:pPr>
      <w:r>
        <w:rPr>
          <w:rFonts w:ascii="Calibri" w:cs="Calibri" w:eastAsia="Calibri" w:hAnsi="Calibri"/>
          <w:b/>
          <w:bCs/>
          <w:color w:val="0B5ED7"/>
          <w:sz w:val="22"/>
          <w:szCs w:val="22"/>
        </w:rPr>
        <w:t xml:space="preserve">3.1.6  ExCo Trade-off Mode</w:t>
      </w:r>
    </w:p>
    <w:p>
      <w:pPr>
        <w:pStyle w:val="ListParagraph"/>
        <w:numPr>
          <w:ilvl w:val="0"/>
          <w:numId w:val="2"/>
        </w:numPr>
        <w:spacing w:after="60"/>
      </w:pPr>
      <w:r>
        <w:rPr>
          <w:rFonts w:ascii="Calibri" w:cs="Calibri" w:eastAsia="Calibri" w:hAnsi="Calibri"/>
          <w:color w:val="1A202C"/>
          <w:sz w:val="20"/>
          <w:szCs w:val="20"/>
        </w:rPr>
        <w:t xml:space="preserve">Organisation-by-organisation negotiation panel showing requested vs funded delta per ExCo member.</w:t>
      </w:r>
    </w:p>
    <w:p>
      <w:pPr>
        <w:pStyle w:val="ListParagraph"/>
        <w:numPr>
          <w:ilvl w:val="0"/>
          <w:numId w:val="2"/>
        </w:numPr>
        <w:spacing w:after="60"/>
      </w:pPr>
      <w:r>
        <w:rPr>
          <w:rFonts w:ascii="Calibri" w:cs="Calibri" w:eastAsia="Calibri" w:hAnsi="Calibri"/>
          <w:color w:val="1A202C"/>
          <w:sz w:val="20"/>
          <w:szCs w:val="20"/>
        </w:rPr>
        <w:t xml:space="preserve">Apply button propagates one ExCo's trade-off decisions without affecting Total AOP.</w:t>
      </w:r>
    </w:p>
    <w:p>
      <w:pPr>
        <w:pStyle w:val="ListParagraph"/>
        <w:numPr>
          <w:ilvl w:val="0"/>
          <w:numId w:val="2"/>
        </w:numPr>
        <w:spacing w:after="60"/>
      </w:pPr>
      <w:r>
        <w:rPr>
          <w:rFonts w:ascii="Calibri" w:cs="Calibri" w:eastAsia="Calibri" w:hAnsi="Calibri"/>
          <w:color w:val="1A202C"/>
          <w:sz w:val="20"/>
          <w:szCs w:val="20"/>
        </w:rPr>
        <w:t xml:space="preserve">All-stage view shows cross-stage programme portfolio per ExCo with toggle-level detail.</w:t>
      </w:r>
    </w:p>
    <w:p>
      <w:pPr>
        <w:pStyle w:val="ListParagraph"/>
        <w:numPr>
          <w:ilvl w:val="0"/>
          <w:numId w:val="2"/>
        </w:numPr>
        <w:spacing w:after="60"/>
      </w:pPr>
      <w:r>
        <w:rPr>
          <w:rFonts w:ascii="Calibri" w:cs="Calibri" w:eastAsia="Calibri" w:hAnsi="Calibri"/>
          <w:color w:val="1A202C"/>
          <w:sz w:val="20"/>
          <w:szCs w:val="20"/>
        </w:rPr>
        <w:t xml:space="preserve">Configurable tolerance band (e.g. ±2%) to prevent exact-change micro-adjustments.</w:t>
      </w:r>
    </w:p>
    <w:p/>
    <w:p>
      <w:pPr>
        <w:pStyle w:val="Heading3"/>
        <w:spacing w:after="60" w:before="200"/>
      </w:pPr>
      <w:r>
        <w:rPr>
          <w:rFonts w:ascii="Calibri" w:cs="Calibri" w:eastAsia="Calibri" w:hAnsi="Calibri"/>
          <w:b/>
          <w:bCs/>
          <w:color w:val="0B5ED7"/>
          <w:sz w:val="22"/>
          <w:szCs w:val="22"/>
        </w:rPr>
        <w:t xml:space="preserve">3.1.7  Scenario Management</w:t>
      </w:r>
    </w:p>
    <w:p>
      <w:pPr>
        <w:pStyle w:val="ListParagraph"/>
        <w:numPr>
          <w:ilvl w:val="0"/>
          <w:numId w:val="2"/>
        </w:numPr>
        <w:spacing w:after="60"/>
      </w:pPr>
      <w:r>
        <w:rPr>
          <w:rFonts w:ascii="Calibri" w:cs="Calibri" w:eastAsia="Calibri" w:hAnsi="Calibri"/>
          <w:color w:val="1A202C"/>
          <w:sz w:val="20"/>
          <w:szCs w:val="20"/>
        </w:rPr>
        <w:t xml:space="preserve">Fork: clone any scenario to a new working version; parent is preserved.</w:t>
      </w:r>
    </w:p>
    <w:p>
      <w:pPr>
        <w:pStyle w:val="ListParagraph"/>
        <w:numPr>
          <w:ilvl w:val="0"/>
          <w:numId w:val="2"/>
        </w:numPr>
        <w:spacing w:after="60"/>
      </w:pPr>
      <w:r>
        <w:rPr>
          <w:rFonts w:ascii="Calibri" w:cs="Calibri" w:eastAsia="Calibri" w:hAnsi="Calibri"/>
          <w:color w:val="1A202C"/>
          <w:sz w:val="20"/>
          <w:szCs w:val="20"/>
        </w:rPr>
        <w:t xml:space="preserve">Finalise: lock a scenario; prevents further edits until a fork is created.</w:t>
      </w:r>
    </w:p>
    <w:p>
      <w:pPr>
        <w:pStyle w:val="ListParagraph"/>
        <w:numPr>
          <w:ilvl w:val="0"/>
          <w:numId w:val="2"/>
        </w:numPr>
        <w:spacing w:after="60"/>
      </w:pPr>
      <w:r>
        <w:rPr>
          <w:rFonts w:ascii="Calibri" w:cs="Calibri" w:eastAsia="Calibri" w:hAnsi="Calibri"/>
          <w:color w:val="1A202C"/>
          <w:sz w:val="20"/>
          <w:szCs w:val="20"/>
        </w:rPr>
        <w:t xml:space="preserve">Event log: every setting change, override, and apply action is time-stamped and stored.</w:t>
      </w:r>
    </w:p>
    <w:p>
      <w:pPr>
        <w:pStyle w:val="ListParagraph"/>
        <w:numPr>
          <w:ilvl w:val="0"/>
          <w:numId w:val="2"/>
        </w:numPr>
        <w:spacing w:after="60"/>
      </w:pPr>
      <w:r>
        <w:rPr>
          <w:rFonts w:ascii="Calibri" w:cs="Calibri" w:eastAsia="Calibri" w:hAnsi="Calibri"/>
          <w:color w:val="1A202C"/>
          <w:sz w:val="20"/>
          <w:szCs w:val="20"/>
        </w:rPr>
        <w:t xml:space="preserve">Local persistence: scenario state serialised to localStorage or exported as JSON.</w:t>
      </w:r>
    </w:p>
    <w:p/>
    <w:p>
      <w:pPr>
        <w:pStyle w:val="Heading3"/>
        <w:spacing w:after="60" w:before="200"/>
      </w:pPr>
      <w:r>
        <w:rPr>
          <w:rFonts w:ascii="Calibri" w:cs="Calibri" w:eastAsia="Calibri" w:hAnsi="Calibri"/>
          <w:b/>
          <w:bCs/>
          <w:color w:val="0B5ED7"/>
          <w:sz w:val="22"/>
          <w:szCs w:val="22"/>
        </w:rPr>
        <w:t xml:space="preserve">3.1.8  Finance Attribution (One Portfolio)</w:t>
      </w:r>
    </w:p>
    <w:p>
      <w:pPr>
        <w:pStyle w:val="ListParagraph"/>
        <w:numPr>
          <w:ilvl w:val="0"/>
          <w:numId w:val="2"/>
        </w:numPr>
        <w:spacing w:after="60"/>
      </w:pPr>
      <w:r>
        <w:rPr>
          <w:rFonts w:ascii="Calibri" w:cs="Calibri" w:eastAsia="Calibri" w:hAnsi="Calibri"/>
          <w:color w:val="1A202C"/>
          <w:sz w:val="20"/>
          <w:szCs w:val="20"/>
        </w:rPr>
        <w:t xml:space="preserve">Two-pillar IT cost model: Pillar 1 = Programme demand (dynamic); Pillar 2 = Operations TCO (fixed, from Bill of IT workbook).</w:t>
      </w:r>
    </w:p>
    <w:p>
      <w:pPr>
        <w:pStyle w:val="ListParagraph"/>
        <w:numPr>
          <w:ilvl w:val="0"/>
          <w:numId w:val="2"/>
        </w:numPr>
        <w:spacing w:after="60"/>
      </w:pPr>
      <w:r>
        <w:rPr>
          <w:rFonts w:ascii="Calibri" w:cs="Calibri" w:eastAsia="Calibri" w:hAnsi="Calibri"/>
          <w:color w:val="1A202C"/>
          <w:sz w:val="20"/>
          <w:szCs w:val="20"/>
        </w:rPr>
        <w:t xml:space="preserve">Formula: Total IT AOP = Prioritised Programme AOP + Operations AOP.</w:t>
      </w:r>
    </w:p>
    <w:p>
      <w:pPr>
        <w:pStyle w:val="ListParagraph"/>
        <w:numPr>
          <w:ilvl w:val="0"/>
          <w:numId w:val="2"/>
        </w:numPr>
        <w:spacing w:after="60"/>
      </w:pPr>
      <w:r>
        <w:rPr>
          <w:rFonts w:ascii="Calibri" w:cs="Calibri" w:eastAsia="Calibri" w:hAnsi="Calibri"/>
          <w:color w:val="1A202C"/>
          <w:sz w:val="20"/>
          <w:szCs w:val="20"/>
        </w:rPr>
        <w:t xml:space="preserve">EW charging key distributes cross-BU programme costs proportionally to each sub-organisation.</w:t>
      </w:r>
    </w:p>
    <w:p>
      <w:pPr>
        <w:pStyle w:val="ListParagraph"/>
        <w:numPr>
          <w:ilvl w:val="0"/>
          <w:numId w:val="2"/>
        </w:numPr>
        <w:spacing w:after="60"/>
      </w:pPr>
      <w:r>
        <w:rPr>
          <w:rFonts w:ascii="Calibri" w:cs="Calibri" w:eastAsia="Calibri" w:hAnsi="Calibri"/>
          <w:color w:val="1A202C"/>
          <w:sz w:val="20"/>
          <w:szCs w:val="20"/>
        </w:rPr>
        <w:t xml:space="preserve">PMI programmes funded on top — not charged to any BU's budget.</w:t>
      </w:r>
    </w:p>
    <w:p>
      <w:pPr>
        <w:pStyle w:val="ListParagraph"/>
        <w:numPr>
          <w:ilvl w:val="0"/>
          <w:numId w:val="2"/>
        </w:numPr>
        <w:spacing w:after="60"/>
      </w:pPr>
      <w:r>
        <w:rPr>
          <w:rFonts w:ascii="Calibri" w:cs="Calibri" w:eastAsia="Calibri" w:hAnsi="Calibri"/>
          <w:color w:val="1A202C"/>
          <w:sz w:val="20"/>
          <w:szCs w:val="20"/>
        </w:rPr>
        <w:t xml:space="preserve">Organisation IT Charge = Programme Funded Amount + Operations TCO (per organisation).</w:t>
      </w:r>
    </w:p>
    <w:p>
      <w:pPr>
        <w:pStyle w:val="ListParagraph"/>
        <w:numPr>
          <w:ilvl w:val="0"/>
          <w:numId w:val="2"/>
        </w:numPr>
        <w:spacing w:after="60"/>
      </w:pPr>
      <w:r>
        <w:rPr>
          <w:rFonts w:ascii="Calibri" w:cs="Calibri" w:eastAsia="Calibri" w:hAnsi="Calibri"/>
          <w:color w:val="1A202C"/>
          <w:sz w:val="20"/>
          <w:szCs w:val="20"/>
        </w:rPr>
        <w:t xml:space="preserve">Full ledger exported: every programme-to-organisation allocation line with source references.</w:t>
      </w:r>
    </w:p>
    <w:p/>
    <w:p>
      <w:pPr>
        <w:pStyle w:val="Heading3"/>
        <w:spacing w:after="60" w:before="200"/>
      </w:pPr>
      <w:r>
        <w:rPr>
          <w:rFonts w:ascii="Calibri" w:cs="Calibri" w:eastAsia="Calibri" w:hAnsi="Calibri"/>
          <w:b/>
          <w:bCs/>
          <w:color w:val="0B5ED7"/>
          <w:sz w:val="22"/>
          <w:szCs w:val="22"/>
        </w:rPr>
        <w:t xml:space="preserve">3.1.9  KPI Dashboard (Scenario Tab)</w:t>
      </w:r>
    </w:p>
    <w:p>
      <w:pPr>
        <w:pStyle w:val="ListParagraph"/>
        <w:numPr>
          <w:ilvl w:val="0"/>
          <w:numId w:val="2"/>
        </w:numPr>
        <w:spacing w:after="60"/>
      </w:pPr>
      <w:r>
        <w:rPr>
          <w:rFonts w:ascii="Calibri" w:cs="Calibri" w:eastAsia="Calibri" w:hAnsi="Calibri"/>
          <w:color w:val="1A202C"/>
          <w:sz w:val="20"/>
          <w:szCs w:val="20"/>
        </w:rPr>
        <w:t xml:space="preserve">Real-time KPI cards: Total Requested, Allocated, Unfunded, Budget Headroom, Programme Count.</w:t>
      </w:r>
    </w:p>
    <w:p>
      <w:pPr>
        <w:pStyle w:val="ListParagraph"/>
        <w:numPr>
          <w:ilvl w:val="0"/>
          <w:numId w:val="2"/>
        </w:numPr>
        <w:spacing w:after="60"/>
      </w:pPr>
      <w:r>
        <w:rPr>
          <w:rFonts w:ascii="Calibri" w:cs="Calibri" w:eastAsia="Calibri" w:hAnsi="Calibri"/>
          <w:color w:val="1A202C"/>
          <w:sz w:val="20"/>
          <w:szCs w:val="20"/>
        </w:rPr>
        <w:t xml:space="preserve">Hard Benefit total vs Soft Benefit total shown separately (never combined).</w:t>
      </w:r>
    </w:p>
    <w:p>
      <w:pPr>
        <w:pStyle w:val="ListParagraph"/>
        <w:numPr>
          <w:ilvl w:val="0"/>
          <w:numId w:val="2"/>
        </w:numPr>
        <w:spacing w:after="60"/>
      </w:pPr>
      <w:r>
        <w:rPr>
          <w:rFonts w:ascii="Calibri" w:cs="Calibri" w:eastAsia="Calibri" w:hAnsi="Calibri"/>
          <w:color w:val="1A202C"/>
          <w:sz w:val="20"/>
          <w:szCs w:val="20"/>
        </w:rPr>
        <w:t xml:space="preserve">PMI on-top amount displayed as a separate KPI.</w:t>
      </w:r>
    </w:p>
    <w:p>
      <w:pPr>
        <w:pStyle w:val="ListParagraph"/>
        <w:numPr>
          <w:ilvl w:val="0"/>
          <w:numId w:val="2"/>
        </w:numPr>
        <w:spacing w:after="60"/>
      </w:pPr>
      <w:r>
        <w:rPr>
          <w:rFonts w:ascii="Calibri" w:cs="Calibri" w:eastAsia="Calibri" w:hAnsi="Calibri"/>
          <w:color w:val="1A202C"/>
          <w:sz w:val="20"/>
          <w:szCs w:val="20"/>
        </w:rPr>
        <w:t xml:space="preserve">Stage-by-stage allocation bar showing funded vs unfunded split.</w:t>
      </w:r>
    </w:p>
    <w:p>
      <w:pPr>
        <w:pStyle w:val="ListParagraph"/>
        <w:numPr>
          <w:ilvl w:val="0"/>
          <w:numId w:val="2"/>
        </w:numPr>
        <w:spacing w:after="60"/>
      </w:pPr>
      <w:r>
        <w:rPr>
          <w:rFonts w:ascii="Calibri" w:cs="Calibri" w:eastAsia="Calibri" w:hAnsi="Calibri"/>
          <w:color w:val="1A202C"/>
          <w:sz w:val="20"/>
          <w:szCs w:val="20"/>
        </w:rPr>
        <w:t xml:space="preserve">Organisation-level funding status panel: % funded per org, highlighting low-funding orgs (&lt;20% threshold).</w:t>
      </w:r>
    </w:p>
    <w:p>
      <w:pPr>
        <w:pStyle w:val="ListParagraph"/>
        <w:numPr>
          <w:ilvl w:val="0"/>
          <w:numId w:val="2"/>
        </w:numPr>
        <w:spacing w:after="60"/>
      </w:pPr>
      <w:r>
        <w:rPr>
          <w:rFonts w:ascii="Calibri" w:cs="Calibri" w:eastAsia="Calibri" w:hAnsi="Calibri"/>
          <w:color w:val="1A202C"/>
          <w:sz w:val="20"/>
          <w:szCs w:val="20"/>
        </w:rPr>
        <w:t xml:space="preserve">Holds panel: count and list of all programmes with active hold conditions.</w:t>
      </w:r>
    </w:p>
    <w:p/>
    <w:p>
      <w:pPr>
        <w:pStyle w:val="Heading3"/>
        <w:spacing w:after="60" w:before="200"/>
      </w:pPr>
      <w:r>
        <w:rPr>
          <w:rFonts w:ascii="Calibri" w:cs="Calibri" w:eastAsia="Calibri" w:hAnsi="Calibri"/>
          <w:b/>
          <w:bCs/>
          <w:color w:val="0B5ED7"/>
          <w:sz w:val="22"/>
          <w:szCs w:val="22"/>
        </w:rPr>
        <w:t xml:space="preserve">3.1.10  Export Capabilities</w:t>
      </w:r>
    </w:p>
    <w:p>
      <w:pPr>
        <w:pStyle w:val="ListParagraph"/>
        <w:numPr>
          <w:ilvl w:val="0"/>
          <w:numId w:val="2"/>
        </w:numPr>
        <w:spacing w:after="60"/>
      </w:pPr>
      <w:r>
        <w:rPr>
          <w:rFonts w:ascii="Calibri" w:cs="Calibri" w:eastAsia="Calibri" w:hAnsi="Calibri"/>
          <w:color w:val="1A202C"/>
          <w:sz w:val="20"/>
          <w:szCs w:val="20"/>
        </w:rPr>
        <w:t xml:space="preserve">Excel export: full prioritised programme list with allocation decisions, finance attribution, and decision reasons.</w:t>
      </w:r>
    </w:p>
    <w:p>
      <w:pPr>
        <w:pStyle w:val="ListParagraph"/>
        <w:numPr>
          <w:ilvl w:val="0"/>
          <w:numId w:val="2"/>
        </w:numPr>
        <w:spacing w:after="60"/>
      </w:pPr>
      <w:r>
        <w:rPr>
          <w:rFonts w:ascii="Calibri" w:cs="Calibri" w:eastAsia="Calibri" w:hAnsi="Calibri"/>
          <w:color w:val="1A202C"/>
          <w:sz w:val="20"/>
          <w:szCs w:val="20"/>
        </w:rPr>
        <w:t xml:space="preserve">JSON export: complete scenario state including settings, overrides, reviews, and event log.</w:t>
      </w:r>
    </w:p>
    <w:p>
      <w:pPr>
        <w:pStyle w:val="ListParagraph"/>
        <w:numPr>
          <w:ilvl w:val="0"/>
          <w:numId w:val="2"/>
        </w:numPr>
        <w:spacing w:after="60"/>
      </w:pPr>
      <w:r>
        <w:rPr>
          <w:rFonts w:ascii="Calibri" w:cs="Calibri" w:eastAsia="Calibri" w:hAnsi="Calibri"/>
          <w:color w:val="1A202C"/>
          <w:sz w:val="20"/>
          <w:szCs w:val="20"/>
        </w:rPr>
        <w:t xml:space="preserve">CSV export (Data Extract): per-programme data with all scored fields.</w:t>
      </w:r>
    </w:p>
    <w:p>
      <w:pPr>
        <w:pStyle w:val="ListParagraph"/>
        <w:numPr>
          <w:ilvl w:val="0"/>
          <w:numId w:val="2"/>
        </w:numPr>
        <w:spacing w:after="60"/>
      </w:pPr>
      <w:r>
        <w:rPr>
          <w:rFonts w:ascii="Calibri" w:cs="Calibri" w:eastAsia="Calibri" w:hAnsi="Calibri"/>
          <w:color w:val="1A202C"/>
          <w:sz w:val="20"/>
          <w:szCs w:val="20"/>
        </w:rPr>
        <w:t xml:space="preserve">Excluded Register export: list of all excluded/template records with exclusion reasons.</w:t>
      </w:r>
    </w:p>
    <w:p/>
    <w:p>
      <w:pPr>
        <w:pStyle w:val="Heading2"/>
        <w:pBdr>
          <w:bottom w:val="single" w:color="0B5ED7" w:sz="4"/>
        </w:pBdr>
        <w:spacing w:after="80" w:before="280"/>
      </w:pPr>
      <w:r>
        <w:rPr>
          <w:rFonts w:ascii="Calibri" w:cs="Calibri" w:eastAsia="Calibri" w:hAnsi="Calibri"/>
          <w:b/>
          <w:bCs/>
          <w:color w:val="00126E"/>
          <w:sz w:val="26"/>
          <w:szCs w:val="26"/>
        </w:rPr>
        <w:t xml:space="preserve">3.2  Detailed Data Extract</w:t>
      </w:r>
    </w:p>
    <w:p>
      <w:pPr>
        <w:pStyle w:val="Heading3"/>
        <w:spacing w:after="60" w:before="200"/>
      </w:pPr>
      <w:r>
        <w:rPr>
          <w:rFonts w:ascii="Calibri" w:cs="Calibri" w:eastAsia="Calibri" w:hAnsi="Calibri"/>
          <w:b/>
          <w:bCs/>
          <w:color w:val="0B5ED7"/>
          <w:sz w:val="22"/>
          <w:szCs w:val="22"/>
        </w:rPr>
        <w:t xml:space="preserve">3.2.1  Tab 1 — Program Data</w:t>
      </w:r>
    </w:p>
    <w:p>
      <w:pPr>
        <w:pStyle w:val="ListParagraph"/>
        <w:numPr>
          <w:ilvl w:val="0"/>
          <w:numId w:val="2"/>
        </w:numPr>
        <w:spacing w:after="60"/>
      </w:pPr>
      <w:r>
        <w:rPr>
          <w:rFonts w:ascii="Calibri" w:cs="Calibri" w:eastAsia="Calibri" w:hAnsi="Calibri"/>
          <w:color w:val="1A202C"/>
          <w:sz w:val="20"/>
          <w:szCs w:val="20"/>
        </w:rPr>
        <w:t xml:space="preserve">Full list of 421 programmes with filterable columns: ID, Name, Organisation, Platform, Stage, Status, Cost M€, Merit Score, Benefit class, Avg Benefit.</w:t>
      </w:r>
    </w:p>
    <w:p>
      <w:pPr>
        <w:pStyle w:val="ListParagraph"/>
        <w:numPr>
          <w:ilvl w:val="0"/>
          <w:numId w:val="2"/>
        </w:numPr>
        <w:spacing w:after="60"/>
      </w:pPr>
      <w:r>
        <w:rPr>
          <w:rFonts w:ascii="Calibri" w:cs="Calibri" w:eastAsia="Calibri" w:hAnsi="Calibri"/>
          <w:color w:val="1A202C"/>
          <w:sz w:val="20"/>
          <w:szCs w:val="20"/>
        </w:rPr>
        <w:t xml:space="preserve">Multi-select filters: ExCo Leader, Organisation, Platform, Stage/Priority, Type, Status, Benefit Class.</w:t>
      </w:r>
    </w:p>
    <w:p>
      <w:pPr>
        <w:pStyle w:val="ListParagraph"/>
        <w:numPr>
          <w:ilvl w:val="0"/>
          <w:numId w:val="2"/>
        </w:numPr>
        <w:spacing w:after="60"/>
      </w:pPr>
      <w:r>
        <w:rPr>
          <w:rFonts w:ascii="Calibri" w:cs="Calibri" w:eastAsia="Calibri" w:hAnsi="Calibri"/>
          <w:color w:val="1A202C"/>
          <w:sz w:val="20"/>
          <w:szCs w:val="20"/>
        </w:rPr>
        <w:t xml:space="preserve">Free-text search across ID, name, and remarks fields.</w:t>
      </w:r>
    </w:p>
    <w:p>
      <w:pPr>
        <w:pStyle w:val="ListParagraph"/>
        <w:numPr>
          <w:ilvl w:val="0"/>
          <w:numId w:val="2"/>
        </w:numPr>
        <w:spacing w:after="60"/>
      </w:pPr>
      <w:r>
        <w:rPr>
          <w:rFonts w:ascii="Calibri" w:cs="Calibri" w:eastAsia="Calibri" w:hAnsi="Calibri"/>
          <w:color w:val="1A202C"/>
          <w:sz w:val="20"/>
          <w:szCs w:val="20"/>
        </w:rPr>
        <w:t xml:space="preserve">Sortable by: Score, BCR Ratio, Hard Benefits, Soft Benefits, Requested Cost, Prioritised Amount (all ascending/descending).</w:t>
      </w:r>
    </w:p>
    <w:p>
      <w:pPr>
        <w:pStyle w:val="ListParagraph"/>
        <w:numPr>
          <w:ilvl w:val="0"/>
          <w:numId w:val="2"/>
        </w:numPr>
        <w:spacing w:after="60"/>
      </w:pPr>
      <w:r>
        <w:rPr>
          <w:rFonts w:ascii="Calibri" w:cs="Calibri" w:eastAsia="Calibri" w:hAnsi="Calibri"/>
          <w:color w:val="1A202C"/>
          <w:sz w:val="20"/>
          <w:szCs w:val="20"/>
        </w:rPr>
        <w:t xml:space="preserve">Expandable row detail: full programme metadata, scoring breakdown with score bars, benefit evidence text, holds/warnings list.</w:t>
      </w:r>
    </w:p>
    <w:p>
      <w:pPr>
        <w:pStyle w:val="ListParagraph"/>
        <w:numPr>
          <w:ilvl w:val="0"/>
          <w:numId w:val="2"/>
        </w:numPr>
        <w:spacing w:after="60"/>
      </w:pPr>
      <w:r>
        <w:rPr>
          <w:rFonts w:ascii="Calibri" w:cs="Calibri" w:eastAsia="Calibri" w:hAnsi="Calibri"/>
          <w:color w:val="1A202C"/>
          <w:sz w:val="20"/>
          <w:szCs w:val="20"/>
        </w:rPr>
        <w:t xml:space="preserve">Paginated (50 per page); summary row shows filtered totals.</w:t>
      </w:r>
    </w:p>
    <w:p>
      <w:pPr>
        <w:pStyle w:val="ListParagraph"/>
        <w:numPr>
          <w:ilvl w:val="0"/>
          <w:numId w:val="2"/>
        </w:numPr>
        <w:spacing w:after="60"/>
      </w:pPr>
      <w:r>
        <w:rPr>
          <w:rFonts w:ascii="Calibri" w:cs="Calibri" w:eastAsia="Calibri" w:hAnsi="Calibri"/>
          <w:color w:val="1A202C"/>
          <w:sz w:val="20"/>
          <w:szCs w:val="20"/>
        </w:rPr>
        <w:t xml:space="preserve">Export CSV button.</w:t>
      </w:r>
    </w:p>
    <w:p/>
    <w:p>
      <w:pPr>
        <w:pStyle w:val="Heading3"/>
        <w:spacing w:after="60" w:before="200"/>
      </w:pPr>
      <w:r>
        <w:rPr>
          <w:rFonts w:ascii="Calibri" w:cs="Calibri" w:eastAsia="Calibri" w:hAnsi="Calibri"/>
          <w:b/>
          <w:bCs/>
          <w:color w:val="0B5ED7"/>
          <w:sz w:val="22"/>
          <w:szCs w:val="22"/>
        </w:rPr>
        <w:t xml:space="preserve">3.2.2  Tab 2 — Scoring Details</w:t>
      </w:r>
    </w:p>
    <w:p>
      <w:pPr>
        <w:pStyle w:val="ListParagraph"/>
        <w:numPr>
          <w:ilvl w:val="0"/>
          <w:numId w:val="2"/>
        </w:numPr>
        <w:spacing w:after="60"/>
      </w:pPr>
      <w:r>
        <w:rPr>
          <w:rFonts w:ascii="Calibri" w:cs="Calibri" w:eastAsia="Calibri" w:hAnsi="Calibri"/>
          <w:color w:val="1A202C"/>
          <w:sz w:val="20"/>
          <w:szCs w:val="20"/>
        </w:rPr>
        <w:t xml:space="preserve">Full scoring breakdown table: BCR×, BCR tier, Priority points, Consequence tier, Decision Band points, Payback tier.</w:t>
      </w:r>
    </w:p>
    <w:p>
      <w:pPr>
        <w:pStyle w:val="ListParagraph"/>
        <w:numPr>
          <w:ilvl w:val="0"/>
          <w:numId w:val="2"/>
        </w:numPr>
        <w:spacing w:after="60"/>
      </w:pPr>
      <w:r>
        <w:rPr>
          <w:rFonts w:ascii="Calibri" w:cs="Calibri" w:eastAsia="Calibri" w:hAnsi="Calibri"/>
          <w:color w:val="1A202C"/>
          <w:sz w:val="20"/>
          <w:szCs w:val="20"/>
        </w:rPr>
        <w:t xml:space="preserve">Five scoring reference cards shown above the table (one per scoring dimension with tier tables).</w:t>
      </w:r>
    </w:p>
    <w:p>
      <w:pPr>
        <w:pStyle w:val="ListParagraph"/>
        <w:numPr>
          <w:ilvl w:val="0"/>
          <w:numId w:val="2"/>
        </w:numPr>
        <w:spacing w:after="60"/>
      </w:pPr>
      <w:r>
        <w:rPr>
          <w:rFonts w:ascii="Calibri" w:cs="Calibri" w:eastAsia="Calibri" w:hAnsi="Calibri"/>
          <w:color w:val="1A202C"/>
          <w:sz w:val="20"/>
          <w:szCs w:val="20"/>
        </w:rPr>
        <w:t xml:space="preserve">Filterable by ExCo Leader, Stage, and free-text search.</w:t>
      </w:r>
    </w:p>
    <w:p/>
    <w:p>
      <w:pPr>
        <w:pStyle w:val="Heading3"/>
        <w:spacing w:after="60" w:before="200"/>
      </w:pPr>
      <w:r>
        <w:rPr>
          <w:rFonts w:ascii="Calibri" w:cs="Calibri" w:eastAsia="Calibri" w:hAnsi="Calibri"/>
          <w:b/>
          <w:bCs/>
          <w:color w:val="0B5ED7"/>
          <w:sz w:val="22"/>
          <w:szCs w:val="22"/>
        </w:rPr>
        <w:t xml:space="preserve">3.2.3  Tab 3 — Finance Attribution Methodology</w:t>
      </w:r>
    </w:p>
    <w:p>
      <w:pPr>
        <w:pStyle w:val="ListParagraph"/>
        <w:numPr>
          <w:ilvl w:val="0"/>
          <w:numId w:val="2"/>
        </w:numPr>
        <w:spacing w:after="60"/>
      </w:pPr>
      <w:r>
        <w:rPr>
          <w:rFonts w:ascii="Calibri" w:cs="Calibri" w:eastAsia="Calibri" w:hAnsi="Calibri"/>
          <w:color w:val="1A202C"/>
          <w:sz w:val="20"/>
          <w:szCs w:val="20"/>
        </w:rPr>
        <w:t xml:space="preserve">Narrative cards explaining the two-pillar model, programme cost flow, stage target calculation, BCR scoring, hard/soft classification.</w:t>
      </w:r>
    </w:p>
    <w:p>
      <w:pPr>
        <w:pStyle w:val="ListParagraph"/>
        <w:numPr>
          <w:ilvl w:val="0"/>
          <w:numId w:val="2"/>
        </w:numPr>
        <w:spacing w:after="60"/>
      </w:pPr>
      <w:r>
        <w:rPr>
          <w:rFonts w:ascii="Calibri" w:cs="Calibri" w:eastAsia="Calibri" w:hAnsi="Calibri"/>
          <w:color w:val="1A202C"/>
          <w:sz w:val="20"/>
          <w:szCs w:val="20"/>
        </w:rPr>
        <w:t xml:space="preserve">Carry-over cap formula, partial scope rules, PMI treatment, rounding rules.</w:t>
      </w:r>
    </w:p>
    <w:p/>
    <w:p>
      <w:pPr>
        <w:pStyle w:val="Heading3"/>
        <w:spacing w:after="60" w:before="200"/>
      </w:pPr>
      <w:r>
        <w:rPr>
          <w:rFonts w:ascii="Calibri" w:cs="Calibri" w:eastAsia="Calibri" w:hAnsi="Calibri"/>
          <w:b/>
          <w:bCs/>
          <w:color w:val="0B5ED7"/>
          <w:sz w:val="22"/>
          <w:szCs w:val="22"/>
        </w:rPr>
        <w:t xml:space="preserve">3.2.4  Tab 4 — AOP 2026 Reference</w:t>
      </w:r>
    </w:p>
    <w:p>
      <w:pPr>
        <w:pStyle w:val="ListParagraph"/>
        <w:numPr>
          <w:ilvl w:val="0"/>
          <w:numId w:val="2"/>
        </w:numPr>
        <w:spacing w:after="60"/>
      </w:pPr>
      <w:r>
        <w:rPr>
          <w:rFonts w:ascii="Calibri" w:cs="Calibri" w:eastAsia="Calibri" w:hAnsi="Calibri"/>
          <w:color w:val="1A202C"/>
          <w:sz w:val="20"/>
          <w:szCs w:val="20"/>
        </w:rPr>
        <w:t xml:space="preserve">Prior-year spend by stage category (184.71 M€ total) and by organisation (183.66 M€ from 1-on-1 sessions).</w:t>
      </w:r>
    </w:p>
    <w:p>
      <w:pPr>
        <w:pStyle w:val="ListParagraph"/>
        <w:numPr>
          <w:ilvl w:val="0"/>
          <w:numId w:val="2"/>
        </w:numPr>
        <w:spacing w:after="60"/>
      </w:pPr>
      <w:r>
        <w:rPr>
          <w:rFonts w:ascii="Calibri" w:cs="Calibri" w:eastAsia="Calibri" w:hAnsi="Calibri"/>
          <w:color w:val="1A202C"/>
          <w:sz w:val="20"/>
          <w:szCs w:val="20"/>
        </w:rPr>
        <w:t xml:space="preserve">Year-on-year context card: AOP 2027 demand 280 M€ vs AOP 2026 actual 184.7 M€ (+51.6%).</w:t>
      </w:r>
    </w:p>
    <w:p/>
    <w:p>
      <w:pPr>
        <w:pStyle w:val="Heading3"/>
        <w:spacing w:after="60" w:before="200"/>
      </w:pPr>
      <w:r>
        <w:rPr>
          <w:rFonts w:ascii="Calibri" w:cs="Calibri" w:eastAsia="Calibri" w:hAnsi="Calibri"/>
          <w:b/>
          <w:bCs/>
          <w:color w:val="0B5ED7"/>
          <w:sz w:val="22"/>
          <w:szCs w:val="22"/>
        </w:rPr>
        <w:t xml:space="preserve">3.2.5  Tab 5 — Mappings</w:t>
      </w:r>
    </w:p>
    <w:p>
      <w:pPr>
        <w:pStyle w:val="ListParagraph"/>
        <w:numPr>
          <w:ilvl w:val="0"/>
          <w:numId w:val="2"/>
        </w:numPr>
        <w:spacing w:after="60"/>
      </w:pPr>
      <w:r>
        <w:rPr>
          <w:rFonts w:ascii="Calibri" w:cs="Calibri" w:eastAsia="Calibri" w:hAnsi="Calibri"/>
          <w:color w:val="1A202C"/>
          <w:sz w:val="20"/>
          <w:szCs w:val="20"/>
        </w:rPr>
        <w:t xml:space="preserve">ExCo Leader → Organisation mapping (16 ExCo members, 35+ organisations).</w:t>
      </w:r>
    </w:p>
    <w:p>
      <w:pPr>
        <w:pStyle w:val="ListParagraph"/>
        <w:numPr>
          <w:ilvl w:val="0"/>
          <w:numId w:val="2"/>
        </w:numPr>
        <w:spacing w:after="60"/>
      </w:pPr>
      <w:r>
        <w:rPr>
          <w:rFonts w:ascii="Calibri" w:cs="Calibri" w:eastAsia="Calibri" w:hAnsi="Calibri"/>
          <w:color w:val="1A202C"/>
          <w:sz w:val="20"/>
          <w:szCs w:val="20"/>
        </w:rPr>
        <w:t xml:space="preserve">Organisation name normalisation table (source → canonical).</w:t>
      </w:r>
    </w:p>
    <w:p>
      <w:pPr>
        <w:pStyle w:val="ListParagraph"/>
        <w:numPr>
          <w:ilvl w:val="0"/>
          <w:numId w:val="2"/>
        </w:numPr>
        <w:spacing w:after="60"/>
      </w:pPr>
      <w:r>
        <w:rPr>
          <w:rFonts w:ascii="Calibri" w:cs="Calibri" w:eastAsia="Calibri" w:hAnsi="Calibri"/>
          <w:color w:val="1A202C"/>
          <w:sz w:val="20"/>
          <w:szCs w:val="20"/>
        </w:rPr>
        <w:t xml:space="preserve">Stage classification rules with detailed logic per P1–P5.</w:t>
      </w:r>
    </w:p>
    <w:p>
      <w:pPr>
        <w:pStyle w:val="ListParagraph"/>
        <w:numPr>
          <w:ilvl w:val="0"/>
          <w:numId w:val="2"/>
        </w:numPr>
        <w:spacing w:after="60"/>
      </w:pPr>
      <w:r>
        <w:rPr>
          <w:rFonts w:ascii="Calibri" w:cs="Calibri" w:eastAsia="Calibri" w:hAnsi="Calibri"/>
          <w:color w:val="1A202C"/>
          <w:sz w:val="20"/>
          <w:szCs w:val="20"/>
        </w:rPr>
        <w:t xml:space="preserve">Carry-over classification logic (columns S, T, U from source workbook).</w:t>
      </w:r>
    </w:p>
    <w:p/>
    <w:p>
      <w:pPr>
        <w:pStyle w:val="Heading3"/>
        <w:spacing w:after="60" w:before="200"/>
      </w:pPr>
      <w:r>
        <w:rPr>
          <w:rFonts w:ascii="Calibri" w:cs="Calibri" w:eastAsia="Calibri" w:hAnsi="Calibri"/>
          <w:b/>
          <w:bCs/>
          <w:color w:val="0B5ED7"/>
          <w:sz w:val="22"/>
          <w:szCs w:val="22"/>
        </w:rPr>
        <w:t xml:space="preserve">3.2.6  Tab 6 — Scenario Approach</w:t>
      </w:r>
    </w:p>
    <w:p>
      <w:pPr>
        <w:pStyle w:val="ListParagraph"/>
        <w:numPr>
          <w:ilvl w:val="0"/>
          <w:numId w:val="2"/>
        </w:numPr>
        <w:spacing w:after="60"/>
      </w:pPr>
      <w:r>
        <w:rPr>
          <w:rFonts w:ascii="Calibri" w:cs="Calibri" w:eastAsia="Calibri" w:hAnsi="Calibri"/>
          <w:color w:val="1A202C"/>
          <w:sz w:val="20"/>
          <w:szCs w:val="20"/>
        </w:rPr>
        <w:t xml:space="preserve">Narrative guide to the scoring model philosophy, lever behaviour, and allocation sequence.</w:t>
      </w:r>
    </w:p>
    <w:p/>
    <w:p>
      <w:pPr>
        <w:pStyle w:val="Heading3"/>
        <w:spacing w:after="60" w:before="200"/>
      </w:pPr>
      <w:r>
        <w:rPr>
          <w:rFonts w:ascii="Calibri" w:cs="Calibri" w:eastAsia="Calibri" w:hAnsi="Calibri"/>
          <w:b/>
          <w:bCs/>
          <w:color w:val="0B5ED7"/>
          <w:sz w:val="22"/>
          <w:szCs w:val="22"/>
        </w:rPr>
        <w:t xml:space="preserve">3.2.7  Tab 7 — Excluded Register</w:t>
      </w:r>
    </w:p>
    <w:p>
      <w:pPr>
        <w:pStyle w:val="ListParagraph"/>
        <w:numPr>
          <w:ilvl w:val="0"/>
          <w:numId w:val="2"/>
        </w:numPr>
        <w:spacing w:after="60"/>
      </w:pPr>
      <w:r>
        <w:rPr>
          <w:rFonts w:ascii="Calibri" w:cs="Calibri" w:eastAsia="Calibri" w:hAnsi="Calibri"/>
          <w:color w:val="1A202C"/>
          <w:sz w:val="20"/>
          <w:szCs w:val="20"/>
        </w:rPr>
        <w:t xml:space="preserve">Full list of excluded records: template rows (no name/request), zero-request records, and hold-failed records.</w:t>
      </w:r>
    </w:p>
    <w:p>
      <w:pPr>
        <w:pStyle w:val="ListParagraph"/>
        <w:numPr>
          <w:ilvl w:val="0"/>
          <w:numId w:val="2"/>
        </w:numPr>
        <w:spacing w:after="60"/>
      </w:pPr>
      <w:r>
        <w:rPr>
          <w:rFonts w:ascii="Calibri" w:cs="Calibri" w:eastAsia="Calibri" w:hAnsi="Calibri"/>
          <w:color w:val="1A202C"/>
          <w:sz w:val="20"/>
          <w:szCs w:val="20"/>
        </w:rPr>
        <w:t xml:space="preserve">Filterable; shows exclusion reason per record.</w:t>
      </w:r>
    </w:p>
    <w:p>
      <w:r>
        <w:br w:type="page"/>
      </w:r>
    </w:p>
    <w:p>
      <w:pPr>
        <w:pStyle w:val="Heading1"/>
        <w:pBdr>
          <w:bottom w:val="single" w:color="BDF0FF" w:sz="6"/>
        </w:pBdr>
        <w:shd w:fill="00126E" w:val="clear"/>
        <w:spacing w:after="120" w:before="360"/>
        <w:rPr>
          <w:color w:val="FFFFFF"/>
        </w:rPr>
      </w:pPr>
      <w:r>
        <w:t xml:space="preserve">§4  Target Audience &amp; Personas</w:t>
      </w:r>
      <w:r>
        <w:rPr>
          <w:rFonts w:ascii="Calibri" w:cs="Calibri" w:eastAsia="Calibri" w:hAnsi="Calibri"/>
          <w:b/>
          <w:bCs/>
          <w:color w:val="FFFFFF"/>
          <w:sz w:val="32"/>
          <w:szCs w:val="32"/>
        </w:rPr>
        <w:t xml:space="preserve">§4  Target Audience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1800"/>
        <w:gridCol w:w="2160"/>
        <w:gridCol w:w="2400"/>
        <w:gridCol w:w="1560"/>
      </w:tblGrid>
      <w:tr>
        <w:tc>
          <w:tcPr>
            <w:tcW w:type="dxa" w:w="144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Persona</w:t>
            </w:r>
          </w:p>
        </w:tc>
        <w:tc>
          <w:tcPr>
            <w:tcW w:type="dxa" w:w="18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Role</w:t>
            </w:r>
          </w:p>
        </w:tc>
        <w:tc>
          <w:tcPr>
            <w:tcW w:type="dxa" w:w="216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Primary Tool</w:t>
            </w:r>
          </w:p>
        </w:tc>
        <w:tc>
          <w:tcPr>
            <w:tcW w:type="dxa" w:w="24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Key Need</w:t>
            </w:r>
          </w:p>
        </w:tc>
        <w:tc>
          <w:tcPr>
            <w:tcW w:type="dxa" w:w="156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Impact of Tool</w:t>
            </w:r>
          </w:p>
        </w:tc>
      </w:tr>
      <w:tr>
        <w:tc>
          <w:tcPr>
            <w:tcW w:type="dxa" w:w="144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ExCo Leader</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CTO, CFO, COO, BU President</w:t>
            </w:r>
          </w:p>
        </w:tc>
        <w:tc>
          <w:tcPr>
            <w:tcW w:type="dxa" w:w="2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Modeler — ExCo Trade-off tab</w:t>
            </w:r>
          </w:p>
        </w:tc>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Real-time view of their organisation's funded vs unfunded demand; ability to negotiate trade-offs.</w:t>
            </w:r>
          </w:p>
        </w:tc>
        <w:tc>
          <w:tcPr>
            <w:tcW w:type="dxa" w:w="15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Reduces 1-on-1 session prep from days to minutes; gives live "what if" answers.</w:t>
            </w:r>
          </w:p>
        </w:tc>
      </w:tr>
      <w:tr>
        <w:tc>
          <w:tcPr>
            <w:tcW w:type="dxa" w:w="144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AOP Portfolio Manager</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ITPFM team lead</w:t>
            </w:r>
          </w:p>
        </w:tc>
        <w:tc>
          <w:tcPr>
            <w:tcW w:type="dxa" w:w="2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Modeler — full tool</w:t>
            </w:r>
          </w:p>
        </w:tc>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Scenario creation, lever tuning, manual override decisions, final allocation sign-off.</w:t>
            </w:r>
          </w:p>
        </w:tc>
        <w:tc>
          <w:tcPr>
            <w:tcW w:type="dxa" w:w="15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Replaces 2–3 week manual consolidation; full audit trail.</w:t>
            </w:r>
          </w:p>
        </w:tc>
      </w:tr>
      <w:tr>
        <w:tc>
          <w:tcPr>
            <w:tcW w:type="dxa" w:w="144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Finance Controller</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AOP Controller, Finance BP</w:t>
            </w:r>
          </w:p>
        </w:tc>
        <w:tc>
          <w:tcPr>
            <w:tcW w:type="dxa" w:w="2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Modeler — Finance tab; Data Extract — Finance tab</w:t>
            </w:r>
          </w:p>
        </w:tc>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One Portfolio BU IT charge attribution; validate programme costs sum correctly.</w:t>
            </w:r>
          </w:p>
        </w:tc>
        <w:tc>
          <w:tcPr>
            <w:tcW w:type="dxa" w:w="15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Auto-generates ledger; removes manual attribution errors.</w:t>
            </w:r>
          </w:p>
        </w:tc>
      </w:tr>
      <w:tr>
        <w:tc>
          <w:tcPr>
            <w:tcW w:type="dxa" w:w="144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IT Programme Manager</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BU IT lead, Programme owner</w:t>
            </w:r>
          </w:p>
        </w:tc>
        <w:tc>
          <w:tcPr>
            <w:tcW w:type="dxa" w:w="2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Data Extract — Program Data tab</w:t>
            </w:r>
          </w:p>
        </w:tc>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Understand why their programme was/was not funded; see merit score breakdown.</w:t>
            </w:r>
          </w:p>
        </w:tc>
        <w:tc>
          <w:tcPr>
            <w:tcW w:type="dxa" w:w="15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Self-service transparency; reduces escalation volume.</w:t>
            </w:r>
          </w:p>
        </w:tc>
      </w:tr>
      <w:tr>
        <w:tc>
          <w:tcPr>
            <w:tcW w:type="dxa" w:w="144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Data Auditor / QA</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ITPFM QA analyst</w:t>
            </w:r>
          </w:p>
        </w:tc>
        <w:tc>
          <w:tcPr>
            <w:tcW w:type="dxa" w:w="2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Data Extract — Scoring, Excluded Register tabs</w:t>
            </w:r>
          </w:p>
        </w:tc>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Verify scoring correctness; audit hold conditions; cross-check excluded records.</w:t>
            </w:r>
          </w:p>
        </w:tc>
        <w:tc>
          <w:tcPr>
            <w:tcW w:type="dxa" w:w="15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Complete scoring audit trail; no back-channel.</w:t>
            </w:r>
          </w:p>
        </w:tc>
      </w:tr>
      <w:tr>
        <w:tc>
          <w:tcPr>
            <w:tcW w:type="dxa" w:w="144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IT Strategy</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CIO office, Strategy analyst</w:t>
            </w:r>
          </w:p>
        </w:tc>
        <w:tc>
          <w:tcPr>
            <w:tcW w:type="dxa" w:w="2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Both tools</w:t>
            </w:r>
          </w:p>
        </w:tc>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Portfolio shape analysis, stage mix, benefit quality, year-on-year comparisons.</w:t>
            </w:r>
          </w:p>
        </w:tc>
        <w:tc>
          <w:tcPr>
            <w:tcW w:type="dxa" w:w="15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Immediate access to 421-programme dataset with full metadata.</w:t>
            </w:r>
          </w:p>
        </w:tc>
      </w:tr>
    </w:tbl>
    <w:p>
      <w:r>
        <w:br w:type="page"/>
      </w:r>
    </w:p>
    <w:p>
      <w:pPr>
        <w:pStyle w:val="Heading1"/>
        <w:pBdr>
          <w:bottom w:val="single" w:color="BDF0FF" w:sz="6"/>
        </w:pBdr>
        <w:shd w:fill="00126E" w:val="clear"/>
        <w:spacing w:after="120" w:before="360"/>
        <w:rPr>
          <w:color w:val="FFFFFF"/>
        </w:rPr>
      </w:pPr>
      <w:r>
        <w:t xml:space="preserve">§5  Critical User Journeys (CUJs)</w:t>
      </w:r>
      <w:r>
        <w:rPr>
          <w:rFonts w:ascii="Calibri" w:cs="Calibri" w:eastAsia="Calibri" w:hAnsi="Calibri"/>
          <w:b/>
          <w:bCs/>
          <w:color w:val="FFFFFF"/>
          <w:sz w:val="32"/>
          <w:szCs w:val="32"/>
        </w:rPr>
        <w:t xml:space="preserve">§5  Critical User Journeys (CUJs)</w:t>
      </w:r>
    </w:p>
    <w:p>
      <w:pPr>
        <w:pStyle w:val="Heading2"/>
        <w:pBdr>
          <w:bottom w:val="single" w:color="0B5ED7" w:sz="4"/>
        </w:pBdr>
        <w:spacing w:after="80" w:before="280"/>
      </w:pPr>
      <w:r>
        <w:rPr>
          <w:rFonts w:ascii="Calibri" w:cs="Calibri" w:eastAsia="Calibri" w:hAnsi="Calibri"/>
          <w:b/>
          <w:bCs/>
          <w:color w:val="00126E"/>
          <w:sz w:val="26"/>
          <w:szCs w:val="26"/>
        </w:rPr>
        <w:t xml:space="preserve">CUJ-01  Load Source Data &amp; Generate Baseline Scenario</w:t>
      </w:r>
    </w:p>
    <w:p>
      <w:pPr>
        <w:pStyle w:val="ListParagraph"/>
        <w:numPr>
          <w:ilvl w:val="0"/>
          <w:numId w:val="3"/>
        </w:numPr>
        <w:spacing w:after="60"/>
      </w:pPr>
      <w:r>
        <w:rPr>
          <w:rFonts w:ascii="Calibri" w:cs="Calibri" w:eastAsia="Calibri" w:hAnsi="Calibri"/>
          <w:color w:val="1A202C"/>
          <w:sz w:val="20"/>
          <w:szCs w:val="20"/>
        </w:rPr>
        <w:t xml:space="preserve">Open AOP2027-IT-Portfolio-Scenario-Modelling-v6.10.26-p6.html in Chrome/Edge.</w:t>
      </w:r>
    </w:p>
    <w:p>
      <w:pPr>
        <w:pStyle w:val="ListParagraph"/>
        <w:numPr>
          <w:ilvl w:val="0"/>
          <w:numId w:val="3"/>
        </w:numPr>
        <w:spacing w:after="60"/>
      </w:pPr>
      <w:r>
        <w:rPr>
          <w:rFonts w:ascii="Calibri" w:cs="Calibri" w:eastAsia="Calibri" w:hAnsi="Calibri"/>
          <w:color w:val="1A202C"/>
          <w:sz w:val="20"/>
          <w:szCs w:val="20"/>
        </w:rPr>
        <w:t xml:space="preserve">Drag-and-drop "AOP 2027 Consolidated Live 61020261400.xlsx" onto the upload zone.</w:t>
      </w:r>
    </w:p>
    <w:p>
      <w:pPr>
        <w:pStyle w:val="ListParagraph"/>
        <w:numPr>
          <w:ilvl w:val="0"/>
          <w:numId w:val="3"/>
        </w:numPr>
        <w:spacing w:after="60"/>
      </w:pPr>
      <w:r>
        <w:rPr>
          <w:rFonts w:ascii="Calibri" w:cs="Calibri" w:eastAsia="Calibri" w:hAnsi="Calibri"/>
          <w:color w:val="1A202C"/>
          <w:sz w:val="20"/>
          <w:szCs w:val="20"/>
        </w:rPr>
        <w:t xml:space="preserve">Tool parses three worksheets (EW, BU, OPS) and classifies 421 programmes into P1–P5.</w:t>
      </w:r>
    </w:p>
    <w:p>
      <w:pPr>
        <w:pStyle w:val="ListParagraph"/>
        <w:numPr>
          <w:ilvl w:val="0"/>
          <w:numId w:val="3"/>
        </w:numPr>
        <w:spacing w:after="60"/>
      </w:pPr>
      <w:r>
        <w:rPr>
          <w:rFonts w:ascii="Calibri" w:cs="Calibri" w:eastAsia="Calibri" w:hAnsi="Calibri"/>
          <w:color w:val="1A202C"/>
          <w:sz w:val="20"/>
          <w:szCs w:val="20"/>
        </w:rPr>
        <w:t xml:space="preserve">Default "Optimal Segmentation" scenario is auto-created with calibrated levers.</w:t>
      </w:r>
    </w:p>
    <w:p>
      <w:pPr>
        <w:pStyle w:val="ListParagraph"/>
        <w:numPr>
          <w:ilvl w:val="0"/>
          <w:numId w:val="3"/>
        </w:numPr>
        <w:spacing w:after="60"/>
      </w:pPr>
      <w:r>
        <w:rPr>
          <w:rFonts w:ascii="Calibri" w:cs="Calibri" w:eastAsia="Calibri" w:hAnsi="Calibri"/>
          <w:color w:val="1A202C"/>
          <w:sz w:val="20"/>
          <w:szCs w:val="20"/>
        </w:rPr>
        <w:t xml:space="preserve">Scenario tab displays KPI cards: Requested 280 M€, Allocated ~100 M€, Funded count.</w:t>
      </w:r>
    </w:p>
    <w:p>
      <w:pPr>
        <w:pStyle w:val="ListParagraph"/>
        <w:numPr>
          <w:ilvl w:val="0"/>
          <w:numId w:val="3"/>
        </w:numPr>
        <w:spacing w:after="60"/>
      </w:pPr>
      <w:r>
        <w:rPr>
          <w:rFonts w:ascii="Calibri" w:cs="Calibri" w:eastAsia="Calibri" w:hAnsi="Calibri"/>
          <w:color w:val="1A202C"/>
          <w:sz w:val="20"/>
          <w:szCs w:val="20"/>
        </w:rPr>
        <w:t xml:space="preserve">User inspects the prioritised list; reviews hold badges on any flagged programmes.</w:t>
      </w:r>
    </w:p>
    <w:p/>
    <w:p>
      <w:pPr>
        <w:pStyle w:val="Heading2"/>
        <w:pBdr>
          <w:bottom w:val="single" w:color="0B5ED7" w:sz="4"/>
        </w:pBdr>
        <w:spacing w:after="80" w:before="280"/>
      </w:pPr>
      <w:r>
        <w:rPr>
          <w:rFonts w:ascii="Calibri" w:cs="Calibri" w:eastAsia="Calibri" w:hAnsi="Calibri"/>
          <w:b/>
          <w:bCs/>
          <w:color w:val="00126E"/>
          <w:sz w:val="26"/>
          <w:szCs w:val="26"/>
        </w:rPr>
        <w:t xml:space="preserve">CUJ-02  Tune Levers &amp; Explore Budget Trade-offs</w:t>
      </w:r>
    </w:p>
    <w:p>
      <w:pPr>
        <w:pStyle w:val="ListParagraph"/>
        <w:numPr>
          <w:ilvl w:val="0"/>
          <w:numId w:val="3"/>
        </w:numPr>
        <w:spacing w:after="60"/>
      </w:pPr>
      <w:r>
        <w:rPr>
          <w:rFonts w:ascii="Calibri" w:cs="Calibri" w:eastAsia="Calibri" w:hAnsi="Calibri"/>
          <w:color w:val="1A202C"/>
          <w:sz w:val="20"/>
          <w:szCs w:val="20"/>
        </w:rPr>
        <w:t xml:space="preserve">Navigate to the Levers panel.</w:t>
      </w:r>
    </w:p>
    <w:p>
      <w:pPr>
        <w:pStyle w:val="ListParagraph"/>
        <w:numPr>
          <w:ilvl w:val="0"/>
          <w:numId w:val="3"/>
        </w:numPr>
        <w:spacing w:after="60"/>
      </w:pPr>
      <w:r>
        <w:rPr>
          <w:rFonts w:ascii="Calibri" w:cs="Calibri" w:eastAsia="Calibri" w:hAnsi="Calibri"/>
          <w:color w:val="1A202C"/>
          <w:sz w:val="20"/>
          <w:szCs w:val="20"/>
        </w:rPr>
        <w:t xml:space="preserve">Drag the L4 Value lever from 100% to 80% — immediately see P4 funded count drop and headroom increase.</w:t>
      </w:r>
    </w:p>
    <w:p>
      <w:pPr>
        <w:pStyle w:val="ListParagraph"/>
        <w:numPr>
          <w:ilvl w:val="0"/>
          <w:numId w:val="3"/>
        </w:numPr>
        <w:spacing w:after="60"/>
      </w:pPr>
      <w:r>
        <w:rPr>
          <w:rFonts w:ascii="Calibri" w:cs="Calibri" w:eastAsia="Calibri" w:hAnsi="Calibri"/>
          <w:color w:val="1A202C"/>
          <w:sz w:val="20"/>
          <w:szCs w:val="20"/>
        </w:rPr>
        <w:t xml:space="preserve">Switch L3 Sustain from % Bucket to M€ Amount and enter 18 M€ — engine recalculates.</w:t>
      </w:r>
    </w:p>
    <w:p>
      <w:pPr>
        <w:pStyle w:val="ListParagraph"/>
        <w:numPr>
          <w:ilvl w:val="0"/>
          <w:numId w:val="3"/>
        </w:numPr>
        <w:spacing w:after="60"/>
      </w:pPr>
      <w:r>
        <w:rPr>
          <w:rFonts w:ascii="Calibri" w:cs="Calibri" w:eastAsia="Calibri" w:hAnsi="Calibri"/>
          <w:color w:val="1A202C"/>
          <w:sz w:val="20"/>
          <w:szCs w:val="20"/>
        </w:rPr>
        <w:t xml:space="preserve">Enable L5 IT Simplification toggle — P5 Decommissioning programmes appear in the pool.</w:t>
      </w:r>
    </w:p>
    <w:p>
      <w:pPr>
        <w:pStyle w:val="ListParagraph"/>
        <w:numPr>
          <w:ilvl w:val="0"/>
          <w:numId w:val="3"/>
        </w:numPr>
        <w:spacing w:after="60"/>
      </w:pPr>
      <w:r>
        <w:rPr>
          <w:rFonts w:ascii="Calibri" w:cs="Calibri" w:eastAsia="Calibri" w:hAnsi="Calibri"/>
          <w:color w:val="1A202C"/>
          <w:sz w:val="20"/>
          <w:szCs w:val="20"/>
        </w:rPr>
        <w:t xml:space="preserve">Observe KPI card changes: hard benefit total, BCR average, stage mix bars update in real time.</w:t>
      </w:r>
    </w:p>
    <w:p>
      <w:pPr>
        <w:pStyle w:val="ListParagraph"/>
        <w:numPr>
          <w:ilvl w:val="0"/>
          <w:numId w:val="3"/>
        </w:numPr>
        <w:spacing w:after="60"/>
      </w:pPr>
      <w:r>
        <w:rPr>
          <w:rFonts w:ascii="Calibri" w:cs="Calibri" w:eastAsia="Calibri" w:hAnsi="Calibri"/>
          <w:color w:val="1A202C"/>
          <w:sz w:val="20"/>
          <w:szCs w:val="20"/>
        </w:rPr>
        <w:t xml:space="preserve">Fork scenario to save this variant alongside the baseline.</w:t>
      </w:r>
    </w:p>
    <w:p/>
    <w:p>
      <w:pPr>
        <w:pStyle w:val="Heading2"/>
        <w:pBdr>
          <w:bottom w:val="single" w:color="0B5ED7" w:sz="4"/>
        </w:pBdr>
        <w:spacing w:after="80" w:before="280"/>
      </w:pPr>
      <w:r>
        <w:rPr>
          <w:rFonts w:ascii="Calibri" w:cs="Calibri" w:eastAsia="Calibri" w:hAnsi="Calibri"/>
          <w:b/>
          <w:bCs/>
          <w:color w:val="00126E"/>
          <w:sz w:val="26"/>
          <w:szCs w:val="26"/>
        </w:rPr>
        <w:t xml:space="preserve">CUJ-03  ExCo Trade-off Negotiation Session</w:t>
      </w:r>
    </w:p>
    <w:p>
      <w:pPr>
        <w:pStyle w:val="ListParagraph"/>
        <w:numPr>
          <w:ilvl w:val="0"/>
          <w:numId w:val="3"/>
        </w:numPr>
        <w:spacing w:after="60"/>
      </w:pPr>
      <w:r>
        <w:rPr>
          <w:rFonts w:ascii="Calibri" w:cs="Calibri" w:eastAsia="Calibri" w:hAnsi="Calibri"/>
          <w:color w:val="1A202C"/>
          <w:sz w:val="20"/>
          <w:szCs w:val="20"/>
        </w:rPr>
        <w:t xml:space="preserve">Open ExCo Trade-off tab — select ExCo leader (e.g. Personal Health).</w:t>
      </w:r>
    </w:p>
    <w:p>
      <w:pPr>
        <w:pStyle w:val="ListParagraph"/>
        <w:numPr>
          <w:ilvl w:val="0"/>
          <w:numId w:val="3"/>
        </w:numPr>
        <w:spacing w:after="60"/>
      </w:pPr>
      <w:r>
        <w:rPr>
          <w:rFonts w:ascii="Calibri" w:cs="Calibri" w:eastAsia="Calibri" w:hAnsi="Calibri"/>
          <w:color w:val="1A202C"/>
          <w:sz w:val="20"/>
          <w:szCs w:val="20"/>
        </w:rPr>
        <w:t xml:space="preserve">Review PH organisation's funded vs unfunded programmes with merit scores.</w:t>
      </w:r>
    </w:p>
    <w:p>
      <w:pPr>
        <w:pStyle w:val="ListParagraph"/>
        <w:numPr>
          <w:ilvl w:val="0"/>
          <w:numId w:val="3"/>
        </w:numPr>
        <w:spacing w:after="60"/>
      </w:pPr>
      <w:r>
        <w:rPr>
          <w:rFonts w:ascii="Calibri" w:cs="Calibri" w:eastAsia="Calibri" w:hAnsi="Calibri"/>
          <w:color w:val="1A202C"/>
          <w:sz w:val="20"/>
          <w:szCs w:val="20"/>
        </w:rPr>
        <w:t xml:space="preserve">Decision: manually include a P4 programme that is unfunded but strategically critical.</w:t>
      </w:r>
    </w:p>
    <w:p>
      <w:pPr>
        <w:pStyle w:val="ListParagraph"/>
        <w:numPr>
          <w:ilvl w:val="0"/>
          <w:numId w:val="3"/>
        </w:numPr>
        <w:spacing w:after="60"/>
      </w:pPr>
      <w:r>
        <w:rPr>
          <w:rFonts w:ascii="Calibri" w:cs="Calibri" w:eastAsia="Calibri" w:hAnsi="Calibri"/>
          <w:color w:val="1A202C"/>
          <w:sz w:val="20"/>
          <w:szCs w:val="20"/>
        </w:rPr>
        <w:t xml:space="preserve">Enter rationale note; click Apply — programme is force-funded, event is logged.</w:t>
      </w:r>
    </w:p>
    <w:p>
      <w:pPr>
        <w:pStyle w:val="ListParagraph"/>
        <w:numPr>
          <w:ilvl w:val="0"/>
          <w:numId w:val="3"/>
        </w:numPr>
        <w:spacing w:after="60"/>
      </w:pPr>
      <w:r>
        <w:rPr>
          <w:rFonts w:ascii="Calibri" w:cs="Calibri" w:eastAsia="Calibri" w:hAnsi="Calibri"/>
          <w:color w:val="1A202C"/>
          <w:sz w:val="20"/>
          <w:szCs w:val="20"/>
        </w:rPr>
        <w:t xml:space="preserve">Observe impact on budget headroom KPI — confirm allocation stays within tolerance.</w:t>
      </w:r>
    </w:p>
    <w:p>
      <w:pPr>
        <w:pStyle w:val="ListParagraph"/>
        <w:numPr>
          <w:ilvl w:val="0"/>
          <w:numId w:val="3"/>
        </w:numPr>
        <w:spacing w:after="60"/>
      </w:pPr>
      <w:r>
        <w:rPr>
          <w:rFonts w:ascii="Calibri" w:cs="Calibri" w:eastAsia="Calibri" w:hAnsi="Calibri"/>
          <w:color w:val="1A202C"/>
          <w:sz w:val="20"/>
          <w:szCs w:val="20"/>
        </w:rPr>
        <w:t xml:space="preserve">Repeat for 2–3 other ExCo members; save session state to JSON.</w:t>
      </w:r>
    </w:p>
    <w:p/>
    <w:p>
      <w:pPr>
        <w:pStyle w:val="Heading2"/>
        <w:pBdr>
          <w:bottom w:val="single" w:color="0B5ED7" w:sz="4"/>
        </w:pBdr>
        <w:spacing w:after="80" w:before="280"/>
      </w:pPr>
      <w:r>
        <w:rPr>
          <w:rFonts w:ascii="Calibri" w:cs="Calibri" w:eastAsia="Calibri" w:hAnsi="Calibri"/>
          <w:b/>
          <w:bCs/>
          <w:color w:val="00126E"/>
          <w:sz w:val="26"/>
          <w:szCs w:val="26"/>
        </w:rPr>
        <w:t xml:space="preserve">CUJ-04  Resolve Hold Conditions</w:t>
      </w:r>
    </w:p>
    <w:p>
      <w:pPr>
        <w:pStyle w:val="ListParagraph"/>
        <w:numPr>
          <w:ilvl w:val="0"/>
          <w:numId w:val="3"/>
        </w:numPr>
        <w:spacing w:after="60"/>
      </w:pPr>
      <w:r>
        <w:rPr>
          <w:rFonts w:ascii="Calibri" w:cs="Calibri" w:eastAsia="Calibri" w:hAnsi="Calibri"/>
          <w:color w:val="1A202C"/>
          <w:sz w:val="20"/>
          <w:szCs w:val="20"/>
        </w:rPr>
        <w:t xml:space="preserve">Navigate to Holds panel — see 12 programmes with active hold conditions.</w:t>
      </w:r>
    </w:p>
    <w:p>
      <w:pPr>
        <w:pStyle w:val="ListParagraph"/>
        <w:numPr>
          <w:ilvl w:val="0"/>
          <w:numId w:val="3"/>
        </w:numPr>
        <w:spacing w:after="60"/>
      </w:pPr>
      <w:r>
        <w:rPr>
          <w:rFonts w:ascii="Calibri" w:cs="Calibri" w:eastAsia="Calibri" w:hAnsi="Calibri"/>
          <w:color w:val="1A202C"/>
          <w:sz w:val="20"/>
          <w:szCs w:val="20"/>
        </w:rPr>
        <w:t xml:space="preserve">Open a programme with "Contain condition needs review" hold badge.</w:t>
      </w:r>
    </w:p>
    <w:p>
      <w:pPr>
        <w:pStyle w:val="ListParagraph"/>
        <w:numPr>
          <w:ilvl w:val="0"/>
          <w:numId w:val="3"/>
        </w:numPr>
        <w:spacing w:after="60"/>
      </w:pPr>
      <w:r>
        <w:rPr>
          <w:rFonts w:ascii="Calibri" w:cs="Calibri" w:eastAsia="Calibri" w:hAnsi="Calibri"/>
          <w:color w:val="1A202C"/>
          <w:sz w:val="20"/>
          <w:szCs w:val="20"/>
        </w:rPr>
        <w:t xml:space="preserve">Review the programme's decision band and remarks field.</w:t>
      </w:r>
    </w:p>
    <w:p>
      <w:pPr>
        <w:pStyle w:val="ListParagraph"/>
        <w:numPr>
          <w:ilvl w:val="0"/>
          <w:numId w:val="3"/>
        </w:numPr>
        <w:spacing w:after="60"/>
      </w:pPr>
      <w:r>
        <w:rPr>
          <w:rFonts w:ascii="Calibri" w:cs="Calibri" w:eastAsia="Calibri" w:hAnsi="Calibri"/>
          <w:color w:val="1A202C"/>
          <w:sz w:val="20"/>
          <w:szCs w:val="20"/>
        </w:rPr>
        <w:t xml:space="preserve">Enter a manual override with evidence note or confirm hold stands.</w:t>
      </w:r>
    </w:p>
    <w:p>
      <w:pPr>
        <w:pStyle w:val="ListParagraph"/>
        <w:numPr>
          <w:ilvl w:val="0"/>
          <w:numId w:val="3"/>
        </w:numPr>
        <w:spacing w:after="60"/>
      </w:pPr>
      <w:r>
        <w:rPr>
          <w:rFonts w:ascii="Calibri" w:cs="Calibri" w:eastAsia="Calibri" w:hAnsi="Calibri"/>
          <w:color w:val="1A202C"/>
          <w:sz w:val="20"/>
          <w:szCs w:val="20"/>
        </w:rPr>
        <w:t xml:space="preserve">Badge clears when condition is satisfied; decision log updated.</w:t>
      </w:r>
    </w:p>
    <w:p/>
    <w:p>
      <w:pPr>
        <w:pStyle w:val="Heading2"/>
        <w:pBdr>
          <w:bottom w:val="single" w:color="0B5ED7" w:sz="4"/>
        </w:pBdr>
        <w:spacing w:after="80" w:before="280"/>
      </w:pPr>
      <w:r>
        <w:rPr>
          <w:rFonts w:ascii="Calibri" w:cs="Calibri" w:eastAsia="Calibri" w:hAnsi="Calibri"/>
          <w:b/>
          <w:bCs/>
          <w:color w:val="00126E"/>
          <w:sz w:val="26"/>
          <w:szCs w:val="26"/>
        </w:rPr>
        <w:t xml:space="preserve">CUJ-05  Finalise Scenario &amp; Export</w:t>
      </w:r>
    </w:p>
    <w:p>
      <w:pPr>
        <w:pStyle w:val="ListParagraph"/>
        <w:numPr>
          <w:ilvl w:val="0"/>
          <w:numId w:val="3"/>
        </w:numPr>
        <w:spacing w:after="60"/>
      </w:pPr>
      <w:r>
        <w:rPr>
          <w:rFonts w:ascii="Calibri" w:cs="Calibri" w:eastAsia="Calibri" w:hAnsi="Calibri"/>
          <w:color w:val="1A202C"/>
          <w:sz w:val="20"/>
          <w:szCs w:val="20"/>
        </w:rPr>
        <w:t xml:space="preserve">Review all manual overrides and their rationale notes in the decision log.</w:t>
      </w:r>
    </w:p>
    <w:p>
      <w:pPr>
        <w:pStyle w:val="ListParagraph"/>
        <w:numPr>
          <w:ilvl w:val="0"/>
          <w:numId w:val="3"/>
        </w:numPr>
        <w:spacing w:after="60"/>
      </w:pPr>
      <w:r>
        <w:rPr>
          <w:rFonts w:ascii="Calibri" w:cs="Calibri" w:eastAsia="Calibri" w:hAnsi="Calibri"/>
          <w:color w:val="1A202C"/>
          <w:sz w:val="20"/>
          <w:szCs w:val="20"/>
        </w:rPr>
        <w:t xml:space="preserve">Confirm no unresolved Needs Review overrides remain.</w:t>
      </w:r>
    </w:p>
    <w:p>
      <w:pPr>
        <w:pStyle w:val="ListParagraph"/>
        <w:numPr>
          <w:ilvl w:val="0"/>
          <w:numId w:val="3"/>
        </w:numPr>
        <w:spacing w:after="60"/>
      </w:pPr>
      <w:r>
        <w:rPr>
          <w:rFonts w:ascii="Calibri" w:cs="Calibri" w:eastAsia="Calibri" w:hAnsi="Calibri"/>
          <w:color w:val="1A202C"/>
          <w:sz w:val="20"/>
          <w:szCs w:val="20"/>
        </w:rPr>
        <w:t xml:space="preserve">Click Finalise — scenario is locked; no further edits permitted.</w:t>
      </w:r>
    </w:p>
    <w:p>
      <w:pPr>
        <w:pStyle w:val="ListParagraph"/>
        <w:numPr>
          <w:ilvl w:val="0"/>
          <w:numId w:val="3"/>
        </w:numPr>
        <w:spacing w:after="60"/>
      </w:pPr>
      <w:r>
        <w:rPr>
          <w:rFonts w:ascii="Calibri" w:cs="Calibri" w:eastAsia="Calibri" w:hAnsi="Calibri"/>
          <w:color w:val="1A202C"/>
          <w:sz w:val="20"/>
          <w:szCs w:val="20"/>
        </w:rPr>
        <w:t xml:space="preserve">Export to Excel: full prioritised list, finance attribution, decision reasons.</w:t>
      </w:r>
    </w:p>
    <w:p>
      <w:pPr>
        <w:pStyle w:val="ListParagraph"/>
        <w:numPr>
          <w:ilvl w:val="0"/>
          <w:numId w:val="3"/>
        </w:numPr>
        <w:spacing w:after="60"/>
      </w:pPr>
      <w:r>
        <w:rPr>
          <w:rFonts w:ascii="Calibri" w:cs="Calibri" w:eastAsia="Calibri" w:hAnsi="Calibri"/>
          <w:color w:val="1A202C"/>
          <w:sz w:val="20"/>
          <w:szCs w:val="20"/>
        </w:rPr>
        <w:t xml:space="preserve">Export to JSON: complete scenario state for audit archive.</w:t>
      </w:r>
    </w:p>
    <w:p>
      <w:pPr>
        <w:pStyle w:val="ListParagraph"/>
        <w:numPr>
          <w:ilvl w:val="0"/>
          <w:numId w:val="3"/>
        </w:numPr>
        <w:spacing w:after="60"/>
      </w:pPr>
      <w:r>
        <w:rPr>
          <w:rFonts w:ascii="Calibri" w:cs="Calibri" w:eastAsia="Calibri" w:hAnsi="Calibri"/>
          <w:color w:val="1A202C"/>
          <w:sz w:val="20"/>
          <w:szCs w:val="20"/>
        </w:rPr>
        <w:t xml:space="preserve">Share Excel with Finance for One Portfolio BU IT charge reconciliation.</w:t>
      </w:r>
    </w:p>
    <w:p/>
    <w:p>
      <w:pPr>
        <w:pStyle w:val="Heading2"/>
        <w:pBdr>
          <w:bottom w:val="single" w:color="0B5ED7" w:sz="4"/>
        </w:pBdr>
        <w:spacing w:after="80" w:before="280"/>
      </w:pPr>
      <w:r>
        <w:rPr>
          <w:rFonts w:ascii="Calibri" w:cs="Calibri" w:eastAsia="Calibri" w:hAnsi="Calibri"/>
          <w:b/>
          <w:bCs/>
          <w:color w:val="00126E"/>
          <w:sz w:val="26"/>
          <w:szCs w:val="26"/>
        </w:rPr>
        <w:t xml:space="preserve">CUJ-06  Programme Manager Self-Service (Data Extract)</w:t>
      </w:r>
    </w:p>
    <w:p>
      <w:pPr>
        <w:pStyle w:val="ListParagraph"/>
        <w:numPr>
          <w:ilvl w:val="0"/>
          <w:numId w:val="3"/>
        </w:numPr>
        <w:spacing w:after="60"/>
      </w:pPr>
      <w:r>
        <w:rPr>
          <w:rFonts w:ascii="Calibri" w:cs="Calibri" w:eastAsia="Calibri" w:hAnsi="Calibri"/>
          <w:color w:val="1A202C"/>
          <w:sz w:val="20"/>
          <w:szCs w:val="20"/>
        </w:rPr>
        <w:t xml:space="preserve">Open AOP2027-Detailed-Data-Extract.html.</w:t>
      </w:r>
    </w:p>
    <w:p>
      <w:pPr>
        <w:pStyle w:val="ListParagraph"/>
        <w:numPr>
          <w:ilvl w:val="0"/>
          <w:numId w:val="3"/>
        </w:numPr>
        <w:spacing w:after="60"/>
      </w:pPr>
      <w:r>
        <w:rPr>
          <w:rFonts w:ascii="Calibri" w:cs="Calibri" w:eastAsia="Calibri" w:hAnsi="Calibri"/>
          <w:color w:val="1A202C"/>
          <w:sz w:val="20"/>
          <w:szCs w:val="20"/>
        </w:rPr>
        <w:t xml:space="preserve">Select own organisation in the Organisation filter.</w:t>
      </w:r>
    </w:p>
    <w:p>
      <w:pPr>
        <w:pStyle w:val="ListParagraph"/>
        <w:numPr>
          <w:ilvl w:val="0"/>
          <w:numId w:val="3"/>
        </w:numPr>
        <w:spacing w:after="60"/>
      </w:pPr>
      <w:r>
        <w:rPr>
          <w:rFonts w:ascii="Calibri" w:cs="Calibri" w:eastAsia="Calibri" w:hAnsi="Calibri"/>
          <w:color w:val="1A202C"/>
          <w:sz w:val="20"/>
          <w:szCs w:val="20"/>
        </w:rPr>
        <w:t xml:space="preserve">View all submitted programmes, their merit scores, and funding status.</w:t>
      </w:r>
    </w:p>
    <w:p>
      <w:pPr>
        <w:pStyle w:val="ListParagraph"/>
        <w:numPr>
          <w:ilvl w:val="0"/>
          <w:numId w:val="3"/>
        </w:numPr>
        <w:spacing w:after="60"/>
      </w:pPr>
      <w:r>
        <w:rPr>
          <w:rFonts w:ascii="Calibri" w:cs="Calibri" w:eastAsia="Calibri" w:hAnsi="Calibri"/>
          <w:color w:val="1A202C"/>
          <w:sz w:val="20"/>
          <w:szCs w:val="20"/>
        </w:rPr>
        <w:t xml:space="preserve">Click a programme row to expand full scoring detail (BCR breakdown, consequence tier, holds list).</w:t>
      </w:r>
    </w:p>
    <w:p>
      <w:pPr>
        <w:pStyle w:val="ListParagraph"/>
        <w:numPr>
          <w:ilvl w:val="0"/>
          <w:numId w:val="3"/>
        </w:numPr>
        <w:spacing w:after="60"/>
      </w:pPr>
      <w:r>
        <w:rPr>
          <w:rFonts w:ascii="Calibri" w:cs="Calibri" w:eastAsia="Calibri" w:hAnsi="Calibri"/>
          <w:color w:val="1A202C"/>
          <w:sz w:val="20"/>
          <w:szCs w:val="20"/>
        </w:rPr>
        <w:t xml:space="preserve">Navigate to Scoring Details tab to see exact score components vs peers.</w:t>
      </w:r>
    </w:p>
    <w:p>
      <w:pPr>
        <w:pStyle w:val="ListParagraph"/>
        <w:numPr>
          <w:ilvl w:val="0"/>
          <w:numId w:val="3"/>
        </w:numPr>
        <w:spacing w:after="60"/>
      </w:pPr>
      <w:r>
        <w:rPr>
          <w:rFonts w:ascii="Calibri" w:cs="Calibri" w:eastAsia="Calibri" w:hAnsi="Calibri"/>
          <w:color w:val="1A202C"/>
          <w:sz w:val="20"/>
          <w:szCs w:val="20"/>
        </w:rPr>
        <w:t xml:space="preserve">Export CSV for own records.</w:t>
      </w:r>
    </w:p>
    <w:p>
      <w:r>
        <w:br w:type="page"/>
      </w:r>
    </w:p>
    <w:p>
      <w:pPr>
        <w:pStyle w:val="Heading1"/>
        <w:pBdr>
          <w:bottom w:val="single" w:color="BDF0FF" w:sz="6"/>
        </w:pBdr>
        <w:shd w:fill="00126E" w:val="clear"/>
        <w:spacing w:after="120" w:before="360"/>
        <w:rPr>
          <w:color w:val="FFFFFF"/>
        </w:rPr>
      </w:pPr>
      <w:r>
        <w:t xml:space="preserve">§6  Goals &amp; Success Metrics (KPIs)</w:t>
      </w:r>
      <w:r>
        <w:rPr>
          <w:rFonts w:ascii="Calibri" w:cs="Calibri" w:eastAsia="Calibri" w:hAnsi="Calibri"/>
          <w:b/>
          <w:bCs/>
          <w:color w:val="FFFFFF"/>
          <w:sz w:val="32"/>
          <w:szCs w:val="32"/>
        </w:rPr>
        <w:t xml:space="preserve">§6  Goals &amp; Success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000"/>
        <w:gridCol w:w="1760"/>
        <w:gridCol w:w="3800"/>
      </w:tblGrid>
      <w:tr>
        <w:tc>
          <w:tcPr>
            <w:tcW w:type="dxa" w:w="18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Goal</w:t>
            </w:r>
          </w:p>
        </w:tc>
        <w:tc>
          <w:tcPr>
            <w:tcW w:type="dxa" w:w="20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KPI</w:t>
            </w:r>
          </w:p>
        </w:tc>
        <w:tc>
          <w:tcPr>
            <w:tcW w:type="dxa" w:w="176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Target</w:t>
            </w:r>
          </w:p>
        </w:tc>
        <w:tc>
          <w:tcPr>
            <w:tcW w:type="dxa" w:w="38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Measurement Method</w:t>
            </w:r>
          </w:p>
        </w:tc>
      </w:tr>
      <w:tr>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Speed</w:t>
            </w:r>
          </w:p>
        </w:tc>
        <w:tc>
          <w:tcPr>
            <w:tcW w:type="dxa" w:w="20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Time from data upload to first allocation result</w:t>
            </w:r>
          </w:p>
        </w:tc>
        <w:tc>
          <w:tcPr>
            <w:tcW w:type="dxa" w:w="17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&lt; 10 seconds (421 programmes)</w:t>
            </w:r>
          </w:p>
        </w:tc>
        <w:tc>
          <w:tcPr>
            <w:tcW w:type="dxa" w:w="3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Browser performance API; manual test with target dataset</w:t>
            </w:r>
          </w:p>
        </w:tc>
      </w:tr>
      <w:tr>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Accuracy</w:t>
            </w:r>
          </w:p>
        </w:tc>
        <w:tc>
          <w:tcPr>
            <w:tcW w:type="dxa" w:w="20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Zero arithmetic errors in allocation totals vs source data</w:t>
            </w:r>
          </w:p>
        </w:tc>
        <w:tc>
          <w:tcPr>
            <w:tcW w:type="dxa" w:w="17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100% match to 6 decimal places</w:t>
            </w:r>
          </w:p>
        </w:tc>
        <w:tc>
          <w:tcPr>
            <w:tcW w:type="dxa" w:w="3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Engine QA suite: compare engine output vs hand-calculated reference cases</w:t>
            </w:r>
          </w:p>
        </w:tc>
      </w:tr>
      <w:tr>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Completeness</w:t>
            </w:r>
          </w:p>
        </w:tc>
        <w:tc>
          <w:tcPr>
            <w:tcW w:type="dxa" w:w="20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All 421 programmes classified; no unclassified records</w:t>
            </w:r>
          </w:p>
        </w:tc>
        <w:tc>
          <w:tcPr>
            <w:tcW w:type="dxa" w:w="17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421/421 classified (0 dropped silently)</w:t>
            </w:r>
          </w:p>
        </w:tc>
        <w:tc>
          <w:tcPr>
            <w:tcW w:type="dxa" w:w="3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Record count check on every parse; excluded register captures all others</w:t>
            </w:r>
          </w:p>
        </w:tc>
      </w:tr>
      <w:tr>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Hold Resolution</w:t>
            </w:r>
          </w:p>
        </w:tc>
        <w:tc>
          <w:tcPr>
            <w:tcW w:type="dxa" w:w="20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Active hold conditions in final scenario</w:t>
            </w:r>
          </w:p>
        </w:tc>
        <w:tc>
          <w:tcPr>
            <w:tcW w:type="dxa" w:w="17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0 unresolved Critical holds at Finalise</w:t>
            </w:r>
          </w:p>
        </w:tc>
        <w:tc>
          <w:tcPr>
            <w:tcW w:type="dxa" w:w="3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Hold badge count at Finalise gate; blocks Finalise if any remain</w:t>
            </w:r>
          </w:p>
        </w:tc>
      </w:tr>
      <w:tr>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Coverage</w:t>
            </w:r>
          </w:p>
        </w:tc>
        <w:tc>
          <w:tcPr>
            <w:tcW w:type="dxa" w:w="20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Finance attribution coverage</w:t>
            </w:r>
          </w:p>
        </w:tc>
        <w:tc>
          <w:tcPr>
            <w:tcW w:type="dxa" w:w="17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100% of funded programmes attributed to an org</w:t>
            </w:r>
          </w:p>
        </w:tc>
        <w:tc>
          <w:tcPr>
            <w:tcW w:type="dxa" w:w="3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Ledger row count = funded programme count; no Unallocated residual</w:t>
            </w:r>
          </w:p>
        </w:tc>
      </w:tr>
      <w:tr>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Adoption</w:t>
            </w:r>
          </w:p>
        </w:tc>
        <w:tc>
          <w:tcPr>
            <w:tcW w:type="dxa" w:w="20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ExCo leaders using trade-off mode per AOP cycle</w:t>
            </w:r>
          </w:p>
        </w:tc>
        <w:tc>
          <w:tcPr>
            <w:tcW w:type="dxa" w:w="17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 12/16 ExCo members participate</w:t>
            </w:r>
          </w:p>
        </w:tc>
        <w:tc>
          <w:tcPr>
            <w:tcW w:type="dxa" w:w="3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Event log: Apply actions per ExCo leader</w:t>
            </w:r>
          </w:p>
        </w:tc>
      </w:tr>
      <w:tr>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Cycle time</w:t>
            </w:r>
          </w:p>
        </w:tc>
        <w:tc>
          <w:tcPr>
            <w:tcW w:type="dxa" w:w="20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Weeks from data receipt to final allocation sign-off</w:t>
            </w:r>
          </w:p>
        </w:tc>
        <w:tc>
          <w:tcPr>
            <w:tcW w:type="dxa" w:w="17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 2 weeks (down from 3–4 weeks)</w:t>
            </w:r>
          </w:p>
        </w:tc>
        <w:tc>
          <w:tcPr>
            <w:tcW w:type="dxa" w:w="3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ITPFM team self-report; compare AOP 2026 vs AOP 2027 timelines</w:t>
            </w:r>
          </w:p>
        </w:tc>
      </w:tr>
      <w:tr>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Audit trail</w:t>
            </w:r>
          </w:p>
        </w:tc>
        <w:tc>
          <w:tcPr>
            <w:tcW w:type="dxa" w:w="20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Decision log completeness: % overrides with rationale notes</w:t>
            </w:r>
          </w:p>
        </w:tc>
        <w:tc>
          <w:tcPr>
            <w:tcW w:type="dxa" w:w="17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100% of manual decisions have a note</w:t>
            </w:r>
          </w:p>
        </w:tc>
        <w:tc>
          <w:tcPr>
            <w:tcW w:type="dxa" w:w="3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Export JSON; count notes.length === overrides with choice ≠ null</w:t>
            </w:r>
          </w:p>
        </w:tc>
      </w:tr>
      <w:tr>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Transparency</w:t>
            </w:r>
          </w:p>
        </w:tc>
        <w:tc>
          <w:tcPr>
            <w:tcW w:type="dxa" w:w="20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Programme manager satisfaction with score visibility</w:t>
            </w:r>
          </w:p>
        </w:tc>
        <w:tc>
          <w:tcPr>
            <w:tcW w:type="dxa" w:w="17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 80% satisfied in post-AOP survey</w:t>
            </w:r>
          </w:p>
        </w:tc>
        <w:tc>
          <w:tcPr>
            <w:tcW w:type="dxa" w:w="3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Quarterly ITPFM stakeholder survey</w:t>
            </w:r>
          </w:p>
        </w:tc>
      </w:tr>
    </w:tbl>
    <w:p>
      <w:r>
        <w:br w:type="page"/>
      </w:r>
    </w:p>
    <w:p>
      <w:pPr>
        <w:pStyle w:val="Heading1"/>
        <w:pBdr>
          <w:bottom w:val="single" w:color="BDF0FF" w:sz="6"/>
        </w:pBdr>
        <w:shd w:fill="00126E" w:val="clear"/>
        <w:spacing w:after="120" w:before="360"/>
        <w:rPr>
          <w:color w:val="FFFFFF"/>
        </w:rPr>
      </w:pPr>
      <w:r>
        <w:t xml:space="preserve">§7  User Experience &amp; Design</w:t>
      </w:r>
      <w:r>
        <w:rPr>
          <w:rFonts w:ascii="Calibri" w:cs="Calibri" w:eastAsia="Calibri" w:hAnsi="Calibri"/>
          <w:b/>
          <w:bCs/>
          <w:color w:val="FFFFFF"/>
          <w:sz w:val="32"/>
          <w:szCs w:val="32"/>
        </w:rPr>
        <w:t xml:space="preserve">§7  User Experience &amp; Design</w:t>
      </w:r>
    </w:p>
    <w:p>
      <w:pPr>
        <w:pStyle w:val="Heading2"/>
        <w:pBdr>
          <w:bottom w:val="single" w:color="0B5ED7" w:sz="4"/>
        </w:pBdr>
        <w:spacing w:after="80" w:before="280"/>
      </w:pPr>
      <w:r>
        <w:rPr>
          <w:rFonts w:ascii="Calibri" w:cs="Calibri" w:eastAsia="Calibri" w:hAnsi="Calibri"/>
          <w:b/>
          <w:bCs/>
          <w:color w:val="00126E"/>
          <w:sz w:val="26"/>
          <w:szCs w:val="26"/>
        </w:rPr>
        <w:t xml:space="preserve">7.1  Design Language &amp; Colour System</w:t>
      </w:r>
    </w:p>
    <w:p>
      <w:pPr>
        <w:spacing w:after="100"/>
      </w:pPr>
      <w:r>
        <w:rPr>
          <w:rFonts w:ascii="Calibri" w:cs="Calibri" w:eastAsia="Calibri" w:hAnsi="Calibri"/>
          <w:color w:val="1A202C"/>
          <w:sz w:val="20"/>
          <w:szCs w:val="20"/>
        </w:rPr>
        <w:t xml:space="preserve">The tool uses a consistent enterprise finance design language: structured data-dense layouts with strong hierarchy, status-colour semantics, and no decorative chrome. The palette is intentionally conservative for professional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100"/>
        <w:gridCol w:w="7060"/>
      </w:tblGrid>
      <w:tr>
        <w:tc>
          <w:tcPr>
            <w:tcW w:type="dxa" w:w="12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Token</w:t>
            </w:r>
          </w:p>
        </w:tc>
        <w:tc>
          <w:tcPr>
            <w:tcW w:type="dxa" w:w="11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Hex</w:t>
            </w:r>
          </w:p>
        </w:tc>
        <w:tc>
          <w:tcPr>
            <w:tcW w:type="dxa" w:w="706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Usage</w:t>
            </w:r>
          </w:p>
        </w:tc>
      </w:tr>
      <w:tr>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--dark</w:t>
            </w:r>
          </w:p>
        </w:tc>
        <w:tc>
          <w:tcPr>
            <w:tcW w:type="dxa" w:w="11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#00126E</w:t>
            </w:r>
          </w:p>
        </w:tc>
        <w:tc>
          <w:tcPr>
            <w:tcW w:type="dxa" w:w="70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Primary brand dark navy. Headers, scenario strip, primary text emphasis.</w:t>
            </w:r>
          </w:p>
        </w:tc>
      </w:tr>
      <w:tr>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--blue</w:t>
            </w:r>
          </w:p>
        </w:tc>
        <w:tc>
          <w:tcPr>
            <w:tcW w:type="dxa" w:w="11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#0B5ED7</w:t>
            </w:r>
          </w:p>
        </w:tc>
        <w:tc>
          <w:tcPr>
            <w:tcW w:type="dxa" w:w="70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Interactive blue. Buttons, links, active tabs, score bars, lever thumbs.</w:t>
            </w:r>
          </w:p>
        </w:tc>
      </w:tr>
      <w:tr>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--light</w:t>
            </w:r>
          </w:p>
        </w:tc>
        <w:tc>
          <w:tcPr>
            <w:tcW w:type="dxa" w:w="11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#BDF0FF</w:t>
            </w:r>
          </w:p>
        </w:tc>
        <w:tc>
          <w:tcPr>
            <w:tcW w:type="dxa" w:w="70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Accent highlight. Active tab underline, section dividers, cover accents.</w:t>
            </w:r>
          </w:p>
        </w:tc>
      </w:tr>
      <w:tr>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--bg</w:t>
            </w:r>
          </w:p>
        </w:tc>
        <w:tc>
          <w:tcPr>
            <w:tcW w:type="dxa" w:w="11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#F4F6FA</w:t>
            </w:r>
          </w:p>
        </w:tc>
        <w:tc>
          <w:tcPr>
            <w:tcW w:type="dxa" w:w="70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Page background. Creates depth separation from surface cards.</w:t>
            </w:r>
          </w:p>
        </w:tc>
      </w:tr>
      <w:tr>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--surface</w:t>
            </w:r>
          </w:p>
        </w:tc>
        <w:tc>
          <w:tcPr>
            <w:tcW w:type="dxa" w:w="11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#FFFFFF</w:t>
            </w:r>
          </w:p>
        </w:tc>
        <w:tc>
          <w:tcPr>
            <w:tcW w:type="dxa" w:w="70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Card/panel surface. Tables, scenario cards, filter bars.</w:t>
            </w:r>
          </w:p>
        </w:tc>
      </w:tr>
      <w:tr>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--border</w:t>
            </w:r>
          </w:p>
        </w:tc>
        <w:tc>
          <w:tcPr>
            <w:tcW w:type="dxa" w:w="11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#D5DAE0</w:t>
            </w:r>
          </w:p>
        </w:tc>
        <w:tc>
          <w:tcPr>
            <w:tcW w:type="dxa" w:w="70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Structural borders. Table lines, card borders.</w:t>
            </w:r>
          </w:p>
        </w:tc>
      </w:tr>
      <w:tr>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--green</w:t>
            </w:r>
          </w:p>
        </w:tc>
        <w:tc>
          <w:tcPr>
            <w:tcW w:type="dxa" w:w="11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#16A34A</w:t>
            </w:r>
          </w:p>
        </w:tc>
        <w:tc>
          <w:tcPr>
            <w:tcW w:type="dxa" w:w="70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Funded/positive status. "Funded" pills, high BCR tier, positive KPI.</w:t>
            </w:r>
          </w:p>
        </w:tc>
      </w:tr>
      <w:tr>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--amber</w:t>
            </w:r>
          </w:p>
        </w:tc>
        <w:tc>
          <w:tcPr>
            <w:tcW w:type="dxa" w:w="11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#D97706</w:t>
            </w:r>
          </w:p>
        </w:tc>
        <w:tc>
          <w:tcPr>
            <w:tcW w:type="dxa" w:w="70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Warning/partial. "Partial scope" pills, medium BCR tier, tolerance alerts.</w:t>
            </w:r>
          </w:p>
        </w:tc>
      </w:tr>
      <w:tr>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--red</w:t>
            </w:r>
          </w:p>
        </w:tc>
        <w:tc>
          <w:tcPr>
            <w:tcW w:type="dxa" w:w="11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#DC2626</w:t>
            </w:r>
          </w:p>
        </w:tc>
        <w:tc>
          <w:tcPr>
            <w:tcW w:type="dxa" w:w="70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Unfunded/error/hold. "Not funded" pills, hold badges, critical warnings.</w:t>
            </w:r>
          </w:p>
        </w:tc>
      </w:tr>
      <w:tr>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--muted</w:t>
            </w:r>
          </w:p>
        </w:tc>
        <w:tc>
          <w:tcPr>
            <w:tcW w:type="dxa" w:w="11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#64748B</w:t>
            </w:r>
          </w:p>
        </w:tc>
        <w:tc>
          <w:tcPr>
            <w:tcW w:type="dxa" w:w="70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Secondary text. Labels, metadata, column headers.</w:t>
            </w:r>
          </w:p>
        </w:tc>
      </w:tr>
    </w:tbl>
    <w:p/>
    <w:p>
      <w:pPr>
        <w:pStyle w:val="Heading2"/>
        <w:pBdr>
          <w:bottom w:val="single" w:color="0B5ED7" w:sz="4"/>
        </w:pBdr>
        <w:spacing w:after="80" w:before="280"/>
      </w:pPr>
      <w:r>
        <w:rPr>
          <w:rFonts w:ascii="Calibri" w:cs="Calibri" w:eastAsia="Calibri" w:hAnsi="Calibri"/>
          <w:b/>
          <w:bCs/>
          <w:color w:val="00126E"/>
          <w:sz w:val="26"/>
          <w:szCs w:val="26"/>
        </w:rPr>
        <w:t xml:space="preserve">7.2  Typography</w:t>
      </w:r>
    </w:p>
    <w:p>
      <w:pPr>
        <w:pStyle w:val="ListParagraph"/>
        <w:numPr>
          <w:ilvl w:val="0"/>
          <w:numId w:val="2"/>
        </w:numPr>
        <w:spacing w:after="60"/>
      </w:pPr>
      <w:r>
        <w:rPr>
          <w:rFonts w:ascii="Calibri" w:cs="Calibri" w:eastAsia="Calibri" w:hAnsi="Calibri"/>
          <w:color w:val="1A202C"/>
          <w:sz w:val="20"/>
          <w:szCs w:val="20"/>
        </w:rPr>
        <w:t xml:space="preserve">Body font: -apple-system / BlinkMacSystemFont / Segoe UI (system stack). Size 13px base, 12px data cells, 10px labels.</w:t>
      </w:r>
    </w:p>
    <w:p>
      <w:pPr>
        <w:pStyle w:val="ListParagraph"/>
        <w:numPr>
          <w:ilvl w:val="0"/>
          <w:numId w:val="2"/>
        </w:numPr>
        <w:spacing w:after="60"/>
      </w:pPr>
      <w:r>
        <w:rPr>
          <w:rFonts w:ascii="Calibri" w:cs="Calibri" w:eastAsia="Calibri" w:hAnsi="Calibri"/>
          <w:color w:val="1A202C"/>
          <w:sz w:val="20"/>
          <w:szCs w:val="20"/>
        </w:rPr>
        <w:t xml:space="preserve">Data values: tabular-nums font-variant for aligned number columns.</w:t>
      </w:r>
    </w:p>
    <w:p>
      <w:pPr>
        <w:pStyle w:val="ListParagraph"/>
        <w:numPr>
          <w:ilvl w:val="0"/>
          <w:numId w:val="2"/>
        </w:numPr>
        <w:spacing w:after="60"/>
      </w:pPr>
      <w:r>
        <w:rPr>
          <w:rFonts w:ascii="Calibri" w:cs="Calibri" w:eastAsia="Calibri" w:hAnsi="Calibri"/>
          <w:color w:val="1A202C"/>
          <w:sz w:val="20"/>
          <w:szCs w:val="20"/>
        </w:rPr>
        <w:t xml:space="preserve">Headings: font-weight 700, colour --dark or --blue; section titles have 2px underline border in LIGHT or BLUE.</w:t>
      </w:r>
    </w:p>
    <w:p>
      <w:pPr>
        <w:pStyle w:val="ListParagraph"/>
        <w:numPr>
          <w:ilvl w:val="0"/>
          <w:numId w:val="2"/>
        </w:numPr>
        <w:spacing w:after="60"/>
      </w:pPr>
      <w:r>
        <w:rPr>
          <w:rFonts w:ascii="Calibri" w:cs="Calibri" w:eastAsia="Calibri" w:hAnsi="Calibri"/>
          <w:color w:val="1A202C"/>
          <w:sz w:val="20"/>
          <w:szCs w:val="20"/>
        </w:rPr>
        <w:t xml:space="preserve">Status pills: 10px font-weight 600, rounded 10px, category-specific background/foreground pairs.</w:t>
      </w:r>
    </w:p>
    <w:p/>
    <w:p>
      <w:pPr>
        <w:pStyle w:val="Heading2"/>
        <w:pBdr>
          <w:bottom w:val="single" w:color="0B5ED7" w:sz="4"/>
        </w:pBdr>
        <w:spacing w:after="80" w:before="280"/>
      </w:pPr>
      <w:r>
        <w:rPr>
          <w:rFonts w:ascii="Calibri" w:cs="Calibri" w:eastAsia="Calibri" w:hAnsi="Calibri"/>
          <w:b/>
          <w:bCs/>
          <w:color w:val="00126E"/>
          <w:sz w:val="26"/>
          <w:szCs w:val="26"/>
        </w:rPr>
        <w:t xml:space="preserve">7.3  Layout Architecture</w:t>
      </w:r>
    </w:p>
    <w:p>
      <w:pPr>
        <w:pStyle w:val="Heading3"/>
        <w:spacing w:after="60" w:before="200"/>
      </w:pPr>
      <w:r>
        <w:rPr>
          <w:rFonts w:ascii="Calibri" w:cs="Calibri" w:eastAsia="Calibri" w:hAnsi="Calibri"/>
          <w:b/>
          <w:bCs/>
          <w:color w:val="0B5ED7"/>
          <w:sz w:val="22"/>
          <w:szCs w:val="22"/>
        </w:rPr>
        <w:t xml:space="preserve">Modeler — Primary Layout</w:t>
      </w:r>
    </w:p>
    <w:p>
      <w:pPr>
        <w:pStyle w:val="ListParagraph"/>
        <w:numPr>
          <w:ilvl w:val="0"/>
          <w:numId w:val="2"/>
        </w:numPr>
        <w:spacing w:after="60"/>
      </w:pPr>
      <w:r>
        <w:rPr>
          <w:rFonts w:ascii="Calibri" w:cs="Calibri" w:eastAsia="Calibri" w:hAnsi="Calibri"/>
          <w:color w:val="1A202C"/>
          <w:sz w:val="20"/>
          <w:szCs w:val="20"/>
        </w:rPr>
        <w:t xml:space="preserve">Sticky header bar: Product title, version badge, dataset metadata (right-aligned).</w:t>
      </w:r>
    </w:p>
    <w:p>
      <w:pPr>
        <w:pStyle w:val="ListParagraph"/>
        <w:numPr>
          <w:ilvl w:val="0"/>
          <w:numId w:val="2"/>
        </w:numPr>
        <w:spacing w:after="60"/>
      </w:pPr>
      <w:r>
        <w:rPr>
          <w:rFonts w:ascii="Calibri" w:cs="Calibri" w:eastAsia="Calibri" w:hAnsi="Calibri"/>
          <w:color w:val="1A202C"/>
          <w:sz w:val="20"/>
          <w:szCs w:val="20"/>
        </w:rPr>
        <w:t xml:space="preserve">Scenario strip (below header): active scenario name, status chip, preset selector, fork/finalise buttons.</w:t>
      </w:r>
    </w:p>
    <w:p>
      <w:pPr>
        <w:pStyle w:val="ListParagraph"/>
        <w:numPr>
          <w:ilvl w:val="0"/>
          <w:numId w:val="2"/>
        </w:numPr>
        <w:spacing w:after="60"/>
      </w:pPr>
      <w:r>
        <w:rPr>
          <w:rFonts w:ascii="Calibri" w:cs="Calibri" w:eastAsia="Calibri" w:hAnsi="Calibri"/>
          <w:color w:val="1A202C"/>
          <w:sz w:val="20"/>
          <w:szCs w:val="20"/>
        </w:rPr>
        <w:t xml:space="preserve">Three-column main canvas: Left rail = Levers panel (sliders); Centre = Prioritised programme list; Right = KPI dashboard.</w:t>
      </w:r>
    </w:p>
    <w:p>
      <w:pPr>
        <w:pStyle w:val="ListParagraph"/>
        <w:numPr>
          <w:ilvl w:val="0"/>
          <w:numId w:val="2"/>
        </w:numPr>
        <w:spacing w:after="60"/>
      </w:pPr>
      <w:r>
        <w:rPr>
          <w:rFonts w:ascii="Calibri" w:cs="Calibri" w:eastAsia="Calibri" w:hAnsi="Calibri"/>
          <w:color w:val="1A202C"/>
          <w:sz w:val="20"/>
          <w:szCs w:val="20"/>
        </w:rPr>
        <w:t xml:space="preserve">Expandable ExCo trade-off panel: slides in from below the scenario strip.</w:t>
      </w:r>
    </w:p>
    <w:p>
      <w:pPr>
        <w:pStyle w:val="ListParagraph"/>
        <w:numPr>
          <w:ilvl w:val="0"/>
          <w:numId w:val="2"/>
        </w:numPr>
        <w:spacing w:after="60"/>
      </w:pPr>
      <w:r>
        <w:rPr>
          <w:rFonts w:ascii="Calibri" w:cs="Calibri" w:eastAsia="Calibri" w:hAnsi="Calibri"/>
          <w:color w:val="1A202C"/>
          <w:sz w:val="20"/>
          <w:szCs w:val="20"/>
        </w:rPr>
        <w:t xml:space="preserve">Fixed bottom: status bar with last-action timestamp and engine version.</w:t>
      </w:r>
    </w:p>
    <w:p/>
    <w:p>
      <w:pPr>
        <w:pStyle w:val="Heading3"/>
        <w:spacing w:after="60" w:before="200"/>
      </w:pPr>
      <w:r>
        <w:rPr>
          <w:rFonts w:ascii="Calibri" w:cs="Calibri" w:eastAsia="Calibri" w:hAnsi="Calibri"/>
          <w:b/>
          <w:bCs/>
          <w:color w:val="0B5ED7"/>
          <w:sz w:val="22"/>
          <w:szCs w:val="22"/>
        </w:rPr>
        <w:t xml:space="preserve">Data Extract — Tab Layout</w:t>
      </w:r>
    </w:p>
    <w:p>
      <w:pPr>
        <w:pStyle w:val="ListParagraph"/>
        <w:numPr>
          <w:ilvl w:val="0"/>
          <w:numId w:val="2"/>
        </w:numPr>
        <w:spacing w:after="60"/>
      </w:pPr>
      <w:r>
        <w:rPr>
          <w:rFonts w:ascii="Calibri" w:cs="Calibri" w:eastAsia="Calibri" w:hAnsi="Calibri"/>
          <w:color w:val="1A202C"/>
          <w:sz w:val="20"/>
          <w:szCs w:val="20"/>
        </w:rPr>
        <w:t xml:space="preserve">Sticky dark header with title, record count badge, and source file metadata.</w:t>
      </w:r>
    </w:p>
    <w:p>
      <w:pPr>
        <w:pStyle w:val="ListParagraph"/>
        <w:numPr>
          <w:ilvl w:val="0"/>
          <w:numId w:val="2"/>
        </w:numPr>
        <w:spacing w:after="60"/>
      </w:pPr>
      <w:r>
        <w:rPr>
          <w:rFonts w:ascii="Calibri" w:cs="Calibri" w:eastAsia="Calibri" w:hAnsi="Calibri"/>
          <w:color w:val="1A202C"/>
          <w:sz w:val="20"/>
          <w:szCs w:val="20"/>
        </w:rPr>
        <w:t xml:space="preserve">Dark blue tab bar (7 tabs); active tab underlined in --light.</w:t>
      </w:r>
    </w:p>
    <w:p>
      <w:pPr>
        <w:pStyle w:val="ListParagraph"/>
        <w:numPr>
          <w:ilvl w:val="0"/>
          <w:numId w:val="2"/>
        </w:numPr>
        <w:spacing w:after="60"/>
      </w:pPr>
      <w:r>
        <w:rPr>
          <w:rFonts w:ascii="Calibri" w:cs="Calibri" w:eastAsia="Calibri" w:hAnsi="Calibri"/>
          <w:color w:val="1A202C"/>
          <w:sz w:val="20"/>
          <w:szCs w:val="20"/>
        </w:rPr>
        <w:t xml:space="preserve">Filter bar: flex-wrap row with labelled multi-select dropdowns and sort selector. Count badge (right) + Reset + Export buttons.</w:t>
      </w:r>
    </w:p>
    <w:p>
      <w:pPr>
        <w:pStyle w:val="ListParagraph"/>
        <w:numPr>
          <w:ilvl w:val="0"/>
          <w:numId w:val="2"/>
        </w:numPr>
        <w:spacing w:after="60"/>
      </w:pPr>
      <w:r>
        <w:rPr>
          <w:rFonts w:ascii="Calibri" w:cs="Calibri" w:eastAsia="Calibri" w:hAnsi="Calibri"/>
          <w:color w:val="1A202C"/>
          <w:sz w:val="20"/>
          <w:szCs w:val="20"/>
        </w:rPr>
        <w:t xml:space="preserve">Programme list: 10-column grid layout with expandable detail rows.</w:t>
      </w:r>
    </w:p>
    <w:p>
      <w:pPr>
        <w:pStyle w:val="ListParagraph"/>
        <w:numPr>
          <w:ilvl w:val="0"/>
          <w:numId w:val="2"/>
        </w:numPr>
        <w:spacing w:after="60"/>
      </w:pPr>
      <w:r>
        <w:rPr>
          <w:rFonts w:ascii="Calibri" w:cs="Calibri" w:eastAsia="Calibri" w:hAnsi="Calibri"/>
          <w:color w:val="1A202C"/>
          <w:sz w:val="20"/>
          <w:szCs w:val="20"/>
        </w:rPr>
        <w:t xml:space="preserve">Sticky table headers on the Scoring Details tab (max-height 70vh scroll container).</w:t>
      </w:r>
    </w:p>
    <w:p/>
    <w:p>
      <w:pPr>
        <w:pStyle w:val="Heading2"/>
        <w:pBdr>
          <w:bottom w:val="single" w:color="0B5ED7" w:sz="4"/>
        </w:pBdr>
        <w:spacing w:after="80" w:before="280"/>
      </w:pPr>
      <w:r>
        <w:rPr>
          <w:rFonts w:ascii="Calibri" w:cs="Calibri" w:eastAsia="Calibri" w:hAnsi="Calibri"/>
          <w:b/>
          <w:bCs/>
          <w:color w:val="00126E"/>
          <w:sz w:val="26"/>
          <w:szCs w:val="26"/>
        </w:rPr>
        <w:t xml:space="preserve">7.4  Status Pill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800"/>
        <w:gridCol w:w="1440"/>
        <w:gridCol w:w="4920"/>
      </w:tblGrid>
      <w:tr>
        <w:tc>
          <w:tcPr>
            <w:tcW w:type="dxa" w:w="12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Pill</w:t>
            </w:r>
          </w:p>
        </w:tc>
        <w:tc>
          <w:tcPr>
            <w:tcW w:type="dxa" w:w="18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Background</w:t>
            </w:r>
          </w:p>
        </w:tc>
        <w:tc>
          <w:tcPr>
            <w:tcW w:type="dxa" w:w="144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Text</w:t>
            </w:r>
          </w:p>
        </w:tc>
        <w:tc>
          <w:tcPr>
            <w:tcW w:type="dxa" w:w="492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Used For</w:t>
            </w:r>
          </w:p>
        </w:tc>
      </w:tr>
      <w:tr>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P1</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#FEE2E2</w:t>
            </w:r>
          </w:p>
        </w:tc>
        <w:tc>
          <w:tcPr>
            <w:tcW w:type="dxa" w:w="144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#991B1B</w:t>
            </w:r>
          </w:p>
        </w:tc>
        <w:tc>
          <w:tcPr>
            <w:tcW w:type="dxa" w:w="492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Legal &amp; Regulatory Compliance stage</w:t>
            </w:r>
          </w:p>
        </w:tc>
      </w:tr>
      <w:tr>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P2</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#FEF3C7</w:t>
            </w:r>
          </w:p>
        </w:tc>
        <w:tc>
          <w:tcPr>
            <w:tcW w:type="dxa" w:w="144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#92400E</w:t>
            </w:r>
          </w:p>
        </w:tc>
        <w:tc>
          <w:tcPr>
            <w:tcW w:type="dxa" w:w="492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Carry-over stage</w:t>
            </w:r>
          </w:p>
        </w:tc>
      </w:tr>
      <w:tr>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P3</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#DBEAFE</w:t>
            </w:r>
          </w:p>
        </w:tc>
        <w:tc>
          <w:tcPr>
            <w:tcW w:type="dxa" w:w="144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#1E40AF</w:t>
            </w:r>
          </w:p>
        </w:tc>
        <w:tc>
          <w:tcPr>
            <w:tcW w:type="dxa" w:w="492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Sustain &amp; Hygiene stage</w:t>
            </w:r>
          </w:p>
        </w:tc>
      </w:tr>
      <w:tr>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P4</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#D1FAE5</w:t>
            </w:r>
          </w:p>
        </w:tc>
        <w:tc>
          <w:tcPr>
            <w:tcW w:type="dxa" w:w="144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#065F46</w:t>
            </w:r>
          </w:p>
        </w:tc>
        <w:tc>
          <w:tcPr>
            <w:tcW w:type="dxa" w:w="492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Value Portfolio stage</w:t>
            </w:r>
          </w:p>
        </w:tc>
      </w:tr>
      <w:tr>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P5</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#E9D5FF</w:t>
            </w:r>
          </w:p>
        </w:tc>
        <w:tc>
          <w:tcPr>
            <w:tcW w:type="dxa" w:w="144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#6B21A8</w:t>
            </w:r>
          </w:p>
        </w:tc>
        <w:tc>
          <w:tcPr>
            <w:tcW w:type="dxa" w:w="492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IT Simplification stage</w:t>
            </w:r>
          </w:p>
        </w:tc>
      </w:tr>
      <w:tr>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Funded</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#D1FAE5</w:t>
            </w:r>
          </w:p>
        </w:tc>
        <w:tc>
          <w:tcPr>
            <w:tcW w:type="dxa" w:w="144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#065F46</w:t>
            </w:r>
          </w:p>
        </w:tc>
        <w:tc>
          <w:tcPr>
            <w:tcW w:type="dxa" w:w="492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Fully funded programme</w:t>
            </w:r>
          </w:p>
        </w:tc>
      </w:tr>
      <w:tr>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Partial scope</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#FEF3C7</w:t>
            </w:r>
          </w:p>
        </w:tc>
        <w:tc>
          <w:tcPr>
            <w:tcW w:type="dxa" w:w="144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#92400E</w:t>
            </w:r>
          </w:p>
        </w:tc>
        <w:tc>
          <w:tcPr>
            <w:tcW w:type="dxa" w:w="492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Partially funded (manual)</w:t>
            </w:r>
          </w:p>
        </w:tc>
      </w:tr>
      <w:tr>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Not funded</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#FEE2E2</w:t>
            </w:r>
          </w:p>
        </w:tc>
        <w:tc>
          <w:tcPr>
            <w:tcW w:type="dxa" w:w="144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#991B1B</w:t>
            </w:r>
          </w:p>
        </w:tc>
        <w:tc>
          <w:tcPr>
            <w:tcW w:type="dxa" w:w="492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Allocation = 0</w:t>
            </w:r>
          </w:p>
        </w:tc>
      </w:tr>
      <w:tr>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Excluded</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#F3F4F6</w:t>
            </w:r>
          </w:p>
        </w:tc>
        <w:tc>
          <w:tcPr>
            <w:tcW w:type="dxa" w:w="144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#374151</w:t>
            </w:r>
          </w:p>
        </w:tc>
        <w:tc>
          <w:tcPr>
            <w:tcW w:type="dxa" w:w="492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Manual or auto exclusion</w:t>
            </w:r>
          </w:p>
        </w:tc>
      </w:tr>
      <w:tr>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Hard</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#DBEAFE</w:t>
            </w:r>
          </w:p>
        </w:tc>
        <w:tc>
          <w:tcPr>
            <w:tcW w:type="dxa" w:w="144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#1E40AF</w:t>
            </w:r>
          </w:p>
        </w:tc>
        <w:tc>
          <w:tcPr>
            <w:tcW w:type="dxa" w:w="492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Hard benefit (Revenue/Productivity)</w:t>
            </w:r>
          </w:p>
        </w:tc>
      </w:tr>
      <w:tr>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Soft</w:t>
            </w:r>
          </w:p>
        </w:tc>
        <w:tc>
          <w:tcPr>
            <w:tcW w:type="dxa" w:w="1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#FEF3C7</w:t>
            </w:r>
          </w:p>
        </w:tc>
        <w:tc>
          <w:tcPr>
            <w:tcW w:type="dxa" w:w="144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#92400E</w:t>
            </w:r>
          </w:p>
        </w:tc>
        <w:tc>
          <w:tcPr>
            <w:tcW w:type="dxa" w:w="492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Soft benefit (all other categories)</w:t>
            </w:r>
          </w:p>
        </w:tc>
      </w:tr>
    </w:tbl>
    <w:p/>
    <w:p>
      <w:pPr>
        <w:pStyle w:val="Heading2"/>
        <w:pBdr>
          <w:bottom w:val="single" w:color="0B5ED7" w:sz="4"/>
        </w:pBdr>
        <w:spacing w:after="80" w:before="280"/>
      </w:pPr>
      <w:r>
        <w:rPr>
          <w:rFonts w:ascii="Calibri" w:cs="Calibri" w:eastAsia="Calibri" w:hAnsi="Calibri"/>
          <w:b/>
          <w:bCs/>
          <w:color w:val="00126E"/>
          <w:sz w:val="26"/>
          <w:szCs w:val="26"/>
        </w:rPr>
        <w:t xml:space="preserve">7.5  Interaction Patterns</w:t>
      </w:r>
    </w:p>
    <w:p>
      <w:pPr>
        <w:pStyle w:val="ListParagraph"/>
        <w:numPr>
          <w:ilvl w:val="0"/>
          <w:numId w:val="2"/>
        </w:numPr>
        <w:spacing w:after="60"/>
      </w:pPr>
      <w:r>
        <w:rPr>
          <w:rFonts w:ascii="Calibri" w:cs="Calibri" w:eastAsia="Calibri" w:hAnsi="Calibri"/>
          <w:color w:val="1A202C"/>
          <w:sz w:val="20"/>
          <w:szCs w:val="20"/>
        </w:rPr>
        <w:t xml:space="preserve">Lever sliders: custom range input with wedge-shaped track, tick marks, and real-time M€ label update. Mode toggle (% bucket / % AOP / M€) in a pill selector above each slider.</w:t>
      </w:r>
    </w:p>
    <w:p>
      <w:pPr>
        <w:pStyle w:val="ListParagraph"/>
        <w:numPr>
          <w:ilvl w:val="0"/>
          <w:numId w:val="2"/>
        </w:numPr>
        <w:spacing w:after="60"/>
      </w:pPr>
      <w:r>
        <w:rPr>
          <w:rFonts w:ascii="Calibri" w:cs="Calibri" w:eastAsia="Calibri" w:hAnsi="Calibri"/>
          <w:color w:val="1A202C"/>
          <w:sz w:val="20"/>
          <w:szCs w:val="20"/>
        </w:rPr>
        <w:t xml:space="preserve">Multi-select dropdowns: custom component with checkbox list, Select All toggle, count badge on the trigger button.</w:t>
      </w:r>
    </w:p>
    <w:p>
      <w:pPr>
        <w:pStyle w:val="ListParagraph"/>
        <w:numPr>
          <w:ilvl w:val="0"/>
          <w:numId w:val="2"/>
        </w:numPr>
        <w:spacing w:after="60"/>
      </w:pPr>
      <w:r>
        <w:rPr>
          <w:rFonts w:ascii="Calibri" w:cs="Calibri" w:eastAsia="Calibri" w:hAnsi="Calibri"/>
          <w:color w:val="1A202C"/>
          <w:sz w:val="20"/>
          <w:szCs w:val="20"/>
        </w:rPr>
        <w:t xml:space="preserve">Expandable rows: click anywhere on programme row to expand a 3-section detail panel (Programme details, Scoring breakdown with progress bars, Benefit evidence text).</w:t>
      </w:r>
    </w:p>
    <w:p>
      <w:pPr>
        <w:pStyle w:val="ListParagraph"/>
        <w:numPr>
          <w:ilvl w:val="0"/>
          <w:numId w:val="2"/>
        </w:numPr>
        <w:spacing w:after="60"/>
      </w:pPr>
      <w:r>
        <w:rPr>
          <w:rFonts w:ascii="Calibri" w:cs="Calibri" w:eastAsia="Calibri" w:hAnsi="Calibri"/>
          <w:color w:val="1A202C"/>
          <w:sz w:val="20"/>
          <w:szCs w:val="20"/>
        </w:rPr>
        <w:t xml:space="preserve">Hold badges: inline coloured chips that appear when a hold condition is active; click to see hold list.</w:t>
      </w:r>
    </w:p>
    <w:p>
      <w:pPr>
        <w:pStyle w:val="ListParagraph"/>
        <w:numPr>
          <w:ilvl w:val="0"/>
          <w:numId w:val="2"/>
        </w:numPr>
        <w:spacing w:after="60"/>
      </w:pPr>
      <w:r>
        <w:rPr>
          <w:rFonts w:ascii="Calibri" w:cs="Calibri" w:eastAsia="Calibri" w:hAnsi="Calibri"/>
          <w:color w:val="1A202C"/>
          <w:sz w:val="20"/>
          <w:szCs w:val="20"/>
        </w:rPr>
        <w:t xml:space="preserve">Score bars: horizontal progress bars per scoring dimension, coloured by tier (green/blue/amber/grey).</w:t>
      </w:r>
    </w:p>
    <w:p>
      <w:pPr>
        <w:pStyle w:val="ListParagraph"/>
        <w:numPr>
          <w:ilvl w:val="0"/>
          <w:numId w:val="2"/>
        </w:numPr>
        <w:spacing w:after="60"/>
      </w:pPr>
      <w:r>
        <w:rPr>
          <w:rFonts w:ascii="Calibri" w:cs="Calibri" w:eastAsia="Calibri" w:hAnsi="Calibri"/>
          <w:color w:val="1A202C"/>
          <w:sz w:val="20"/>
          <w:szCs w:val="20"/>
        </w:rPr>
        <w:t xml:space="preserve">Pagination: Previous/Next with page X of N indicator; 50 records per page.</w:t>
      </w:r>
    </w:p>
    <w:p>
      <w:r>
        <w:br w:type="page"/>
      </w:r>
    </w:p>
    <w:p>
      <w:pPr>
        <w:pStyle w:val="Heading1"/>
        <w:pBdr>
          <w:bottom w:val="single" w:color="BDF0FF" w:sz="6"/>
        </w:pBdr>
        <w:shd w:fill="00126E" w:val="clear"/>
        <w:spacing w:after="120" w:before="360"/>
        <w:rPr>
          <w:color w:val="FFFFFF"/>
        </w:rPr>
      </w:pPr>
      <w:r>
        <w:t xml:space="preserve">§8  Technical Requirements &amp; Constraints</w:t>
      </w:r>
      <w:r>
        <w:rPr>
          <w:rFonts w:ascii="Calibri" w:cs="Calibri" w:eastAsia="Calibri" w:hAnsi="Calibri"/>
          <w:b/>
          <w:bCs/>
          <w:color w:val="FFFFFF"/>
          <w:sz w:val="32"/>
          <w:szCs w:val="32"/>
        </w:rPr>
        <w:t xml:space="preserve">§8  Technical Requirements &amp; Constraints</w:t>
      </w:r>
    </w:p>
    <w:p>
      <w:pPr>
        <w:pStyle w:val="Heading2"/>
        <w:pBdr>
          <w:bottom w:val="single" w:color="0B5ED7" w:sz="4"/>
        </w:pBdr>
        <w:spacing w:after="80" w:before="280"/>
      </w:pPr>
      <w:r>
        <w:rPr>
          <w:rFonts w:ascii="Calibri" w:cs="Calibri" w:eastAsia="Calibri" w:hAnsi="Calibri"/>
          <w:b/>
          <w:bCs/>
          <w:color w:val="00126E"/>
          <w:sz w:val="26"/>
          <w:szCs w:val="26"/>
        </w:rPr>
        <w:t xml:space="preserve">8.1  Platform &amp; Architecture</w:t>
      </w:r>
    </w:p>
    <w:p>
      <w:pPr>
        <w:pStyle w:val="ListParagraph"/>
        <w:numPr>
          <w:ilvl w:val="0"/>
          <w:numId w:val="2"/>
        </w:numPr>
        <w:spacing w:after="60"/>
      </w:pPr>
      <w:r>
        <w:rPr>
          <w:rFonts w:ascii="Calibri" w:cs="Calibri" w:eastAsia="Calibri" w:hAnsi="Calibri"/>
          <w:color w:val="1A202C"/>
          <w:sz w:val="20"/>
          <w:szCs w:val="20"/>
        </w:rPr>
        <w:t xml:space="preserve">Single-file HTML deployment: all JS, CSS, and data embedded in one .html file. Zero server dependency; runs fully offline.</w:t>
      </w:r>
    </w:p>
    <w:p>
      <w:pPr>
        <w:pStyle w:val="ListParagraph"/>
        <w:numPr>
          <w:ilvl w:val="0"/>
          <w:numId w:val="2"/>
        </w:numPr>
        <w:spacing w:after="60"/>
      </w:pPr>
      <w:r>
        <w:rPr>
          <w:rFonts w:ascii="Calibri" w:cs="Calibri" w:eastAsia="Calibri" w:hAnsi="Calibri"/>
          <w:color w:val="1A202C"/>
          <w:sz w:val="20"/>
          <w:szCs w:val="20"/>
        </w:rPr>
        <w:t xml:space="preserve">Target browsers: Chrome 110+, Edge 110+, Firefox 115+, Safari 16+. No IE support.</w:t>
      </w:r>
    </w:p>
    <w:p>
      <w:pPr>
        <w:pStyle w:val="ListParagraph"/>
        <w:numPr>
          <w:ilvl w:val="0"/>
          <w:numId w:val="2"/>
        </w:numPr>
        <w:spacing w:after="60"/>
      </w:pPr>
      <w:r>
        <w:rPr>
          <w:rFonts w:ascii="Calibri" w:cs="Calibri" w:eastAsia="Calibri" w:hAnsi="Calibri"/>
          <w:color w:val="1A202C"/>
          <w:sz w:val="20"/>
          <w:szCs w:val="20"/>
        </w:rPr>
        <w:t xml:space="preserve">No build pipeline required: file can be shared via email, SharePoint, or Teams and opened directly.</w:t>
      </w:r>
    </w:p>
    <w:p>
      <w:pPr>
        <w:pStyle w:val="ListParagraph"/>
        <w:numPr>
          <w:ilvl w:val="0"/>
          <w:numId w:val="2"/>
        </w:numPr>
        <w:spacing w:after="60"/>
      </w:pPr>
      <w:r>
        <w:rPr>
          <w:rFonts w:ascii="Calibri" w:cs="Calibri" w:eastAsia="Calibri" w:hAnsi="Calibri"/>
          <w:color w:val="1A202C"/>
          <w:sz w:val="20"/>
          <w:szCs w:val="20"/>
        </w:rPr>
        <w:t xml:space="preserve">Data processing in-browser: SheetJS for XLSX parsing; all computation in vanilla JS.</w:t>
      </w:r>
    </w:p>
    <w:p>
      <w:pPr>
        <w:pStyle w:val="ListParagraph"/>
        <w:numPr>
          <w:ilvl w:val="0"/>
          <w:numId w:val="2"/>
        </w:numPr>
        <w:spacing w:after="60"/>
      </w:pPr>
      <w:r>
        <w:rPr>
          <w:rFonts w:ascii="Calibri" w:cs="Calibri" w:eastAsia="Calibri" w:hAnsi="Calibri"/>
          <w:color w:val="1A202C"/>
          <w:sz w:val="20"/>
          <w:szCs w:val="20"/>
        </w:rPr>
        <w:t xml:space="preserve">localStorage used for scenario persistence between browser sessions.</w:t>
      </w:r>
    </w:p>
    <w:p>
      <w:pPr>
        <w:pStyle w:val="ListParagraph"/>
        <w:numPr>
          <w:ilvl w:val="0"/>
          <w:numId w:val="2"/>
        </w:numPr>
        <w:spacing w:after="60"/>
      </w:pPr>
      <w:r>
        <w:rPr>
          <w:rFonts w:ascii="Calibri" w:cs="Calibri" w:eastAsia="Calibri" w:hAnsi="Calibri"/>
          <w:color w:val="1A202C"/>
          <w:sz w:val="20"/>
          <w:szCs w:val="20"/>
        </w:rPr>
        <w:t xml:space="preserve">File size constraint: &lt;5 MB total including embedded data for SharePoint compatibility.</w:t>
      </w:r>
    </w:p>
    <w:p/>
    <w:p>
      <w:pPr>
        <w:pStyle w:val="Heading2"/>
        <w:pBdr>
          <w:bottom w:val="single" w:color="0B5ED7" w:sz="4"/>
        </w:pBdr>
        <w:spacing w:after="80" w:before="280"/>
      </w:pPr>
      <w:r>
        <w:rPr>
          <w:rFonts w:ascii="Calibri" w:cs="Calibri" w:eastAsia="Calibri" w:hAnsi="Calibri"/>
          <w:b/>
          <w:bCs/>
          <w:color w:val="00126E"/>
          <w:sz w:val="26"/>
          <w:szCs w:val="26"/>
        </w:rPr>
        <w:t xml:space="preserve">8.2  Scenario Constraints (Allocation Engine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Rule</w:t>
            </w:r>
          </w:p>
        </w:tc>
        <w:tc>
          <w:tcPr>
            <w:tcW w:type="dxa" w:w="696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Description</w:t>
            </w:r>
          </w:p>
        </w:tc>
      </w:tr>
      <w:tr>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Whole-programme allocation</w:t>
            </w:r>
          </w:p>
        </w:tc>
        <w:tc>
          <w:tcPr>
            <w:tcW w:type="dxa" w:w="6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Engine allocates entire programme or nothing — no automatic partial splits. Only manual partial scope decisions allowed.</w:t>
            </w:r>
          </w:p>
        </w:tc>
      </w:tr>
      <w:tr>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Merit rank order</w:t>
            </w:r>
          </w:p>
        </w:tc>
        <w:tc>
          <w:tcPr>
            <w:tcW w:type="dxa" w:w="6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Within each stage, programmes funded in descending merit score order. Ties broken by programme ID (deterministic).</w:t>
            </w:r>
          </w:p>
        </w:tc>
      </w:tr>
      <w:tr>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Stage independence</w:t>
            </w:r>
          </w:p>
        </w:tc>
        <w:tc>
          <w:tcPr>
            <w:tcW w:type="dxa" w:w="6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Each stage has its own independent target against the shared budget ceiling. Stage order: P1 → P2 → P3 → P4 (→ P5 if enabled).</w:t>
            </w:r>
          </w:p>
        </w:tc>
      </w:tr>
      <w:tr>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Budget ceiling</w:t>
            </w:r>
          </w:p>
        </w:tc>
        <w:tc>
          <w:tcPr>
            <w:tcW w:type="dxa" w:w="6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Total allocation cannot exceed budget × (1 + tolerance%). Tolerance default 0%; configurable 0–10%.</w:t>
            </w:r>
          </w:p>
        </w:tc>
      </w:tr>
      <w:tr>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PMI on-top</w:t>
            </w:r>
          </w:p>
        </w:tc>
        <w:tc>
          <w:tcPr>
            <w:tcW w:type="dxa" w:w="6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PMI programmes bypass the allocation engine entirely and are funded automatically on top of the base budget.</w:t>
            </w:r>
          </w:p>
        </w:tc>
      </w:tr>
      <w:tr>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LFR cap defunding</w:t>
            </w:r>
          </w:p>
        </w:tc>
        <w:tc>
          <w:tcPr>
            <w:tcW w:type="dxa" w:w="6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P1 LFR programmes above the LFR lever cap are defunded in reverse merit order to reach the target.</w:t>
            </w:r>
          </w:p>
        </w:tc>
      </w:tr>
      <w:tr>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Carry-over cap</w:t>
            </w:r>
          </w:p>
        </w:tc>
        <w:tc>
          <w:tcPr>
            <w:tcW w:type="dxa" w:w="6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P2 carry-over funded amount capped at min(Requested, Carry Over Baselined). Cannot exceed prior commitment.</w:t>
            </w:r>
          </w:p>
        </w:tc>
      </w:tr>
      <w:tr>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Balanced Portfolio sub-rules</w:t>
            </w:r>
          </w:p>
        </w:tc>
        <w:tc>
          <w:tcPr>
            <w:tcW w:type="dxa" w:w="6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When Balanced mode active: CCB receives 70% of EW budget; ISC ring-fenced 10 M€; STO ring-fenced 20 M€; Regions ring-fenced 5 M€; NAR EW-28 auto-included. Sub-allocation phases run sequentially in engine.</w:t>
            </w:r>
          </w:p>
        </w:tc>
      </w:tr>
      <w:tr>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Protected overrides</w:t>
            </w:r>
          </w:p>
        </w:tc>
        <w:tc>
          <w:tcPr>
            <w:tcW w:type="dxa" w:w="6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Manually included/excluded programmes have _protected flag; engine never undoes them on re-run.</w:t>
            </w:r>
          </w:p>
        </w:tc>
      </w:tr>
      <w:tr>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Finalised lock</w:t>
            </w:r>
          </w:p>
        </w:tc>
        <w:tc>
          <w:tcPr>
            <w:tcW w:type="dxa" w:w="6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Finalised scenarios reject all mutating actions except Fork. Fork preserves parent immutably.</w:t>
            </w:r>
          </w:p>
        </w:tc>
      </w:tr>
    </w:tbl>
    <w:p/>
    <w:p>
      <w:pPr>
        <w:pStyle w:val="Heading2"/>
        <w:pBdr>
          <w:bottom w:val="single" w:color="0B5ED7" w:sz="4"/>
        </w:pBdr>
        <w:spacing w:after="80" w:before="280"/>
      </w:pPr>
      <w:r>
        <w:rPr>
          <w:rFonts w:ascii="Calibri" w:cs="Calibri" w:eastAsia="Calibri" w:hAnsi="Calibri"/>
          <w:b/>
          <w:bCs/>
          <w:color w:val="00126E"/>
          <w:sz w:val="26"/>
          <w:szCs w:val="26"/>
        </w:rPr>
        <w:t xml:space="preserve">8.3  Finance Calculation Rules</w:t>
      </w:r>
    </w:p>
    <w:p>
      <w:pPr>
        <w:pStyle w:val="ListParagraph"/>
        <w:numPr>
          <w:ilvl w:val="0"/>
          <w:numId w:val="2"/>
        </w:numPr>
        <w:spacing w:after="60"/>
      </w:pPr>
      <w:r>
        <w:rPr>
          <w:rFonts w:ascii="Calibri" w:cs="Calibri" w:eastAsia="Calibri" w:hAnsi="Calibri"/>
          <w:color w:val="1A202C"/>
          <w:sz w:val="20"/>
          <w:szCs w:val="20"/>
        </w:rPr>
        <w:t xml:space="preserve">Total IT AOP = Prioritised Programme AOP + Operations AOP (Operations is read-only; never changed by engine).</w:t>
      </w:r>
    </w:p>
    <w:p>
      <w:pPr>
        <w:pStyle w:val="ListParagraph"/>
        <w:numPr>
          <w:ilvl w:val="0"/>
          <w:numId w:val="2"/>
        </w:numPr>
        <w:spacing w:after="60"/>
      </w:pPr>
      <w:r>
        <w:rPr>
          <w:rFonts w:ascii="Calibri" w:cs="Calibri" w:eastAsia="Calibri" w:hAnsi="Calibri"/>
          <w:color w:val="1A202C"/>
          <w:sz w:val="20"/>
          <w:szCs w:val="20"/>
        </w:rPr>
        <w:t xml:space="preserve">EW charging key: each organisation's fraction = raw value ÷ total raw sum from Enterprise-wide charging row. Fractions must sum to 1.0 (validated).</w:t>
      </w:r>
    </w:p>
    <w:p>
      <w:pPr>
        <w:pStyle w:val="ListParagraph"/>
        <w:numPr>
          <w:ilvl w:val="0"/>
          <w:numId w:val="2"/>
        </w:numPr>
        <w:spacing w:after="60"/>
      </w:pPr>
      <w:r>
        <w:rPr>
          <w:rFonts w:ascii="Calibri" w:cs="Calibri" w:eastAsia="Calibri" w:hAnsi="Calibri"/>
          <w:color w:val="1A202C"/>
          <w:sz w:val="20"/>
          <w:szCs w:val="20"/>
        </w:rPr>
        <w:t xml:space="preserve">Rounding: display uses 1-decimal upward rounding (0.0451 → 0.1); internal calculations use full precision (6 d.p.); exports use full precision.</w:t>
      </w:r>
    </w:p>
    <w:p>
      <w:pPr>
        <w:pStyle w:val="ListParagraph"/>
        <w:numPr>
          <w:ilvl w:val="0"/>
          <w:numId w:val="2"/>
        </w:numPr>
        <w:spacing w:after="60"/>
      </w:pPr>
      <w:r>
        <w:rPr>
          <w:rFonts w:ascii="Calibri" w:cs="Calibri" w:eastAsia="Calibri" w:hAnsi="Calibri"/>
          <w:color w:val="1A202C"/>
          <w:sz w:val="20"/>
          <w:szCs w:val="20"/>
        </w:rPr>
        <w:t xml:space="preserve">Stage sub-totals are independently rounded — may not sum to rounded grand total (documented display artefact, not a bug).</w:t>
      </w:r>
    </w:p>
    <w:p>
      <w:pPr>
        <w:pStyle w:val="ListParagraph"/>
        <w:numPr>
          <w:ilvl w:val="0"/>
          <w:numId w:val="2"/>
        </w:numPr>
        <w:spacing w:after="60"/>
      </w:pPr>
      <w:r>
        <w:rPr>
          <w:rFonts w:ascii="Calibri" w:cs="Calibri" w:eastAsia="Calibri" w:hAnsi="Calibri"/>
          <w:color w:val="1A202C"/>
          <w:sz w:val="20"/>
          <w:szCs w:val="20"/>
        </w:rPr>
        <w:t xml:space="preserve">Hard/Soft benefit split always displayed separately; hard = Revenue Increase or Productivity Savings Investment Area AND benefit &gt; 0; soft = all other positive benefit categories.</w:t>
      </w:r>
    </w:p>
    <w:p/>
    <w:p>
      <w:pPr>
        <w:pStyle w:val="Heading2"/>
        <w:pBdr>
          <w:bottom w:val="single" w:color="0B5ED7" w:sz="4"/>
        </w:pBdr>
        <w:spacing w:after="80" w:before="280"/>
      </w:pPr>
      <w:r>
        <w:rPr>
          <w:rFonts w:ascii="Calibri" w:cs="Calibri" w:eastAsia="Calibri" w:hAnsi="Calibri"/>
          <w:b/>
          <w:bCs/>
          <w:color w:val="00126E"/>
          <w:sz w:val="26"/>
          <w:szCs w:val="26"/>
        </w:rPr>
        <w:t xml:space="preserve">8.4  Data Validation &amp; Hold Conditions</w:t>
      </w:r>
    </w:p>
    <w:p>
      <w:pPr>
        <w:spacing w:after="100"/>
      </w:pPr>
      <w:r>
        <w:rPr>
          <w:rFonts w:ascii="Calibri" w:cs="Calibri" w:eastAsia="Calibri" w:hAnsi="Calibri"/>
          <w:color w:val="1A202C"/>
          <w:sz w:val="20"/>
          <w:szCs w:val="20"/>
        </w:rPr>
        <w:t xml:space="preserve">The engine evaluates 15+ hold conditions per programme. Programmes with Critical holds are ineligible for automatic funding (override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200"/>
        <w:gridCol w:w="4960"/>
      </w:tblGrid>
      <w:tr>
        <w:tc>
          <w:tcPr>
            <w:tcW w:type="dxa" w:w="32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Hold Condition</w:t>
            </w:r>
          </w:p>
        </w:tc>
        <w:tc>
          <w:tcPr>
            <w:tcW w:type="dxa" w:w="12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Severity</w:t>
            </w:r>
          </w:p>
        </w:tc>
        <w:tc>
          <w:tcPr>
            <w:tcW w:type="dxa" w:w="496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Engine Behaviour</w:t>
            </w:r>
          </w:p>
        </w:tc>
      </w:tr>
      <w:tr>
        <w:tc>
          <w:tcPr>
            <w:tcW w:type="dxa" w:w="3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Requested demand is non-numeric</w:t>
            </w:r>
          </w:p>
        </w:tc>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Critical</w:t>
            </w:r>
          </w:p>
        </w:tc>
        <w:tc>
          <w:tcPr>
            <w:tcW w:type="dxa" w:w="4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Programme held; cannot be auto-funded</w:t>
            </w:r>
          </w:p>
        </w:tc>
      </w:tr>
      <w:tr>
        <w:tc>
          <w:tcPr>
            <w:tcW w:type="dxa" w:w="3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Requested demand is negative</w:t>
            </w:r>
          </w:p>
        </w:tc>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Critical</w:t>
            </w:r>
          </w:p>
        </w:tc>
        <w:tc>
          <w:tcPr>
            <w:tcW w:type="dxa" w:w="4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Programme held</w:t>
            </w:r>
          </w:p>
        </w:tc>
      </w:tr>
      <w:tr>
        <w:tc>
          <w:tcPr>
            <w:tcW w:type="dxa" w:w="3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Requested demand missing</w:t>
            </w:r>
          </w:p>
        </w:tc>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Critical</w:t>
            </w:r>
          </w:p>
        </w:tc>
        <w:tc>
          <w:tcPr>
            <w:tcW w:type="dxa" w:w="4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Programme held</w:t>
            </w:r>
          </w:p>
        </w:tc>
      </w:tr>
      <w:tr>
        <w:tc>
          <w:tcPr>
            <w:tcW w:type="dxa" w:w="3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Programme name missing</w:t>
            </w:r>
          </w:p>
        </w:tc>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Critical</w:t>
            </w:r>
          </w:p>
        </w:tc>
        <w:tc>
          <w:tcPr>
            <w:tcW w:type="dxa" w:w="4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Programme held</w:t>
            </w:r>
          </w:p>
        </w:tc>
      </w:tr>
      <w:tr>
        <w:tc>
          <w:tcPr>
            <w:tcW w:type="dxa" w:w="3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No positive requested demand</w:t>
            </w:r>
          </w:p>
        </w:tc>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Critical</w:t>
            </w:r>
          </w:p>
        </w:tc>
        <w:tc>
          <w:tcPr>
            <w:tcW w:type="dxa" w:w="4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Programme held</w:t>
            </w:r>
          </w:p>
        </w:tc>
      </w:tr>
      <w:tr>
        <w:tc>
          <w:tcPr>
            <w:tcW w:type="dxa" w:w="3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Priority TBD (mandatory)</w:t>
            </w:r>
          </w:p>
        </w:tc>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Critical</w:t>
            </w:r>
          </w:p>
        </w:tc>
        <w:tc>
          <w:tcPr>
            <w:tcW w:type="dxa" w:w="4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Programme held</w:t>
            </w:r>
          </w:p>
        </w:tc>
      </w:tr>
      <w:tr>
        <w:tc>
          <w:tcPr>
            <w:tcW w:type="dxa" w:w="3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Overall AOP decision unmapped</w:t>
            </w:r>
          </w:p>
        </w:tc>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Critical</w:t>
            </w:r>
          </w:p>
        </w:tc>
        <w:tc>
          <w:tcPr>
            <w:tcW w:type="dxa" w:w="4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Programme held</w:t>
            </w:r>
          </w:p>
        </w:tc>
      </w:tr>
      <w:tr>
        <w:tc>
          <w:tcPr>
            <w:tcW w:type="dxa" w:w="3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Contain condition needs review (P2+)</w:t>
            </w:r>
          </w:p>
        </w:tc>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Critical</w:t>
            </w:r>
          </w:p>
        </w:tc>
        <w:tc>
          <w:tcPr>
            <w:tcW w:type="dxa" w:w="4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Programme held</w:t>
            </w:r>
          </w:p>
        </w:tc>
      </w:tr>
      <w:tr>
        <w:tc>
          <w:tcPr>
            <w:tcW w:type="dxa" w:w="3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Below advanced merit floor (P4 only)</w:t>
            </w:r>
          </w:p>
        </w:tc>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Critical</w:t>
            </w:r>
          </w:p>
        </w:tc>
        <w:tc>
          <w:tcPr>
            <w:tcW w:type="dxa" w:w="4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Programme held when score &lt; merit threshold</w:t>
            </w:r>
          </w:p>
        </w:tc>
      </w:tr>
      <w:tr>
        <w:tc>
          <w:tcPr>
            <w:tcW w:type="dxa" w:w="3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Decision Band uninterpretable (#, 0)</w:t>
            </w:r>
          </w:p>
        </w:tc>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Critical</w:t>
            </w:r>
          </w:p>
        </w:tc>
        <w:tc>
          <w:tcPr>
            <w:tcW w:type="dxa" w:w="4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Programme held</w:t>
            </w:r>
          </w:p>
        </w:tc>
      </w:tr>
      <w:tr>
        <w:tc>
          <w:tcPr>
            <w:tcW w:type="dxa" w:w="3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Original source request missing/invalid</w:t>
            </w:r>
          </w:p>
        </w:tc>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Warning</w:t>
            </w:r>
          </w:p>
        </w:tc>
        <w:tc>
          <w:tcPr>
            <w:tcW w:type="dxa" w:w="4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Flagged but can be auto-funded with evidence note</w:t>
            </w:r>
          </w:p>
        </w:tc>
      </w:tr>
      <w:tr>
        <w:tc>
          <w:tcPr>
            <w:tcW w:type="dxa" w:w="3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Negative submitted benefit</w:t>
            </w:r>
          </w:p>
        </w:tc>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Warning</w:t>
            </w:r>
          </w:p>
        </w:tc>
        <w:tc>
          <w:tcPr>
            <w:tcW w:type="dxa" w:w="4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BCR set to 0; flagged for review</w:t>
            </w:r>
          </w:p>
        </w:tc>
      </w:tr>
      <w:tr>
        <w:tc>
          <w:tcPr>
            <w:tcW w:type="dxa" w:w="3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Benefit duration assumed (default 3yr)</w:t>
            </w:r>
          </w:p>
        </w:tc>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Warning</w:t>
            </w:r>
          </w:p>
        </w:tc>
        <w:tc>
          <w:tcPr>
            <w:tcW w:type="dxa" w:w="4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BCR calculated with flag; not a hold</w:t>
            </w:r>
          </w:p>
        </w:tc>
      </w:tr>
      <w:tr>
        <w:tc>
          <w:tcPr>
            <w:tcW w:type="dxa" w:w="3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Payback period non-positive</w:t>
            </w:r>
          </w:p>
        </w:tc>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Warning</w:t>
            </w:r>
          </w:p>
        </w:tc>
        <w:tc>
          <w:tcPr>
            <w:tcW w:type="dxa" w:w="4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Payback points = 0</w:t>
            </w:r>
          </w:p>
        </w:tc>
      </w:tr>
      <w:tr>
        <w:tc>
          <w:tcPr>
            <w:tcW w:type="dxa" w:w="3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Contain condition (P1 only)</w:t>
            </w:r>
          </w:p>
        </w:tc>
        <w:tc>
          <w:tcPr>
            <w:tcW w:type="dxa" w:w="1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Warning</w:t>
            </w:r>
          </w:p>
        </w:tc>
        <w:tc>
          <w:tcPr>
            <w:tcW w:type="dxa" w:w="4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P1 mandatory obligations retained; flagged for review</w:t>
            </w:r>
          </w:p>
        </w:tc>
      </w:tr>
    </w:tbl>
    <w:p/>
    <w:p>
      <w:pPr>
        <w:pStyle w:val="Heading2"/>
        <w:pBdr>
          <w:bottom w:val="single" w:color="0B5ED7" w:sz="4"/>
        </w:pBdr>
        <w:spacing w:after="80" w:before="280"/>
      </w:pPr>
      <w:r>
        <w:rPr>
          <w:rFonts w:ascii="Calibri" w:cs="Calibri" w:eastAsia="Calibri" w:hAnsi="Calibri"/>
          <w:b/>
          <w:bCs/>
          <w:color w:val="00126E"/>
          <w:sz w:val="26"/>
          <w:szCs w:val="26"/>
        </w:rPr>
        <w:t xml:space="preserve">8.5  Inter-Feature Dependencies</w:t>
      </w:r>
    </w:p>
    <w:p>
      <w:pPr>
        <w:pStyle w:val="ListParagraph"/>
        <w:numPr>
          <w:ilvl w:val="0"/>
          <w:numId w:val="2"/>
        </w:numPr>
        <w:spacing w:after="60"/>
      </w:pPr>
      <w:r>
        <w:rPr>
          <w:rFonts w:ascii="Calibri" w:cs="Calibri" w:eastAsia="Calibri" w:hAnsi="Calibri"/>
          <w:color w:val="1A202C"/>
          <w:sz w:val="20"/>
          <w:szCs w:val="20"/>
        </w:rPr>
        <w:t xml:space="preserve">Stage classification feeds merit scoring: a programme cannot have a BCR score calculated until its stage is known (stage determines whether carry-over cap applies).</w:t>
      </w:r>
    </w:p>
    <w:p>
      <w:pPr>
        <w:pStyle w:val="ListParagraph"/>
        <w:numPr>
          <w:ilvl w:val="0"/>
          <w:numId w:val="2"/>
        </w:numPr>
        <w:spacing w:after="60"/>
      </w:pPr>
      <w:r>
        <w:rPr>
          <w:rFonts w:ascii="Calibri" w:cs="Calibri" w:eastAsia="Calibri" w:hAnsi="Calibri"/>
          <w:color w:val="1A202C"/>
          <w:sz w:val="20"/>
          <w:szCs w:val="20"/>
        </w:rPr>
        <w:t xml:space="preserve">Levers feed the allocation engine: lever targets are recalculated on every slider change before engine re-runs.</w:t>
      </w:r>
    </w:p>
    <w:p>
      <w:pPr>
        <w:pStyle w:val="ListParagraph"/>
        <w:numPr>
          <w:ilvl w:val="0"/>
          <w:numId w:val="2"/>
        </w:numPr>
        <w:spacing w:after="60"/>
      </w:pPr>
      <w:r>
        <w:rPr>
          <w:rFonts w:ascii="Calibri" w:cs="Calibri" w:eastAsia="Calibri" w:hAnsi="Calibri"/>
          <w:color w:val="1A202C"/>
          <w:sz w:val="20"/>
          <w:szCs w:val="20"/>
        </w:rPr>
        <w:t xml:space="preserve">ExCo trade-off applies overrides: the Apply button writes to the overrides map, which is then read by the allocation engine on next run.</w:t>
      </w:r>
    </w:p>
    <w:p>
      <w:pPr>
        <w:pStyle w:val="ListParagraph"/>
        <w:numPr>
          <w:ilvl w:val="0"/>
          <w:numId w:val="2"/>
        </w:numPr>
        <w:spacing w:after="60"/>
      </w:pPr>
      <w:r>
        <w:rPr>
          <w:rFonts w:ascii="Calibri" w:cs="Calibri" w:eastAsia="Calibri" w:hAnsi="Calibri"/>
          <w:color w:val="1A202C"/>
          <w:sz w:val="20"/>
          <w:szCs w:val="20"/>
        </w:rPr>
        <w:t xml:space="preserve">Finance attribution reads the output of the allocation engine: ledger can only be built after allocation is complete.</w:t>
      </w:r>
    </w:p>
    <w:p>
      <w:pPr>
        <w:pStyle w:val="ListParagraph"/>
        <w:numPr>
          <w:ilvl w:val="0"/>
          <w:numId w:val="2"/>
        </w:numPr>
        <w:spacing w:after="60"/>
      </w:pPr>
      <w:r>
        <w:rPr>
          <w:rFonts w:ascii="Calibri" w:cs="Calibri" w:eastAsia="Calibri" w:hAnsi="Calibri"/>
          <w:color w:val="1A202C"/>
          <w:sz w:val="20"/>
          <w:szCs w:val="20"/>
        </w:rPr>
        <w:t xml:space="preserve">Export reads scenario state including overrides, reviews, and engine output: exports must reflect most recent allocation run.</w:t>
      </w:r>
    </w:p>
    <w:p>
      <w:pPr>
        <w:pStyle w:val="ListParagraph"/>
        <w:numPr>
          <w:ilvl w:val="0"/>
          <w:numId w:val="2"/>
        </w:numPr>
        <w:spacing w:after="60"/>
      </w:pPr>
      <w:r>
        <w:rPr>
          <w:rFonts w:ascii="Calibri" w:cs="Calibri" w:eastAsia="Calibri" w:hAnsi="Calibri"/>
          <w:color w:val="1A202C"/>
          <w:sz w:val="20"/>
          <w:szCs w:val="20"/>
        </w:rPr>
        <w:t xml:space="preserve">Excluded Register is populated during parsing: records excluded at parse time are never passed to the engine.</w:t>
      </w:r>
    </w:p>
    <w:p>
      <w:pPr>
        <w:pStyle w:val="ListParagraph"/>
        <w:numPr>
          <w:ilvl w:val="0"/>
          <w:numId w:val="2"/>
        </w:numPr>
        <w:spacing w:after="60"/>
      </w:pPr>
      <w:r>
        <w:rPr>
          <w:rFonts w:ascii="Calibri" w:cs="Calibri" w:eastAsia="Calibri" w:hAnsi="Calibri"/>
          <w:color w:val="1A202C"/>
          <w:sz w:val="20"/>
          <w:szCs w:val="20"/>
        </w:rPr>
        <w:t xml:space="preserve">Merit review overrides: if a programme has a manual merit score + evidence note in the reviews map, the engine uses that score instead of the calculated score.</w:t>
      </w:r>
    </w:p>
    <w:p/>
    <w:p>
      <w:pPr>
        <w:pStyle w:val="Heading2"/>
        <w:pBdr>
          <w:bottom w:val="single" w:color="0B5ED7" w:sz="4"/>
        </w:pBdr>
        <w:spacing w:after="80" w:before="280"/>
      </w:pPr>
      <w:r>
        <w:rPr>
          <w:rFonts w:ascii="Calibri" w:cs="Calibri" w:eastAsia="Calibri" w:hAnsi="Calibri"/>
          <w:b/>
          <w:bCs/>
          <w:color w:val="00126E"/>
          <w:sz w:val="26"/>
          <w:szCs w:val="26"/>
        </w:rPr>
        <w:t xml:space="preserve">8.6  Privacy, Legal &amp; Compliance</w:t>
      </w:r>
    </w:p>
    <w:p>
      <w:pPr>
        <w:pStyle w:val="ListParagraph"/>
        <w:numPr>
          <w:ilvl w:val="0"/>
          <w:numId w:val="2"/>
        </w:numPr>
        <w:spacing w:after="60"/>
      </w:pPr>
      <w:r>
        <w:rPr>
          <w:rFonts w:ascii="Calibri" w:cs="Calibri" w:eastAsia="Calibri" w:hAnsi="Calibri"/>
          <w:color w:val="1A202C"/>
          <w:sz w:val="20"/>
          <w:szCs w:val="20"/>
        </w:rPr>
        <w:t xml:space="preserve">All data is processed client-side in the user's browser. No data is transmitted to any server.</w:t>
      </w:r>
    </w:p>
    <w:p>
      <w:pPr>
        <w:pStyle w:val="ListParagraph"/>
        <w:numPr>
          <w:ilvl w:val="0"/>
          <w:numId w:val="2"/>
        </w:numPr>
        <w:spacing w:after="60"/>
      </w:pPr>
      <w:r>
        <w:rPr>
          <w:rFonts w:ascii="Calibri" w:cs="Calibri" w:eastAsia="Calibri" w:hAnsi="Calibri"/>
          <w:color w:val="1A202C"/>
          <w:sz w:val="20"/>
          <w:szCs w:val="20"/>
        </w:rPr>
        <w:t xml:space="preserve">Source workbook contains employee-related programme data; file should be handled under Philips data classification policies.</w:t>
      </w:r>
    </w:p>
    <w:p>
      <w:pPr>
        <w:pStyle w:val="ListParagraph"/>
        <w:numPr>
          <w:ilvl w:val="0"/>
          <w:numId w:val="2"/>
        </w:numPr>
        <w:spacing w:after="60"/>
      </w:pPr>
      <w:r>
        <w:rPr>
          <w:rFonts w:ascii="Calibri" w:cs="Calibri" w:eastAsia="Calibri" w:hAnsi="Calibri"/>
          <w:color w:val="1A202C"/>
          <w:sz w:val="20"/>
          <w:szCs w:val="20"/>
        </w:rPr>
        <w:t xml:space="preserve">LFR ExCo Decision overrides (opt-out decisions) encode individual programme exclusion decisions that have been bilaterally agreed; changes to these require ExCo approval.</w:t>
      </w:r>
    </w:p>
    <w:p>
      <w:pPr>
        <w:pStyle w:val="ListParagraph"/>
        <w:numPr>
          <w:ilvl w:val="0"/>
          <w:numId w:val="2"/>
        </w:numPr>
        <w:spacing w:after="60"/>
      </w:pPr>
      <w:r>
        <w:rPr>
          <w:rFonts w:ascii="Calibri" w:cs="Calibri" w:eastAsia="Calibri" w:hAnsi="Calibri"/>
          <w:color w:val="1A202C"/>
          <w:sz w:val="20"/>
          <w:szCs w:val="20"/>
        </w:rPr>
        <w:t xml:space="preserve">Exported JSON/Excel files should be distributed only through approved Philips channels (SharePoint, secure email).</w:t>
      </w:r>
    </w:p>
    <w:p>
      <w:r>
        <w:br w:type="page"/>
      </w:r>
    </w:p>
    <w:p>
      <w:pPr>
        <w:pStyle w:val="Heading1"/>
        <w:pBdr>
          <w:bottom w:val="single" w:color="BDF0FF" w:sz="6"/>
        </w:pBdr>
        <w:shd w:fill="00126E" w:val="clear"/>
        <w:spacing w:after="120" w:before="360"/>
        <w:rPr>
          <w:color w:val="FFFFFF"/>
        </w:rPr>
      </w:pPr>
      <w:r>
        <w:t xml:space="preserve">§9  Out of Scope (Non-Goals) — v6.10.26</w:t>
      </w:r>
      <w:r>
        <w:rPr>
          <w:rFonts w:ascii="Calibri" w:cs="Calibri" w:eastAsia="Calibri" w:hAnsi="Calibri"/>
          <w:b/>
          <w:bCs/>
          <w:color w:val="FFFFFF"/>
          <w:sz w:val="32"/>
          <w:szCs w:val="32"/>
        </w:rPr>
        <w:t xml:space="preserve">§9  Out of Scope (Non-Goals) — v6.10.26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c>
          <w:tcPr>
            <w:tcW w:type="dxa" w:w="28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Non-Goal</w:t>
            </w:r>
          </w:p>
        </w:tc>
        <w:tc>
          <w:tcPr>
            <w:tcW w:type="dxa" w:w="656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Rationale</w:t>
            </w:r>
          </w:p>
        </w:tc>
      </w:tr>
      <w:tr>
        <w:tc>
          <w:tcPr>
            <w:tcW w:type="dxa" w:w="2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Multi-user real-time collaboration</w:t>
            </w:r>
          </w:p>
        </w:tc>
        <w:tc>
          <w:tcPr>
            <w:tcW w:type="dxa" w:w="65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Single-file HTML with localStorage cannot support concurrent editing. Addressed in Future Roadmap (§12).</w:t>
            </w:r>
          </w:p>
        </w:tc>
      </w:tr>
      <w:tr>
        <w:tc>
          <w:tcPr>
            <w:tcW w:type="dxa" w:w="2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Direct SharePoint/API data refresh</w:t>
            </w:r>
          </w:p>
        </w:tc>
        <w:tc>
          <w:tcPr>
            <w:tcW w:type="dxa" w:w="65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File upload is the intentional data ingestion mechanism for v6. Live API integration is a v7+ feature.</w:t>
            </w:r>
          </w:p>
        </w:tc>
      </w:tr>
      <w:tr>
        <w:tc>
          <w:tcPr>
            <w:tcW w:type="dxa" w:w="2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Mobile / tablet layout</w:t>
            </w:r>
          </w:p>
        </w:tc>
        <w:tc>
          <w:tcPr>
            <w:tcW w:type="dxa" w:w="65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Tool designed for large-screen (≥1280px) use in facilitated ExCo sessions. Responsive mobile layout not required.</w:t>
            </w:r>
          </w:p>
        </w:tc>
      </w:tr>
      <w:tr>
        <w:tc>
          <w:tcPr>
            <w:tcW w:type="dxa" w:w="2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Automated email/notification distribution</w:t>
            </w:r>
          </w:p>
        </w:tc>
        <w:tc>
          <w:tcPr>
            <w:tcW w:type="dxa" w:w="65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Out of scope for a browser tool. Sharing via standard file channels.</w:t>
            </w:r>
          </w:p>
        </w:tc>
      </w:tr>
      <w:tr>
        <w:tc>
          <w:tcPr>
            <w:tcW w:type="dxa" w:w="2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Integration with project management tools (Jira, ServiceNow)</w:t>
            </w:r>
          </w:p>
        </w:tc>
        <w:tc>
          <w:tcPr>
            <w:tcW w:type="dxa" w:w="65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Programme IDs are reference-only; no live sync planned for v6.</w:t>
            </w:r>
          </w:p>
        </w:tc>
      </w:tr>
      <w:tr>
        <w:tc>
          <w:tcPr>
            <w:tcW w:type="dxa" w:w="2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Partial allocation by the engine</w:t>
            </w:r>
          </w:p>
        </w:tc>
        <w:tc>
          <w:tcPr>
            <w:tcW w:type="dxa" w:w="65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Engine only allocates whole programmes. Partial scope is always a manual decision. This is a deliberate design constraint.</w:t>
            </w:r>
          </w:p>
        </w:tc>
      </w:tr>
      <w:tr>
        <w:tc>
          <w:tcPr>
            <w:tcW w:type="dxa" w:w="2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Role-based access control (RBAC)</w:t>
            </w:r>
          </w:p>
        </w:tc>
        <w:tc>
          <w:tcPr>
            <w:tcW w:type="dxa" w:w="65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Single HTML file with no server; all users who open the file have equal access. RBAC addressed in v7+ agentic layer.</w:t>
            </w:r>
          </w:p>
        </w:tc>
      </w:tr>
      <w:tr>
        <w:tc>
          <w:tcPr>
            <w:tcW w:type="dxa" w:w="2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Historical trend analysis (&gt;2 years)</w:t>
            </w:r>
          </w:p>
        </w:tc>
        <w:tc>
          <w:tcPr>
            <w:tcW w:type="dxa" w:w="65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Only AOP 2026 reference data is embedded. Multi-year trend analysis is a future analytics feature.</w:t>
            </w:r>
          </w:p>
        </w:tc>
      </w:tr>
      <w:tr>
        <w:tc>
          <w:tcPr>
            <w:tcW w:type="dxa" w:w="2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PMI programme merit scoring</w:t>
            </w:r>
          </w:p>
        </w:tc>
        <w:tc>
          <w:tcPr>
            <w:tcW w:type="dxa" w:w="65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PMI programmes are always auto-funded on top; subjecting them to merit competition would contradict their contractual nature.</w:t>
            </w:r>
          </w:p>
        </w:tc>
      </w:tr>
      <w:tr>
        <w:tc>
          <w:tcPr>
            <w:tcW w:type="dxa" w:w="28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Automatic currency conversion</w:t>
            </w:r>
          </w:p>
        </w:tc>
        <w:tc>
          <w:tcPr>
            <w:tcW w:type="dxa" w:w="65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All amounts in M€; no multi-currency support.</w:t>
            </w:r>
          </w:p>
        </w:tc>
      </w:tr>
    </w:tbl>
    <w:p>
      <w:r>
        <w:br w:type="page"/>
      </w:r>
    </w:p>
    <w:p>
      <w:pPr>
        <w:pStyle w:val="Heading1"/>
        <w:pBdr>
          <w:bottom w:val="single" w:color="BDF0FF" w:sz="6"/>
        </w:pBdr>
        <w:shd w:fill="00126E" w:val="clear"/>
        <w:spacing w:after="120" w:before="360"/>
        <w:rPr>
          <w:color w:val="FFFFFF"/>
        </w:rPr>
      </w:pPr>
      <w:r>
        <w:t xml:space="preserve">§10  Open Questions &amp; FAQ</w:t>
      </w:r>
      <w:r>
        <w:rPr>
          <w:rFonts w:ascii="Calibri" w:cs="Calibri" w:eastAsia="Calibri" w:hAnsi="Calibri"/>
          <w:b/>
          <w:bCs/>
          <w:color w:val="FFFFFF"/>
          <w:sz w:val="32"/>
          <w:szCs w:val="32"/>
        </w:rPr>
        <w:t xml:space="preserve">§10  Open Questions &amp; FAQ</w:t>
      </w:r>
    </w:p>
    <w:p>
      <w:pPr>
        <w:pStyle w:val="Heading2"/>
        <w:pBdr>
          <w:bottom w:val="single" w:color="0B5ED7" w:sz="4"/>
        </w:pBdr>
        <w:spacing w:after="80" w:before="280"/>
      </w:pPr>
      <w:r>
        <w:rPr>
          <w:rFonts w:ascii="Calibri" w:cs="Calibri" w:eastAsia="Calibri" w:hAnsi="Calibri"/>
          <w:b/>
          <w:bCs/>
          <w:color w:val="00126E"/>
          <w:sz w:val="26"/>
          <w:szCs w:val="26"/>
        </w:rPr>
        <w:t xml:space="preserve">10.1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4160"/>
        <w:gridCol w:w="2000"/>
        <w:gridCol w:w="1600"/>
      </w:tblGrid>
      <w:tr>
        <w:tc>
          <w:tcPr>
            <w:tcW w:type="dxa" w:w="6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w:t>
            </w:r>
          </w:p>
        </w:tc>
        <w:tc>
          <w:tcPr>
            <w:tcW w:type="dxa" w:w="416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Question</w:t>
            </w:r>
          </w:p>
        </w:tc>
        <w:tc>
          <w:tcPr>
            <w:tcW w:type="dxa" w:w="20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Owner</w:t>
            </w:r>
          </w:p>
        </w:tc>
        <w:tc>
          <w:tcPr>
            <w:tcW w:type="dxa" w:w="16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Due</w:t>
            </w:r>
          </w:p>
        </w:tc>
      </w:tr>
      <w:tr>
        <w:tc>
          <w:tcPr>
            <w:tcW w:type="dxa" w:w="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OQ-01</w:t>
            </w:r>
          </w:p>
        </w:tc>
        <w:tc>
          <w:tcPr>
            <w:tcW w:type="dxa" w:w="4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Should the merit floor for P4 (default 45 pts) be configurable per ExCo negotiation or fixed by ITPFM?</w:t>
            </w:r>
          </w:p>
        </w:tc>
        <w:tc>
          <w:tcPr>
            <w:tcW w:type="dxa" w:w="20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ITPFM Lead</w:t>
            </w:r>
          </w:p>
        </w:tc>
        <w:tc>
          <w:tcPr>
            <w:tcW w:type="dxa" w:w="1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Before AOP 2027 finalisation</w:t>
            </w:r>
          </w:p>
        </w:tc>
      </w:tr>
      <w:tr>
        <w:tc>
          <w:tcPr>
            <w:tcW w:type="dxa" w:w="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OQ-02</w:t>
            </w:r>
          </w:p>
        </w:tc>
        <w:tc>
          <w:tcPr>
            <w:tcW w:type="dxa" w:w="4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LFR programmes: is the current hardcoded LFR ExCo Decision table sufficient, or should opt-out decisions be managed dynamically in the UI?</w:t>
            </w:r>
          </w:p>
        </w:tc>
        <w:tc>
          <w:tcPr>
            <w:tcW w:type="dxa" w:w="20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ITPFM + Legal</w:t>
            </w:r>
          </w:p>
        </w:tc>
        <w:tc>
          <w:tcPr>
            <w:tcW w:type="dxa" w:w="1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Nov 2026</w:t>
            </w:r>
          </w:p>
        </w:tc>
      </w:tr>
      <w:tr>
        <w:tc>
          <w:tcPr>
            <w:tcW w:type="dxa" w:w="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OQ-03</w:t>
            </w:r>
          </w:p>
        </w:tc>
        <w:tc>
          <w:tcPr>
            <w:tcW w:type="dxa" w:w="4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Finance attribution: should partial-scope allocations be attributed at the partial amount or the full requested amount for BU IT charge purposes?</w:t>
            </w:r>
          </w:p>
        </w:tc>
        <w:tc>
          <w:tcPr>
            <w:tcW w:type="dxa" w:w="20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AOP Controller</w:t>
            </w:r>
          </w:p>
        </w:tc>
        <w:tc>
          <w:tcPr>
            <w:tcW w:type="dxa" w:w="1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Before Excel export sign-off</w:t>
            </w:r>
          </w:p>
        </w:tc>
      </w:tr>
      <w:tr>
        <w:tc>
          <w:tcPr>
            <w:tcW w:type="dxa" w:w="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OQ-04</w:t>
            </w:r>
          </w:p>
        </w:tc>
        <w:tc>
          <w:tcPr>
            <w:tcW w:type="dxa" w:w="4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NDA programmes: how should these be surfaced in the Data Extract while respecting confidentiality? Currently shown as "NDA" redacted.</w:t>
            </w:r>
          </w:p>
        </w:tc>
        <w:tc>
          <w:tcPr>
            <w:tcW w:type="dxa" w:w="20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ITPFM + Legal</w:t>
            </w:r>
          </w:p>
        </w:tc>
        <w:tc>
          <w:tcPr>
            <w:tcW w:type="dxa" w:w="1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Nov 2026</w:t>
            </w:r>
          </w:p>
        </w:tc>
      </w:tr>
      <w:tr>
        <w:tc>
          <w:tcPr>
            <w:tcW w:type="dxa" w:w="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OQ-05</w:t>
            </w:r>
          </w:p>
        </w:tc>
        <w:tc>
          <w:tcPr>
            <w:tcW w:type="dxa" w:w="4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Balanced Portfolio sub-rules: are the CCB 70%, ISC 10 M€, STO 20 M€, Region 5 M€ targets fixed for AOP 2027 or scenario-configurable?</w:t>
            </w:r>
          </w:p>
        </w:tc>
        <w:tc>
          <w:tcPr>
            <w:tcW w:type="dxa" w:w="20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CTO office</w:t>
            </w:r>
          </w:p>
        </w:tc>
        <w:tc>
          <w:tcPr>
            <w:tcW w:type="dxa" w:w="1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Q4 2026</w:t>
            </w:r>
          </w:p>
        </w:tc>
      </w:tr>
      <w:tr>
        <w:tc>
          <w:tcPr>
            <w:tcW w:type="dxa" w:w="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OQ-06</w:t>
            </w:r>
          </w:p>
        </w:tc>
        <w:tc>
          <w:tcPr>
            <w:tcW w:type="dxa" w:w="41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What is the process for adding new organisations or ExCo mappings mid-cycle without a full code re-release?</w:t>
            </w:r>
          </w:p>
        </w:tc>
        <w:tc>
          <w:tcPr>
            <w:tcW w:type="dxa" w:w="20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ITPFM Dev</w:t>
            </w:r>
          </w:p>
        </w:tc>
        <w:tc>
          <w:tcPr>
            <w:tcW w:type="dxa" w:w="1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Dec 2026</w:t>
            </w:r>
          </w:p>
        </w:tc>
      </w:tr>
    </w:tbl>
    <w:p/>
    <w:p>
      <w:pPr>
        <w:pStyle w:val="Heading2"/>
        <w:pBdr>
          <w:bottom w:val="single" w:color="0B5ED7" w:sz="4"/>
        </w:pBdr>
        <w:spacing w:after="80" w:before="280"/>
      </w:pPr>
      <w:r>
        <w:rPr>
          <w:rFonts w:ascii="Calibri" w:cs="Calibri" w:eastAsia="Calibri" w:hAnsi="Calibri"/>
          <w:b/>
          <w:bCs/>
          <w:color w:val="00126E"/>
          <w:sz w:val="26"/>
          <w:szCs w:val="26"/>
        </w:rPr>
        <w:t xml:space="preserve">10.2  Frequently Asked Questions</w:t>
      </w:r>
    </w:p>
    <w:p>
      <w:pPr>
        <w:pStyle w:val="Heading4"/>
        <w:spacing w:after="40" w:before="160"/>
      </w:pPr>
      <w:r>
        <w:rPr>
          <w:rFonts w:ascii="Calibri" w:cs="Calibri" w:eastAsia="Calibri" w:hAnsi="Calibri"/>
          <w:b/>
          <w:bCs/>
          <w:color w:val="1A202C"/>
          <w:sz w:val="20"/>
          <w:szCs w:val="20"/>
        </w:rPr>
        <w:t xml:space="preserve">Q: Why are stage sub-totals sometimes off by 0.1 M€?</w:t>
      </w:r>
    </w:p>
    <w:p>
      <w:pPr>
        <w:spacing w:after="100"/>
      </w:pPr>
      <w:r>
        <w:rPr>
          <w:rFonts w:ascii="Calibri" w:cs="Calibri" w:eastAsia="Calibri" w:hAnsi="Calibri"/>
          <w:color w:val="1A202C"/>
          <w:sz w:val="20"/>
          <w:szCs w:val="20"/>
        </w:rPr>
        <w:t xml:space="preserve">Rounding display artefact. Each stage sub-total is independently rounded to 1 decimal place using upward rounding of magnitude. The grand total is also independently rounded from the full-precision sum. These two results can differ by ≤0.1 M€. Internal calculations always use 6 decimal places; this is purely a display formatting choice.</w:t>
      </w:r>
    </w:p>
    <w:p/>
    <w:p>
      <w:pPr>
        <w:pStyle w:val="Heading4"/>
        <w:spacing w:after="40" w:before="160"/>
      </w:pPr>
      <w:r>
        <w:rPr>
          <w:rFonts w:ascii="Calibri" w:cs="Calibri" w:eastAsia="Calibri" w:hAnsi="Calibri"/>
          <w:b/>
          <w:bCs/>
          <w:color w:val="1A202C"/>
          <w:sz w:val="20"/>
          <w:szCs w:val="20"/>
        </w:rPr>
        <w:t xml:space="preserve">Q: Why does my programme appear in the Excluded Register instead of the prioritised list?</w:t>
      </w:r>
    </w:p>
    <w:p>
      <w:pPr>
        <w:spacing w:after="100"/>
      </w:pPr>
      <w:r>
        <w:rPr>
          <w:rFonts w:ascii="Calibri" w:cs="Calibri" w:eastAsia="Calibri" w:hAnsi="Calibri"/>
          <w:color w:val="1A202C"/>
          <w:sz w:val="20"/>
          <w:szCs w:val="20"/>
        </w:rPr>
        <w:t xml:space="preserve">A programme is excluded at parse time if it has no submitted name AND no positive requested amount (identified as a template row), or if its requested amount is zero. Programmes with a name but invalid data receive hold conditions instead — they appear in the prioritised list with hold badges but are ineligible for auto-funding.</w:t>
      </w:r>
    </w:p>
    <w:p/>
    <w:p>
      <w:pPr>
        <w:pStyle w:val="Heading4"/>
        <w:spacing w:after="40" w:before="160"/>
      </w:pPr>
      <w:r>
        <w:rPr>
          <w:rFonts w:ascii="Calibri" w:cs="Calibri" w:eastAsia="Calibri" w:hAnsi="Calibri"/>
          <w:b/>
          <w:bCs/>
          <w:color w:val="1A202C"/>
          <w:sz w:val="20"/>
          <w:szCs w:val="20"/>
        </w:rPr>
        <w:t xml:space="preserve">Q: Can I change the scoring weights (40/25/15/10/10)?</w:t>
      </w:r>
    </w:p>
    <w:p>
      <w:pPr>
        <w:spacing w:after="100"/>
      </w:pPr>
      <w:r>
        <w:rPr>
          <w:rFonts w:ascii="Calibri" w:cs="Calibri" w:eastAsia="Calibri" w:hAnsi="Calibri"/>
          <w:color w:val="1A202C"/>
          <w:sz w:val="20"/>
          <w:szCs w:val="20"/>
        </w:rPr>
        <w:t xml:space="preserve">Yes — the weights array is configurable in the scenario settings. Default is [40,25,15,10,10] corresponding to [BCR, Priority, Consequence, Band, Payback]. The Data Extract reference shows the default weights; if a scenario uses custom weights, the scoring tab should be re-generated from that scenario's settings export.</w:t>
      </w:r>
    </w:p>
    <w:p/>
    <w:p>
      <w:pPr>
        <w:pStyle w:val="Heading4"/>
        <w:spacing w:after="40" w:before="160"/>
      </w:pPr>
      <w:r>
        <w:rPr>
          <w:rFonts w:ascii="Calibri" w:cs="Calibri" w:eastAsia="Calibri" w:hAnsi="Calibri"/>
          <w:b/>
          <w:bCs/>
          <w:color w:val="1A202C"/>
          <w:sz w:val="20"/>
          <w:szCs w:val="20"/>
        </w:rPr>
        <w:t xml:space="preserve">Q: How are Enterprise-Wide (EW) programmes attributed to individual organisations?</w:t>
      </w:r>
    </w:p>
    <w:p>
      <w:pPr>
        <w:spacing w:after="100"/>
      </w:pPr>
      <w:r>
        <w:rPr>
          <w:rFonts w:ascii="Calibri" w:cs="Calibri" w:eastAsia="Calibri" w:hAnsi="Calibri"/>
          <w:color w:val="1A202C"/>
          <w:sz w:val="20"/>
          <w:szCs w:val="20"/>
        </w:rPr>
        <w:t xml:space="preserve">The EW charging key in the source workbook contains a row with raw fractions per organisation. The engine divides each organisation's raw value by the total sum to get its fraction. Each EW programme's funded amount is then multiplied by this fraction and credited to each organisation. PMI programmes are attributed to a synthetic "PMI on top" bucket — not charged to any BU.</w:t>
      </w:r>
    </w:p>
    <w:p/>
    <w:p>
      <w:pPr>
        <w:pStyle w:val="Heading4"/>
        <w:spacing w:after="40" w:before="160"/>
      </w:pPr>
      <w:r>
        <w:rPr>
          <w:rFonts w:ascii="Calibri" w:cs="Calibri" w:eastAsia="Calibri" w:hAnsi="Calibri"/>
          <w:b/>
          <w:bCs/>
          <w:color w:val="1A202C"/>
          <w:sz w:val="20"/>
          <w:szCs w:val="20"/>
        </w:rPr>
        <w:t xml:space="preserve">Q: What happens if the same programme appears in both the EW and BU worksheets?</w:t>
      </w:r>
    </w:p>
    <w:p>
      <w:pPr>
        <w:spacing w:after="100"/>
      </w:pPr>
      <w:r>
        <w:rPr>
          <w:rFonts w:ascii="Calibri" w:cs="Calibri" w:eastAsia="Calibri" w:hAnsi="Calibri"/>
          <w:color w:val="1A202C"/>
          <w:sz w:val="20"/>
          <w:szCs w:val="20"/>
        </w:rPr>
        <w:t xml:space="preserve">The engine uses the BU sheet record and ignores the EW duplicate. If the BU sheet has a programme type of "EW" or the org is in the EW routing logic, the org override rules redirect it to the correct cross-BU bucket. Duplicate detection is logged to the issues list.</w:t>
      </w:r>
    </w:p>
    <w:p>
      <w:r>
        <w:br w:type="page"/>
      </w:r>
    </w:p>
    <w:p>
      <w:pPr>
        <w:pStyle w:val="Heading1"/>
        <w:pBdr>
          <w:bottom w:val="single" w:color="BDF0FF" w:sz="6"/>
        </w:pBdr>
        <w:shd w:fill="00126E" w:val="clear"/>
        <w:spacing w:after="120" w:before="360"/>
        <w:rPr>
          <w:color w:val="FFFFFF"/>
        </w:rPr>
      </w:pPr>
      <w:r>
        <w:t xml:space="preserve">§11  Requirements Traceability Index (RTI)</w:t>
      </w:r>
      <w:r>
        <w:rPr>
          <w:rFonts w:ascii="Calibri" w:cs="Calibri" w:eastAsia="Calibri" w:hAnsi="Calibri"/>
          <w:b/>
          <w:bCs/>
          <w:color w:val="FFFFFF"/>
          <w:sz w:val="32"/>
          <w:szCs w:val="32"/>
        </w:rPr>
        <w:t xml:space="preserve">§11  Requirements Traceability Index (RTI)</w:t>
      </w:r>
    </w:p>
    <w:p>
      <w:pPr>
        <w:spacing w:after="100"/>
      </w:pPr>
      <w:r>
        <w:rPr>
          <w:rFonts w:ascii="Calibri" w:cs="Calibri" w:eastAsia="Calibri" w:hAnsi="Calibri"/>
          <w:color w:val="1A202C"/>
          <w:sz w:val="20"/>
          <w:szCs w:val="20"/>
        </w:rPr>
        <w:t xml:space="preserve">Cross-reference between requirements, features, and CUJs to confirm full coverage.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600"/>
        <w:gridCol w:w="1600"/>
        <w:gridCol w:w="1400"/>
        <w:gridCol w:w="900"/>
      </w:tblGrid>
      <w:tr>
        <w:tc>
          <w:tcPr>
            <w:tcW w:type="dxa" w:w="9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Req ID</w:t>
            </w:r>
          </w:p>
        </w:tc>
        <w:tc>
          <w:tcPr>
            <w:tcW w:type="dxa" w:w="36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Requirement</w:t>
            </w:r>
          </w:p>
        </w:tc>
        <w:tc>
          <w:tcPr>
            <w:tcW w:type="dxa" w:w="16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Feature Reference</w:t>
            </w:r>
          </w:p>
        </w:tc>
        <w:tc>
          <w:tcPr>
            <w:tcW w:type="dxa" w:w="14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CUJ Coverage</w:t>
            </w:r>
          </w:p>
        </w:tc>
        <w:tc>
          <w:tcPr>
            <w:tcW w:type="dxa" w:w="9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Priority</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REQ-001</w:t>
            </w:r>
          </w:p>
        </w:tc>
        <w:tc>
          <w:tcPr>
            <w:tcW w:type="dxa" w:w="3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System shall parse AOP Excel workbook with ≥421 programmes in &lt;10 seconds.</w:t>
            </w:r>
          </w:p>
        </w:tc>
        <w:tc>
          <w:tcPr>
            <w:tcW w:type="dxa" w:w="1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§3.1.1 Data Ingestion</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CUJ-01</w:t>
            </w:r>
          </w:p>
        </w:tc>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Critical</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REQ-002</w:t>
            </w:r>
          </w:p>
        </w:tc>
        <w:tc>
          <w:tcPr>
            <w:tcW w:type="dxa" w:w="3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System shall classify every programme into exactly one of P1–P5 deterministically.</w:t>
            </w:r>
          </w:p>
        </w:tc>
        <w:tc>
          <w:tcPr>
            <w:tcW w:type="dxa" w:w="1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§3.1.1 Stage Classification</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CUJ-01</w:t>
            </w:r>
          </w:p>
        </w:tc>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Critical</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REQ-003</w:t>
            </w:r>
          </w:p>
        </w:tc>
        <w:tc>
          <w:tcPr>
            <w:tcW w:type="dxa" w:w="3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System shall compute merit score 0–100 for every programme using 5-dimension weighted model.</w:t>
            </w:r>
          </w:p>
        </w:tc>
        <w:tc>
          <w:tcPr>
            <w:tcW w:type="dxa" w:w="1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§3.1.2 Merit Scoring</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CUJ-01, CUJ-06</w:t>
            </w:r>
          </w:p>
        </w:tc>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Critical</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REQ-004</w:t>
            </w:r>
          </w:p>
        </w:tc>
        <w:tc>
          <w:tcPr>
            <w:tcW w:type="dxa" w:w="3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System shall support 5 investment levers with 3 modes each (% bucket, % AOP, M€ amount).</w:t>
            </w:r>
          </w:p>
        </w:tc>
        <w:tc>
          <w:tcPr>
            <w:tcW w:type="dxa" w:w="1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§3.1.3 Levers</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CUJ-02</w:t>
            </w:r>
          </w:p>
        </w:tc>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High</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REQ-005</w:t>
            </w:r>
          </w:p>
        </w:tc>
        <w:tc>
          <w:tcPr>
            <w:tcW w:type="dxa" w:w="3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Allocation engine shall fund programmes whole in merit rank order within each stage.</w:t>
            </w:r>
          </w:p>
        </w:tc>
        <w:tc>
          <w:tcPr>
            <w:tcW w:type="dxa" w:w="1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§8.2 Allocation Rules</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CUJ-02</w:t>
            </w:r>
          </w:p>
        </w:tc>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Critical</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REQ-006</w:t>
            </w:r>
          </w:p>
        </w:tc>
        <w:tc>
          <w:tcPr>
            <w:tcW w:type="dxa" w:w="3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System shall never exceed budget × (1 + tolerance%).</w:t>
            </w:r>
          </w:p>
        </w:tc>
        <w:tc>
          <w:tcPr>
            <w:tcW w:type="dxa" w:w="1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§8.2 Budget Ceiling</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CUJ-02</w:t>
            </w:r>
          </w:p>
        </w:tc>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Critical</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REQ-007</w:t>
            </w:r>
          </w:p>
        </w:tc>
        <w:tc>
          <w:tcPr>
            <w:tcW w:type="dxa" w:w="3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PMI programmes shall be auto-funded on top of base budget, not subject to merit ranking.</w:t>
            </w:r>
          </w:p>
        </w:tc>
        <w:tc>
          <w:tcPr>
            <w:tcW w:type="dxa" w:w="1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§3.1.1, §8.2</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CUJ-01</w:t>
            </w:r>
          </w:p>
        </w:tc>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Critical</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REQ-008</w:t>
            </w:r>
          </w:p>
        </w:tc>
        <w:tc>
          <w:tcPr>
            <w:tcW w:type="dxa" w:w="3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System shall detect and surface ≥15 hold condition types per programme.</w:t>
            </w:r>
          </w:p>
        </w:tc>
        <w:tc>
          <w:tcPr>
            <w:tcW w:type="dxa" w:w="1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§8.4 Hold Conditions</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CUJ-04</w:t>
            </w:r>
          </w:p>
        </w:tc>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High</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REQ-009</w:t>
            </w:r>
          </w:p>
        </w:tc>
        <w:tc>
          <w:tcPr>
            <w:tcW w:type="dxa" w:w="3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Manual overrides (include/exclude/partial) shall require a written rationale note.</w:t>
            </w:r>
          </w:p>
        </w:tc>
        <w:tc>
          <w:tcPr>
            <w:tcW w:type="dxa" w:w="1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§3.1.5 Overrides</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CUJ-03, CUJ-04</w:t>
            </w:r>
          </w:p>
        </w:tc>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High</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REQ-010</w:t>
            </w:r>
          </w:p>
        </w:tc>
        <w:tc>
          <w:tcPr>
            <w:tcW w:type="dxa" w:w="3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Every override decision shall be recorded in an immutable time-stamped event log.</w:t>
            </w:r>
          </w:p>
        </w:tc>
        <w:tc>
          <w:tcPr>
            <w:tcW w:type="dxa" w:w="1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§3.1.7 Scenario Mgmt</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CUJ-05</w:t>
            </w:r>
          </w:p>
        </w:tc>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High</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REQ-011</w:t>
            </w:r>
          </w:p>
        </w:tc>
        <w:tc>
          <w:tcPr>
            <w:tcW w:type="dxa" w:w="3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ExCo trade-off Apply shall not modify Total AOP.</w:t>
            </w:r>
          </w:p>
        </w:tc>
        <w:tc>
          <w:tcPr>
            <w:tcW w:type="dxa" w:w="1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§3.1.6, §7.5</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CUJ-03</w:t>
            </w:r>
          </w:p>
        </w:tc>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Critical</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REQ-012</w:t>
            </w:r>
          </w:p>
        </w:tc>
        <w:tc>
          <w:tcPr>
            <w:tcW w:type="dxa" w:w="3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Finance attribution ledger shall account for 100% of funded programme amounts to organisations.</w:t>
            </w:r>
          </w:p>
        </w:tc>
        <w:tc>
          <w:tcPr>
            <w:tcW w:type="dxa" w:w="1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§3.1.8 Attribution</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CUJ-05</w:t>
            </w:r>
          </w:p>
        </w:tc>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Critical</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REQ-013</w:t>
            </w:r>
          </w:p>
        </w:tc>
        <w:tc>
          <w:tcPr>
            <w:tcW w:type="dxa" w:w="3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Hard and Soft benefits shall never be combined in any KPI display.</w:t>
            </w:r>
          </w:p>
        </w:tc>
        <w:tc>
          <w:tcPr>
            <w:tcW w:type="dxa" w:w="1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§3.1.9, §8.3</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CUJ-01, CUJ-06</w:t>
            </w:r>
          </w:p>
        </w:tc>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High</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REQ-014</w:t>
            </w:r>
          </w:p>
        </w:tc>
        <w:tc>
          <w:tcPr>
            <w:tcW w:type="dxa" w:w="3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Finalised scenarios shall reject all mutations except Fork.</w:t>
            </w:r>
          </w:p>
        </w:tc>
        <w:tc>
          <w:tcPr>
            <w:tcW w:type="dxa" w:w="1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§3.1.7</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CUJ-05</w:t>
            </w:r>
          </w:p>
        </w:tc>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High</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REQ-015</w:t>
            </w:r>
          </w:p>
        </w:tc>
        <w:tc>
          <w:tcPr>
            <w:tcW w:type="dxa" w:w="3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Excluded records shall be captured separately and never silently dropped.</w:t>
            </w:r>
          </w:p>
        </w:tc>
        <w:tc>
          <w:tcPr>
            <w:tcW w:type="dxa" w:w="1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§3.1.1, §3.2.7</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CUJ-01, CUJ-06</w:t>
            </w:r>
          </w:p>
        </w:tc>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High</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REQ-016</w:t>
            </w:r>
          </w:p>
        </w:tc>
        <w:tc>
          <w:tcPr>
            <w:tcW w:type="dxa" w:w="3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Data Extract shall support multi-select filters on ≥7 dimensions.</w:t>
            </w:r>
          </w:p>
        </w:tc>
        <w:tc>
          <w:tcPr>
            <w:tcW w:type="dxa" w:w="1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§3.2.1</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CUJ-06</w:t>
            </w:r>
          </w:p>
        </w:tc>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Medium</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REQ-017</w:t>
            </w:r>
          </w:p>
        </w:tc>
        <w:tc>
          <w:tcPr>
            <w:tcW w:type="dxa" w:w="3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Export to Excel and JSON shall preserve full-precision amounts (no rounding).</w:t>
            </w:r>
          </w:p>
        </w:tc>
        <w:tc>
          <w:tcPr>
            <w:tcW w:type="dxa" w:w="1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§3.1.10, §8.3</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CUJ-05</w:t>
            </w:r>
          </w:p>
        </w:tc>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High</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REQ-018</w:t>
            </w:r>
          </w:p>
        </w:tc>
        <w:tc>
          <w:tcPr>
            <w:tcW w:type="dxa" w:w="3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No data shall be transmitted to any server; all processing shall be client-side.</w:t>
            </w:r>
          </w:p>
        </w:tc>
        <w:tc>
          <w:tcPr>
            <w:tcW w:type="dxa" w:w="1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§8.6 Privacy</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All</w:t>
            </w:r>
          </w:p>
        </w:tc>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Critical</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REQ-019</w:t>
            </w:r>
          </w:p>
        </w:tc>
        <w:tc>
          <w:tcPr>
            <w:tcW w:type="dxa" w:w="3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Tool shall operate fully offline after initial HTML file load.</w:t>
            </w:r>
          </w:p>
        </w:tc>
        <w:tc>
          <w:tcPr>
            <w:tcW w:type="dxa" w:w="1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§8.1 Platform</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All</w:t>
            </w:r>
          </w:p>
        </w:tc>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Critical</w:t>
            </w:r>
          </w:p>
        </w:tc>
      </w:tr>
      <w:tr>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REQ-020</w:t>
            </w:r>
          </w:p>
        </w:tc>
        <w:tc>
          <w:tcPr>
            <w:tcW w:type="dxa" w:w="3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Carry-over funding shall be capped at min(Requested, Carry Over Baselined).</w:t>
            </w:r>
          </w:p>
        </w:tc>
        <w:tc>
          <w:tcPr>
            <w:tcW w:type="dxa" w:w="16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§8.2, §3.2.3</w:t>
            </w:r>
          </w:p>
        </w:tc>
        <w:tc>
          <w:tcPr>
            <w:tcW w:type="dxa" w:w="1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CUJ-02</w:t>
            </w:r>
          </w:p>
        </w:tc>
        <w:tc>
          <w:tcPr>
            <w:tcW w:type="dxa" w:w="9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Critical</w:t>
            </w:r>
          </w:p>
        </w:tc>
      </w:tr>
    </w:tbl>
    <w:p>
      <w:r>
        <w:br w:type="page"/>
      </w:r>
    </w:p>
    <w:p>
      <w:pPr>
        <w:pStyle w:val="Heading1"/>
        <w:pBdr>
          <w:bottom w:val="single" w:color="BDF0FF" w:sz="6"/>
        </w:pBdr>
        <w:shd w:fill="00126E" w:val="clear"/>
        <w:spacing w:after="120" w:before="360"/>
        <w:rPr>
          <w:color w:val="FFFFFF"/>
        </w:rPr>
      </w:pPr>
      <w:r>
        <w:t xml:space="preserve">§12  Future Roadmap — Agentic &amp; Live Product</w:t>
      </w:r>
      <w:r>
        <w:rPr>
          <w:rFonts w:ascii="Calibri" w:cs="Calibri" w:eastAsia="Calibri" w:hAnsi="Calibri"/>
          <w:b/>
          <w:bCs/>
          <w:color w:val="FFFFFF"/>
          <w:sz w:val="32"/>
          <w:szCs w:val="32"/>
        </w:rPr>
        <w:t xml:space="preserve">§12  Future Roadmap — Agentic &amp; Live Product</w:t>
      </w:r>
    </w:p>
    <w:p>
      <w:pPr>
        <w:pStyle w:val="Heading2"/>
        <w:pBdr>
          <w:bottom w:val="single" w:color="0B5ED7" w:sz="4"/>
        </w:pBdr>
        <w:spacing w:after="80" w:before="280"/>
      </w:pPr>
      <w:r>
        <w:rPr>
          <w:rFonts w:ascii="Calibri" w:cs="Calibri" w:eastAsia="Calibri" w:hAnsi="Calibri"/>
          <w:b/>
          <w:bCs/>
          <w:color w:val="00126E"/>
          <w:sz w:val="26"/>
          <w:szCs w:val="26"/>
        </w:rPr>
        <w:t xml:space="preserve">12.1  Path to a Launchable Internal Product</w:t>
      </w:r>
    </w:p>
    <w:p>
      <w:pPr>
        <w:spacing w:after="100"/>
      </w:pPr>
      <w:r>
        <w:rPr>
          <w:rFonts w:ascii="Calibri" w:cs="Calibri" w:eastAsia="Calibri" w:hAnsi="Calibri"/>
          <w:color w:val="1A202C"/>
          <w:sz w:val="20"/>
          <w:szCs w:val="20"/>
        </w:rPr>
        <w:t xml:space="preserve">The current tool is a powerful, sophisticated decision-support instrument but remains in the "expert artefact" category — it requires ITPFM-team knowledge to operate. The following roadmap converts it into a launchable, self-service internal product accessible to all 16 ExCo leaders and 35 organisation representatives.</w:t>
      </w:r>
    </w:p>
    <w:p/>
    <w:p>
      <w:pPr>
        <w:pStyle w:val="Heading2"/>
        <w:pBdr>
          <w:bottom w:val="single" w:color="0B5ED7" w:sz="4"/>
        </w:pBdr>
        <w:spacing w:after="80" w:before="280"/>
      </w:pPr>
      <w:r>
        <w:rPr>
          <w:rFonts w:ascii="Calibri" w:cs="Calibri" w:eastAsia="Calibri" w:hAnsi="Calibri"/>
          <w:b/>
          <w:bCs/>
          <w:color w:val="00126E"/>
          <w:sz w:val="26"/>
          <w:szCs w:val="26"/>
        </w:rPr>
        <w:t xml:space="preserve">12.2  Phase 1: Infrastructure (Q4 2026 — Q1 2027)</w:t>
      </w:r>
    </w:p>
    <w:p>
      <w:pPr>
        <w:pStyle w:val="Heading3"/>
        <w:spacing w:after="60" w:before="200"/>
      </w:pPr>
      <w:r>
        <w:rPr>
          <w:rFonts w:ascii="Calibri" w:cs="Calibri" w:eastAsia="Calibri" w:hAnsi="Calibri"/>
          <w:b/>
          <w:bCs/>
          <w:color w:val="0B5ED7"/>
          <w:sz w:val="22"/>
          <w:szCs w:val="22"/>
        </w:rPr>
        <w:t xml:space="preserve">1a  Backend API &amp; Authentication</w:t>
      </w:r>
    </w:p>
    <w:p>
      <w:pPr>
        <w:pStyle w:val="ListParagraph"/>
        <w:numPr>
          <w:ilvl w:val="0"/>
          <w:numId w:val="2"/>
        </w:numPr>
        <w:spacing w:after="60"/>
      </w:pPr>
      <w:r>
        <w:rPr>
          <w:rFonts w:ascii="Calibri" w:cs="Calibri" w:eastAsia="Calibri" w:hAnsi="Calibri"/>
          <w:color w:val="1A202C"/>
          <w:sz w:val="20"/>
          <w:szCs w:val="20"/>
        </w:rPr>
        <w:t xml:space="preserve">Deploy the allocation engine as a REST API (Node.js/TypeScript service) on Philips internal cloud (Azure).</w:t>
      </w:r>
    </w:p>
    <w:p>
      <w:pPr>
        <w:pStyle w:val="ListParagraph"/>
        <w:numPr>
          <w:ilvl w:val="0"/>
          <w:numId w:val="2"/>
        </w:numPr>
        <w:spacing w:after="60"/>
      </w:pPr>
      <w:r>
        <w:rPr>
          <w:rFonts w:ascii="Calibri" w:cs="Calibri" w:eastAsia="Calibri" w:hAnsi="Calibri"/>
          <w:color w:val="1A202C"/>
          <w:sz w:val="20"/>
          <w:szCs w:val="20"/>
        </w:rPr>
        <w:t xml:space="preserve">Integrate with Philips SSO (Azure AD) for role-based access control: ITPFM Admin, ExCo Leader, Programme Manager (read-only), Finance Controller.</w:t>
      </w:r>
    </w:p>
    <w:p>
      <w:pPr>
        <w:pStyle w:val="ListParagraph"/>
        <w:numPr>
          <w:ilvl w:val="0"/>
          <w:numId w:val="2"/>
        </w:numPr>
        <w:spacing w:after="60"/>
      </w:pPr>
      <w:r>
        <w:rPr>
          <w:rFonts w:ascii="Calibri" w:cs="Calibri" w:eastAsia="Calibri" w:hAnsi="Calibri"/>
          <w:color w:val="1A202C"/>
          <w:sz w:val="20"/>
          <w:szCs w:val="20"/>
        </w:rPr>
        <w:t xml:space="preserve">Data refresh endpoint: source workbook auto-fetched from SharePoint ITPFM site on schedule (replaces manual drag-and-drop).</w:t>
      </w:r>
    </w:p>
    <w:p>
      <w:pPr>
        <w:pStyle w:val="ListParagraph"/>
        <w:numPr>
          <w:ilvl w:val="0"/>
          <w:numId w:val="2"/>
        </w:numPr>
        <w:spacing w:after="60"/>
      </w:pPr>
      <w:r>
        <w:rPr>
          <w:rFonts w:ascii="Calibri" w:cs="Calibri" w:eastAsia="Calibri" w:hAnsi="Calibri"/>
          <w:color w:val="1A202C"/>
          <w:sz w:val="20"/>
          <w:szCs w:val="20"/>
        </w:rPr>
        <w:t xml:space="preserve">Scenario persistence in Azure SQL/CosmosDB — no more localStorage; multi-user shared state.</w:t>
      </w:r>
    </w:p>
    <w:p/>
    <w:p>
      <w:pPr>
        <w:pStyle w:val="Heading3"/>
        <w:spacing w:after="60" w:before="200"/>
      </w:pPr>
      <w:r>
        <w:rPr>
          <w:rFonts w:ascii="Calibri" w:cs="Calibri" w:eastAsia="Calibri" w:hAnsi="Calibri"/>
          <w:b/>
          <w:bCs/>
          <w:color w:val="0B5ED7"/>
          <w:sz w:val="22"/>
          <w:szCs w:val="22"/>
        </w:rPr>
        <w:t xml:space="preserve">1b  Real-Time Multi-User Collaboration</w:t>
      </w:r>
    </w:p>
    <w:p>
      <w:pPr>
        <w:pStyle w:val="ListParagraph"/>
        <w:numPr>
          <w:ilvl w:val="0"/>
          <w:numId w:val="2"/>
        </w:numPr>
        <w:spacing w:after="60"/>
      </w:pPr>
      <w:r>
        <w:rPr>
          <w:rFonts w:ascii="Calibri" w:cs="Calibri" w:eastAsia="Calibri" w:hAnsi="Calibri"/>
          <w:color w:val="1A202C"/>
          <w:sz w:val="20"/>
          <w:szCs w:val="20"/>
        </w:rPr>
        <w:t xml:space="preserve">WebSocket-based scenario sync: multiple ITPFM team members can edit settings and overrides simultaneously with conflict resolution.</w:t>
      </w:r>
    </w:p>
    <w:p>
      <w:pPr>
        <w:pStyle w:val="ListParagraph"/>
        <w:numPr>
          <w:ilvl w:val="0"/>
          <w:numId w:val="2"/>
        </w:numPr>
        <w:spacing w:after="60"/>
      </w:pPr>
      <w:r>
        <w:rPr>
          <w:rFonts w:ascii="Calibri" w:cs="Calibri" w:eastAsia="Calibri" w:hAnsi="Calibri"/>
          <w:color w:val="1A202C"/>
          <w:sz w:val="20"/>
          <w:szCs w:val="20"/>
        </w:rPr>
        <w:t xml:space="preserve">ExCo leaders see their organisation's view in real time as ITPFM adjusts levers.</w:t>
      </w:r>
    </w:p>
    <w:p>
      <w:pPr>
        <w:pStyle w:val="ListParagraph"/>
        <w:numPr>
          <w:ilvl w:val="0"/>
          <w:numId w:val="2"/>
        </w:numPr>
        <w:spacing w:after="60"/>
      </w:pPr>
      <w:r>
        <w:rPr>
          <w:rFonts w:ascii="Calibri" w:cs="Calibri" w:eastAsia="Calibri" w:hAnsi="Calibri"/>
          <w:color w:val="1A202C"/>
          <w:sz w:val="20"/>
          <w:szCs w:val="20"/>
        </w:rPr>
        <w:t xml:space="preserve">Change presence indicators (who is editing, when).</w:t>
      </w:r>
    </w:p>
    <w:p/>
    <w:p>
      <w:pPr>
        <w:pStyle w:val="Heading2"/>
        <w:pBdr>
          <w:bottom w:val="single" w:color="0B5ED7" w:sz="4"/>
        </w:pBdr>
        <w:spacing w:after="80" w:before="280"/>
      </w:pPr>
      <w:r>
        <w:rPr>
          <w:rFonts w:ascii="Calibri" w:cs="Calibri" w:eastAsia="Calibri" w:hAnsi="Calibri"/>
          <w:b/>
          <w:bCs/>
          <w:color w:val="00126E"/>
          <w:sz w:val="26"/>
          <w:szCs w:val="26"/>
        </w:rPr>
        <w:t xml:space="preserve">12.3  Phase 2: Agentic Capabilities (Q2 2027)</w:t>
      </w:r>
    </w:p>
    <w:p>
      <w:pPr>
        <w:pStyle w:val="Heading3"/>
        <w:spacing w:after="60" w:before="200"/>
      </w:pPr>
      <w:r>
        <w:rPr>
          <w:rFonts w:ascii="Calibri" w:cs="Calibri" w:eastAsia="Calibri" w:hAnsi="Calibri"/>
          <w:b/>
          <w:bCs/>
          <w:color w:val="0B5ED7"/>
          <w:sz w:val="22"/>
          <w:szCs w:val="22"/>
        </w:rPr>
        <w:t xml:space="preserve">2a  AI Portfolio Advisor (Claude-powered)</w:t>
      </w:r>
    </w:p>
    <w:p>
      <w:pPr>
        <w:pStyle w:val="ListParagraph"/>
        <w:numPr>
          <w:ilvl w:val="0"/>
          <w:numId w:val="2"/>
        </w:numPr>
        <w:spacing w:after="60"/>
      </w:pPr>
      <w:r>
        <w:rPr>
          <w:rFonts w:ascii="Calibri" w:cs="Calibri" w:eastAsia="Calibri" w:hAnsi="Calibri"/>
          <w:color w:val="1A202C"/>
          <w:sz w:val="20"/>
          <w:szCs w:val="20"/>
        </w:rPr>
        <w:t xml:space="preserve">Integrated AI assistant that answers natural language questions about the portfolio: "Which P4 programmes have the highest BCR but are currently unfunded?" or "What is the effect on hard benefit if I raise the merit floor to 55?"</w:t>
      </w:r>
    </w:p>
    <w:p>
      <w:pPr>
        <w:pStyle w:val="ListParagraph"/>
        <w:numPr>
          <w:ilvl w:val="0"/>
          <w:numId w:val="2"/>
        </w:numPr>
        <w:spacing w:after="60"/>
      </w:pPr>
      <w:r>
        <w:rPr>
          <w:rFonts w:ascii="Calibri" w:cs="Calibri" w:eastAsia="Calibri" w:hAnsi="Calibri"/>
          <w:color w:val="1A202C"/>
          <w:sz w:val="20"/>
          <w:szCs w:val="20"/>
        </w:rPr>
        <w:t xml:space="preserve">Recommendation engine: suggests lever settings that maximise total hard benefit within budget while maintaining LFR coverage.</w:t>
      </w:r>
    </w:p>
    <w:p>
      <w:pPr>
        <w:pStyle w:val="ListParagraph"/>
        <w:numPr>
          <w:ilvl w:val="0"/>
          <w:numId w:val="2"/>
        </w:numPr>
        <w:spacing w:after="60"/>
      </w:pPr>
      <w:r>
        <w:rPr>
          <w:rFonts w:ascii="Calibri" w:cs="Calibri" w:eastAsia="Calibri" w:hAnsi="Calibri"/>
          <w:color w:val="1A202C"/>
          <w:sz w:val="20"/>
          <w:szCs w:val="20"/>
        </w:rPr>
        <w:t xml:space="preserve">Hold condition auto-resolution: AI drafts rationale notes for common hold patterns (e.g., Contain programmes with standard conditions) for human review and approval.</w:t>
      </w:r>
    </w:p>
    <w:p>
      <w:pPr>
        <w:pStyle w:val="ListParagraph"/>
        <w:numPr>
          <w:ilvl w:val="0"/>
          <w:numId w:val="2"/>
        </w:numPr>
        <w:spacing w:after="60"/>
      </w:pPr>
      <w:r>
        <w:rPr>
          <w:rFonts w:ascii="Calibri" w:cs="Calibri" w:eastAsia="Calibri" w:hAnsi="Calibri"/>
          <w:color w:val="1A202C"/>
          <w:sz w:val="20"/>
          <w:szCs w:val="20"/>
        </w:rPr>
        <w:t xml:space="preserve">Anomaly detection: flags statistically unusual merit scores, outlier BCR ratios, or programmes with mismatched stage/priority combinations.</w:t>
      </w:r>
    </w:p>
    <w:p/>
    <w:p>
      <w:pPr>
        <w:pStyle w:val="Heading3"/>
        <w:spacing w:after="60" w:before="200"/>
      </w:pPr>
      <w:r>
        <w:rPr>
          <w:rFonts w:ascii="Calibri" w:cs="Calibri" w:eastAsia="Calibri" w:hAnsi="Calibri"/>
          <w:b/>
          <w:bCs/>
          <w:color w:val="0B5ED7"/>
          <w:sz w:val="22"/>
          <w:szCs w:val="22"/>
        </w:rPr>
        <w:t xml:space="preserve">2b  Automated ExCo Trade-off Pre-Population</w:t>
      </w:r>
    </w:p>
    <w:p>
      <w:pPr>
        <w:pStyle w:val="ListParagraph"/>
        <w:numPr>
          <w:ilvl w:val="0"/>
          <w:numId w:val="2"/>
        </w:numPr>
        <w:spacing w:after="60"/>
      </w:pPr>
      <w:r>
        <w:rPr>
          <w:rFonts w:ascii="Calibri" w:cs="Calibri" w:eastAsia="Calibri" w:hAnsi="Calibri"/>
          <w:color w:val="1A202C"/>
          <w:sz w:val="20"/>
          <w:szCs w:val="20"/>
        </w:rPr>
        <w:t xml:space="preserve">AI pre-analyses each ExCo leader's historical trade-off patterns from prior AOP cycles and pre-suggests their likely overrides.</w:t>
      </w:r>
    </w:p>
    <w:p>
      <w:pPr>
        <w:pStyle w:val="ListParagraph"/>
        <w:numPr>
          <w:ilvl w:val="0"/>
          <w:numId w:val="2"/>
        </w:numPr>
        <w:spacing w:after="60"/>
      </w:pPr>
      <w:r>
        <w:rPr>
          <w:rFonts w:ascii="Calibri" w:cs="Calibri" w:eastAsia="Calibri" w:hAnsi="Calibri"/>
          <w:color w:val="1A202C"/>
          <w:sz w:val="20"/>
          <w:szCs w:val="20"/>
        </w:rPr>
        <w:t xml:space="preserve">Human-in-the-loop: all suggestions require explicit ExCo approval before they are written to the decision log.</w:t>
      </w:r>
    </w:p>
    <w:p>
      <w:pPr>
        <w:pStyle w:val="ListParagraph"/>
        <w:numPr>
          <w:ilvl w:val="0"/>
          <w:numId w:val="2"/>
        </w:numPr>
        <w:spacing w:after="60"/>
      </w:pPr>
      <w:r>
        <w:rPr>
          <w:rFonts w:ascii="Calibri" w:cs="Calibri" w:eastAsia="Calibri" w:hAnsi="Calibri"/>
          <w:color w:val="1A202C"/>
          <w:sz w:val="20"/>
          <w:szCs w:val="20"/>
        </w:rPr>
        <w:t xml:space="preserve">Generates per-ExCo narrative summary: "PH portfolio is 73% funded; 3 strategic P4 programmes are unfunded; one has a BCR of 4.2×."</w:t>
      </w:r>
    </w:p>
    <w:p/>
    <w:p>
      <w:pPr>
        <w:pStyle w:val="Heading3"/>
        <w:spacing w:after="60" w:before="200"/>
      </w:pPr>
      <w:r>
        <w:rPr>
          <w:rFonts w:ascii="Calibri" w:cs="Calibri" w:eastAsia="Calibri" w:hAnsi="Calibri"/>
          <w:b/>
          <w:bCs/>
          <w:color w:val="0B5ED7"/>
          <w:sz w:val="22"/>
          <w:szCs w:val="22"/>
        </w:rPr>
        <w:t xml:space="preserve">2c  Finance Controller Agent</w:t>
      </w:r>
    </w:p>
    <w:p>
      <w:pPr>
        <w:pStyle w:val="ListParagraph"/>
        <w:numPr>
          <w:ilvl w:val="0"/>
          <w:numId w:val="2"/>
        </w:numPr>
        <w:spacing w:after="60"/>
      </w:pPr>
      <w:r>
        <w:rPr>
          <w:rFonts w:ascii="Calibri" w:cs="Calibri" w:eastAsia="Calibri" w:hAnsi="Calibri"/>
          <w:color w:val="1A202C"/>
          <w:sz w:val="20"/>
          <w:szCs w:val="20"/>
        </w:rPr>
        <w:t xml:space="preserve">Automated One Portfolio attribution validation: AI reconciles programme ledger totals against BU IT charge tracker and flags discrepancies.</w:t>
      </w:r>
    </w:p>
    <w:p>
      <w:pPr>
        <w:pStyle w:val="ListParagraph"/>
        <w:numPr>
          <w:ilvl w:val="0"/>
          <w:numId w:val="2"/>
        </w:numPr>
        <w:spacing w:after="60"/>
      </w:pPr>
      <w:r>
        <w:rPr>
          <w:rFonts w:ascii="Calibri" w:cs="Calibri" w:eastAsia="Calibri" w:hAnsi="Calibri"/>
          <w:color w:val="1A202C"/>
          <w:sz w:val="20"/>
          <w:szCs w:val="20"/>
        </w:rPr>
        <w:t xml:space="preserve">Generates draft finance commentary for AOP submission deck.</w:t>
      </w:r>
    </w:p>
    <w:p>
      <w:pPr>
        <w:pStyle w:val="ListParagraph"/>
        <w:numPr>
          <w:ilvl w:val="0"/>
          <w:numId w:val="2"/>
        </w:numPr>
        <w:spacing w:after="60"/>
      </w:pPr>
      <w:r>
        <w:rPr>
          <w:rFonts w:ascii="Calibri" w:cs="Calibri" w:eastAsia="Calibri" w:hAnsi="Calibri"/>
          <w:color w:val="1A202C"/>
          <w:sz w:val="20"/>
          <w:szCs w:val="20"/>
        </w:rPr>
        <w:t xml:space="preserve">Produces audit-ready PDF report with all allocation decisions, rationale notes, and ExCo approvals.</w:t>
      </w:r>
    </w:p>
    <w:p/>
    <w:p>
      <w:pPr>
        <w:pStyle w:val="Heading2"/>
        <w:pBdr>
          <w:bottom w:val="single" w:color="0B5ED7" w:sz="4"/>
        </w:pBdr>
        <w:spacing w:after="80" w:before="280"/>
      </w:pPr>
      <w:r>
        <w:rPr>
          <w:rFonts w:ascii="Calibri" w:cs="Calibri" w:eastAsia="Calibri" w:hAnsi="Calibri"/>
          <w:b/>
          <w:bCs/>
          <w:color w:val="00126E"/>
          <w:sz w:val="26"/>
          <w:szCs w:val="26"/>
        </w:rPr>
        <w:t xml:space="preserve">12.4  Phase 3: Self-Service Portal (Q3 2027)</w:t>
      </w:r>
    </w:p>
    <w:p>
      <w:pPr>
        <w:pStyle w:val="Heading3"/>
        <w:spacing w:after="60" w:before="200"/>
      </w:pPr>
      <w:r>
        <w:rPr>
          <w:rFonts w:ascii="Calibri" w:cs="Calibri" w:eastAsia="Calibri" w:hAnsi="Calibri"/>
          <w:b/>
          <w:bCs/>
          <w:color w:val="0B5ED7"/>
          <w:sz w:val="22"/>
          <w:szCs w:val="22"/>
        </w:rPr>
        <w:t xml:space="preserve">3a  Programme Manager Dashboard</w:t>
      </w:r>
    </w:p>
    <w:p>
      <w:pPr>
        <w:pStyle w:val="ListParagraph"/>
        <w:numPr>
          <w:ilvl w:val="0"/>
          <w:numId w:val="2"/>
        </w:numPr>
        <w:spacing w:after="60"/>
      </w:pPr>
      <w:r>
        <w:rPr>
          <w:rFonts w:ascii="Calibri" w:cs="Calibri" w:eastAsia="Calibri" w:hAnsi="Calibri"/>
          <w:color w:val="1A202C"/>
          <w:sz w:val="20"/>
          <w:szCs w:val="20"/>
        </w:rPr>
        <w:t xml:space="preserve">Personalised dashboard: each PM sees only their programmes with funding status, merit score ranking, and position relative to funded/unfunded cut-off.</w:t>
      </w:r>
    </w:p>
    <w:p>
      <w:pPr>
        <w:pStyle w:val="ListParagraph"/>
        <w:numPr>
          <w:ilvl w:val="0"/>
          <w:numId w:val="2"/>
        </w:numPr>
        <w:spacing w:after="60"/>
      </w:pPr>
      <w:r>
        <w:rPr>
          <w:rFonts w:ascii="Calibri" w:cs="Calibri" w:eastAsia="Calibri" w:hAnsi="Calibri"/>
          <w:color w:val="1A202C"/>
          <w:sz w:val="20"/>
          <w:szCs w:val="20"/>
        </w:rPr>
        <w:t xml:space="preserve">Notification system: automated email/Teams notification when their programme status changes (funded → unfunded or vice versa).</w:t>
      </w:r>
    </w:p>
    <w:p>
      <w:pPr>
        <w:pStyle w:val="ListParagraph"/>
        <w:numPr>
          <w:ilvl w:val="0"/>
          <w:numId w:val="2"/>
        </w:numPr>
        <w:spacing w:after="60"/>
      </w:pPr>
      <w:r>
        <w:rPr>
          <w:rFonts w:ascii="Calibri" w:cs="Calibri" w:eastAsia="Calibri" w:hAnsi="Calibri"/>
          <w:color w:val="1A202C"/>
          <w:sz w:val="20"/>
          <w:szCs w:val="20"/>
        </w:rPr>
        <w:t xml:space="preserve">Submission quality score: AI evaluates completeness and quality of their benefit evidence and suggests improvements before the submission window closes.</w:t>
      </w:r>
    </w:p>
    <w:p/>
    <w:p>
      <w:pPr>
        <w:pStyle w:val="Heading3"/>
        <w:spacing w:after="60" w:before="200"/>
      </w:pPr>
      <w:r>
        <w:rPr>
          <w:rFonts w:ascii="Calibri" w:cs="Calibri" w:eastAsia="Calibri" w:hAnsi="Calibri"/>
          <w:b/>
          <w:bCs/>
          <w:color w:val="0B5ED7"/>
          <w:sz w:val="22"/>
          <w:szCs w:val="22"/>
        </w:rPr>
        <w:t xml:space="preserve">3b  Mobile-Responsive Executive View</w:t>
      </w:r>
    </w:p>
    <w:p>
      <w:pPr>
        <w:pStyle w:val="ListParagraph"/>
        <w:numPr>
          <w:ilvl w:val="0"/>
          <w:numId w:val="2"/>
        </w:numPr>
        <w:spacing w:after="60"/>
      </w:pPr>
      <w:r>
        <w:rPr>
          <w:rFonts w:ascii="Calibri" w:cs="Calibri" w:eastAsia="Calibri" w:hAnsi="Calibri"/>
          <w:color w:val="1A202C"/>
          <w:sz w:val="20"/>
          <w:szCs w:val="20"/>
        </w:rPr>
        <w:t xml:space="preserve">Simplified read-only executive summary view optimised for tablet/mobile: funded portfolio KPIs, stage mix chart, top-10 hard benefit programmes.</w:t>
      </w:r>
    </w:p>
    <w:p>
      <w:pPr>
        <w:pStyle w:val="ListParagraph"/>
        <w:numPr>
          <w:ilvl w:val="0"/>
          <w:numId w:val="2"/>
        </w:numPr>
        <w:spacing w:after="60"/>
      </w:pPr>
      <w:r>
        <w:rPr>
          <w:rFonts w:ascii="Calibri" w:cs="Calibri" w:eastAsia="Calibri" w:hAnsi="Calibri"/>
          <w:color w:val="1A202C"/>
          <w:sz w:val="20"/>
          <w:szCs w:val="20"/>
        </w:rPr>
        <w:t xml:space="preserve">ExCo push notifications for scenarios pending their approval.</w:t>
      </w:r>
    </w:p>
    <w:p/>
    <w:p>
      <w:pPr>
        <w:pStyle w:val="Heading3"/>
        <w:spacing w:after="60" w:before="200"/>
      </w:pPr>
      <w:r>
        <w:rPr>
          <w:rFonts w:ascii="Calibri" w:cs="Calibri" w:eastAsia="Calibri" w:hAnsi="Calibri"/>
          <w:b/>
          <w:bCs/>
          <w:color w:val="0B5ED7"/>
          <w:sz w:val="22"/>
          <w:szCs w:val="22"/>
        </w:rPr>
        <w:t xml:space="preserve">3c  Multi-Year Analytics</w:t>
      </w:r>
    </w:p>
    <w:p>
      <w:pPr>
        <w:pStyle w:val="ListParagraph"/>
        <w:numPr>
          <w:ilvl w:val="0"/>
          <w:numId w:val="2"/>
        </w:numPr>
        <w:spacing w:after="60"/>
      </w:pPr>
      <w:r>
        <w:rPr>
          <w:rFonts w:ascii="Calibri" w:cs="Calibri" w:eastAsia="Calibri" w:hAnsi="Calibri"/>
          <w:color w:val="1A202C"/>
          <w:sz w:val="20"/>
          <w:szCs w:val="20"/>
        </w:rPr>
        <w:t xml:space="preserve">3-year portfolio trend dashboard: AOP 2025–2027 demand, allocation, and benefit realisation tracking.</w:t>
      </w:r>
    </w:p>
    <w:p>
      <w:pPr>
        <w:pStyle w:val="ListParagraph"/>
        <w:numPr>
          <w:ilvl w:val="0"/>
          <w:numId w:val="2"/>
        </w:numPr>
        <w:spacing w:after="60"/>
      </w:pPr>
      <w:r>
        <w:rPr>
          <w:rFonts w:ascii="Calibri" w:cs="Calibri" w:eastAsia="Calibri" w:hAnsi="Calibri"/>
          <w:color w:val="1A202C"/>
          <w:sz w:val="20"/>
          <w:szCs w:val="20"/>
        </w:rPr>
        <w:t xml:space="preserve">Benefit realisation tracking: link AOP commitments to actual delivered benefits from programme closure reports.</w:t>
      </w:r>
    </w:p>
    <w:p/>
    <w:p>
      <w:pPr>
        <w:pStyle w:val="Heading2"/>
        <w:pBdr>
          <w:bottom w:val="single" w:color="0B5ED7" w:sz="4"/>
        </w:pBdr>
        <w:spacing w:after="80" w:before="280"/>
      </w:pPr>
      <w:r>
        <w:rPr>
          <w:rFonts w:ascii="Calibri" w:cs="Calibri" w:eastAsia="Calibri" w:hAnsi="Calibri"/>
          <w:b/>
          <w:bCs/>
          <w:color w:val="00126E"/>
          <w:sz w:val="26"/>
          <w:szCs w:val="26"/>
        </w:rPr>
        <w:t xml:space="preserve">12.5  Technology Stack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2400"/>
        <w:gridCol w:w="5520"/>
      </w:tblGrid>
      <w:tr>
        <w:tc>
          <w:tcPr>
            <w:tcW w:type="dxa" w:w="144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Layer</w:t>
            </w:r>
          </w:p>
        </w:tc>
        <w:tc>
          <w:tcPr>
            <w:tcW w:type="dxa" w:w="24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Recommended Technology</w:t>
            </w:r>
          </w:p>
        </w:tc>
        <w:tc>
          <w:tcPr>
            <w:tcW w:type="dxa" w:w="552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Rationale</w:t>
            </w:r>
          </w:p>
        </w:tc>
      </w:tr>
      <w:tr>
        <w:tc>
          <w:tcPr>
            <w:tcW w:type="dxa" w:w="144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Frontend</w:t>
            </w:r>
          </w:p>
        </w:tc>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React + TypeScript + Vite</w:t>
            </w:r>
          </w:p>
        </w:tc>
        <w:tc>
          <w:tcPr>
            <w:tcW w:type="dxa" w:w="552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Component architecture for scenario cards, lever panels, and ExCo views. TypeScript catches formula errors at compile time.</w:t>
            </w:r>
          </w:p>
        </w:tc>
      </w:tr>
      <w:tr>
        <w:tc>
          <w:tcPr>
            <w:tcW w:type="dxa" w:w="144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Data Tables</w:t>
            </w:r>
          </w:p>
        </w:tc>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TanStack Table v8</w:t>
            </w:r>
          </w:p>
        </w:tc>
        <w:tc>
          <w:tcPr>
            <w:tcW w:type="dxa" w:w="552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Virtualised rows for 421+ programmes; built-in sorting, filtering, grouping.</w:t>
            </w:r>
          </w:p>
        </w:tc>
      </w:tr>
      <w:tr>
        <w:tc>
          <w:tcPr>
            <w:tcW w:type="dxa" w:w="144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State</w:t>
            </w:r>
          </w:p>
        </w:tc>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Zustand + TanStack Query</w:t>
            </w:r>
          </w:p>
        </w:tc>
        <w:tc>
          <w:tcPr>
            <w:tcW w:type="dxa" w:w="552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Zustand for UI/lever state; TanStack Query for server scenario state with optimistic updates.</w:t>
            </w:r>
          </w:p>
        </w:tc>
      </w:tr>
      <w:tr>
        <w:tc>
          <w:tcPr>
            <w:tcW w:type="dxa" w:w="144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AI Integration</w:t>
            </w:r>
          </w:p>
        </w:tc>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Claude API (claude-opus-5-5 or claude-sonnet-5-5)</w:t>
            </w:r>
          </w:p>
        </w:tc>
        <w:tc>
          <w:tcPr>
            <w:tcW w:type="dxa" w:w="552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Portfolio advisor, hold resolution drafting, ExCo narrative generation. Tool-use API for structured allocation recommendations.</w:t>
            </w:r>
          </w:p>
        </w:tc>
      </w:tr>
      <w:tr>
        <w:tc>
          <w:tcPr>
            <w:tcW w:type="dxa" w:w="144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Backend</w:t>
            </w:r>
          </w:p>
        </w:tc>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Node.js + TypeScript + Fastify</w:t>
            </w:r>
          </w:p>
        </w:tc>
        <w:tc>
          <w:tcPr>
            <w:tcW w:type="dxa" w:w="552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Port existing engine.js to server-side; expose as REST + WebSocket.</w:t>
            </w:r>
          </w:p>
        </w:tc>
      </w:tr>
      <w:tr>
        <w:tc>
          <w:tcPr>
            <w:tcW w:type="dxa" w:w="144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Database</w:t>
            </w:r>
          </w:p>
        </w:tc>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Azure CosmosDB (scenarios) + Azure SQL (ledger)</w:t>
            </w:r>
          </w:p>
        </w:tc>
        <w:tc>
          <w:tcPr>
            <w:tcW w:type="dxa" w:w="552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CosmosDB for flexible scenario JSON; SQL for finance attribution queries.</w:t>
            </w:r>
          </w:p>
        </w:tc>
      </w:tr>
      <w:tr>
        <w:tc>
          <w:tcPr>
            <w:tcW w:type="dxa" w:w="144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Auth</w:t>
            </w:r>
          </w:p>
        </w:tc>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Azure AD + MSAL</w:t>
            </w:r>
          </w:p>
        </w:tc>
        <w:tc>
          <w:tcPr>
            <w:tcW w:type="dxa" w:w="552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Philips SSO; RBAC via AD groups.</w:t>
            </w:r>
          </w:p>
        </w:tc>
      </w:tr>
      <w:tr>
        <w:tc>
          <w:tcPr>
            <w:tcW w:type="dxa" w:w="144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Deployment</w:t>
            </w:r>
          </w:p>
        </w:tc>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Azure App Service + Azure Static Web Apps</w:t>
            </w:r>
          </w:p>
        </w:tc>
        <w:tc>
          <w:tcPr>
            <w:tcW w:type="dxa" w:w="552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Frontend on Static Web Apps; backend on App Service; both in Philips Azure tenant.</w:t>
            </w:r>
          </w:p>
        </w:tc>
      </w:tr>
      <w:tr>
        <w:tc>
          <w:tcPr>
            <w:tcW w:type="dxa" w:w="144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CI/CD</w:t>
            </w:r>
          </w:p>
        </w:tc>
        <w:tc>
          <w:tcPr>
            <w:tcW w:type="dxa" w:w="24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GitHub Actions + Azure DevOps</w:t>
            </w:r>
          </w:p>
        </w:tc>
        <w:tc>
          <w:tcPr>
            <w:tcW w:type="dxa" w:w="552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Automated test, lint, build, deploy pipeline.</w:t>
            </w:r>
          </w:p>
        </w:tc>
      </w:tr>
    </w:tbl>
    <w:p/>
    <w:p>
      <w:pPr>
        <w:pStyle w:val="Heading2"/>
        <w:pBdr>
          <w:bottom w:val="single" w:color="0B5ED7" w:sz="4"/>
        </w:pBdr>
        <w:spacing w:after="80" w:before="280"/>
      </w:pPr>
      <w:r>
        <w:rPr>
          <w:rFonts w:ascii="Calibri" w:cs="Calibri" w:eastAsia="Calibri" w:hAnsi="Calibri"/>
          <w:b/>
          <w:bCs/>
          <w:color w:val="00126E"/>
          <w:sz w:val="26"/>
          <w:szCs w:val="26"/>
        </w:rPr>
        <w:t xml:space="preserve">12.6  Estimated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200"/>
        <w:gridCol w:w="2200"/>
        <w:gridCol w:w="1960"/>
      </w:tblGrid>
      <w:tr>
        <w:tc>
          <w:tcPr>
            <w:tcW w:type="dxa" w:w="20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Phase</w:t>
            </w:r>
          </w:p>
        </w:tc>
        <w:tc>
          <w:tcPr>
            <w:tcW w:type="dxa" w:w="32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Scope</w:t>
            </w:r>
          </w:p>
        </w:tc>
        <w:tc>
          <w:tcPr>
            <w:tcW w:type="dxa" w:w="220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Estimated Effort</w:t>
            </w:r>
          </w:p>
        </w:tc>
        <w:tc>
          <w:tcPr>
            <w:tcW w:type="dxa" w:w="1960"/>
            <w:tcBorders>
              <w:top w:val="single" w:color="D5DAE0" w:sz="4"/>
              <w:left w:val="single" w:color="D5DAE0" w:sz="4"/>
              <w:bottom w:val="single" w:color="D5DAE0" w:sz="4"/>
              <w:right w:val="single" w:color="D5DAE0" w:sz="4"/>
            </w:tcBorders>
            <w:shd w:fill="00126E"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Timeline</w:t>
            </w:r>
          </w:p>
        </w:tc>
      </w:tr>
      <w:tr>
        <w:tc>
          <w:tcPr>
            <w:tcW w:type="dxa" w:w="20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Phase 1 — Infrastructure</w:t>
            </w:r>
          </w:p>
        </w:tc>
        <w:tc>
          <w:tcPr>
            <w:tcW w:type="dxa" w:w="3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API, auth, data refresh, multi-user persistence</w:t>
            </w:r>
          </w:p>
        </w:tc>
        <w:tc>
          <w:tcPr>
            <w:tcW w:type="dxa" w:w="2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~8–10 weeks (2 engineers)</w:t>
            </w:r>
          </w:p>
        </w:tc>
        <w:tc>
          <w:tcPr>
            <w:tcW w:type="dxa" w:w="1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Q4 2026 – Q1 2027</w:t>
            </w:r>
          </w:p>
        </w:tc>
      </w:tr>
      <w:tr>
        <w:tc>
          <w:tcPr>
            <w:tcW w:type="dxa" w:w="20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Phase 2 — Agentic</w:t>
            </w:r>
          </w:p>
        </w:tc>
        <w:tc>
          <w:tcPr>
            <w:tcW w:type="dxa" w:w="3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AI advisor, auto trade-off, finance agent</w:t>
            </w:r>
          </w:p>
        </w:tc>
        <w:tc>
          <w:tcPr>
            <w:tcW w:type="dxa" w:w="2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~10–12 weeks (2 engineers + 1 AI/ML)</w:t>
            </w:r>
          </w:p>
        </w:tc>
        <w:tc>
          <w:tcPr>
            <w:tcW w:type="dxa" w:w="1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Q2 2027</w:t>
            </w:r>
          </w:p>
        </w:tc>
      </w:tr>
      <w:tr>
        <w:tc>
          <w:tcPr>
            <w:tcW w:type="dxa" w:w="20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Phase 3 — Portal</w:t>
            </w:r>
          </w:p>
        </w:tc>
        <w:tc>
          <w:tcPr>
            <w:tcW w:type="dxa" w:w="3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PM dashboard, mobile, multi-year analytics</w:t>
            </w:r>
          </w:p>
        </w:tc>
        <w:tc>
          <w:tcPr>
            <w:tcW w:type="dxa" w:w="2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~8–10 weeks (2 engineers + 1 UX)</w:t>
            </w:r>
          </w:p>
        </w:tc>
        <w:tc>
          <w:tcPr>
            <w:tcW w:type="dxa" w:w="1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Q3 2027</w:t>
            </w:r>
          </w:p>
        </w:tc>
      </w:tr>
      <w:tr>
        <w:tc>
          <w:tcPr>
            <w:tcW w:type="dxa" w:w="20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Total</w:t>
            </w:r>
          </w:p>
        </w:tc>
        <w:tc>
          <w:tcPr>
            <w:tcW w:type="dxa" w:w="3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Full launchable internal product</w:t>
            </w:r>
          </w:p>
        </w:tc>
        <w:tc>
          <w:tcPr>
            <w:tcW w:type="dxa" w:w="220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~26–32 weeks</w:t>
            </w:r>
          </w:p>
        </w:tc>
        <w:tc>
          <w:tcPr>
            <w:tcW w:type="dxa" w:w="1960"/>
            <w:tcBorders>
              <w:top w:val="single" w:color="D5DAE0" w:sz="4"/>
              <w:left w:val="single" w:color="D5DAE0" w:sz="4"/>
              <w:bottom w:val="single" w:color="D5DAE0" w:sz="4"/>
              <w:right w:val="single" w:color="D5DAE0" w:sz="4"/>
            </w:tcBorders>
            <w:tcMar>
              <w:top w:type="dxa" w:w="60"/>
              <w:left w:type="dxa" w:w="100"/>
              <w:bottom w:type="dxa" w:w="60"/>
              <w:right w:type="dxa" w:w="100"/>
            </w:tcMar>
            <w:vAlign w:val="center"/>
          </w:tcPr>
          <w:p>
            <w:pPr>
              <w:spacing w:after="0"/>
              <w:jc w:val="left"/>
            </w:pPr>
            <w:r>
              <w:rPr>
                <w:rFonts w:ascii="Calibri" w:cs="Calibri" w:eastAsia="Calibri" w:hAnsi="Calibri"/>
                <w:b w:val="false"/>
                <w:bCs w:val="false"/>
                <w:color w:val="1A202C"/>
                <w:sz w:val="18"/>
                <w:szCs w:val="18"/>
              </w:rPr>
              <w:t xml:space="preserve">Q4 2026 – Q3 2027</w:t>
            </w:r>
          </w:p>
        </w:tc>
      </w:tr>
    </w:tbl>
    <w:sectPr>
      <w:pgSz w:w="12240" w:h="15840" w:orient="portrait"/>
      <w:pgMar w:top="720" w:right="900" w:bottom="72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lvl>
    <w:lvl w:ilvl="1" w:tentative="1">
      <w:start w:val="1"/>
      <w:numFmt w:val="bullet"/>
      <w:lvlText w:val="◦"/>
      <w:lvlJc w:val="left"/>
      <w:pPr>
        <w:ind w:left="720" w:hanging="180"/>
      </w:pPr>
    </w:lvl>
  </w:abstractNum>
  <w:abstractNum w:abstractNumId="3" w15:restartNumberingAfterBreak="0">
    <w:multiLevelType w:val="hybridMultilevel"/>
    <w:lvl w:ilvl="0" w:tentative="1">
      <w:start w:val="1"/>
      <w:numFmt w:val="decimal"/>
      <w:lvlText w:val="%1."/>
      <w:lvlJc w:val="left"/>
      <w:pPr>
        <w:ind w:left="360" w:hanging="240"/>
      </w:pPr>
    </w:lvl>
    <w:lvl w:ilvl="1" w:tentative="1">
      <w:start w:val="1"/>
      <w:numFmt w:val="lowerLetter"/>
      <w:lvlText w:val="%2."/>
      <w:lvlJc w:val="left"/>
      <w:pPr>
        <w:ind w:left="7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02C"/>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FFFFFF"/>
      <w:sz w:val="32"/>
      <w:szCs w:val="32"/>
    </w:rPr>
  </w:style>
  <w:style w:type="paragraph" w:styleId="Heading2">
    <w:name w:val="Heading 2"/>
    <w:basedOn w:val="Normal"/>
    <w:next w:val="Normal"/>
    <w:qFormat/>
    <w:pPr>
      <w:spacing w:after="80" w:before="280"/>
      <w:outlineLvl w:val="1"/>
    </w:pPr>
    <w:rPr>
      <w:rFonts w:ascii="Calibri" w:cs="Calibri" w:eastAsia="Calibri" w:hAnsi="Calibri"/>
      <w:b/>
      <w:bCs/>
      <w:color w:val="00126E"/>
      <w:sz w:val="26"/>
      <w:szCs w:val="26"/>
    </w:rPr>
  </w:style>
  <w:style w:type="paragraph" w:styleId="Heading3">
    <w:name w:val="Heading 3"/>
    <w:basedOn w:val="Normal"/>
    <w:next w:val="Normal"/>
    <w:qFormat/>
    <w:pPr>
      <w:spacing w:after="60" w:before="200"/>
      <w:outlineLvl w:val="2"/>
    </w:pPr>
    <w:rPr>
      <w:rFonts w:ascii="Calibri" w:cs="Calibri" w:eastAsia="Calibri" w:hAnsi="Calibri"/>
      <w:b/>
      <w:bCs/>
      <w:color w:val="0B5ED7"/>
      <w:sz w:val="22"/>
      <w:szCs w:val="22"/>
    </w:rPr>
  </w:style>
  <w:style w:type="paragraph" w:styleId="Heading4">
    <w:name w:val="Heading 4"/>
    <w:basedOn w:val="Normal"/>
    <w:next w:val="Normal"/>
    <w:qFormat/>
    <w:pPr>
      <w:spacing w:after="40" w:before="160"/>
      <w:outlineLvl w:val="3"/>
    </w:pPr>
    <w:rPr>
      <w:rFonts w:ascii="Calibri" w:cs="Calibri" w:eastAsia="Calibri" w:hAnsi="Calibri"/>
      <w:b/>
      <w:bCs/>
      <w:color w:val="1A202C"/>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2026-10-07T06:59:04.380Z</dcterms:created>
  <dcterms:modified xsi:type="dcterms:W3CDTF">2026-10-07T06:59:04.381Z</dcterms:modified>
</cp:coreProperties>
</file>

<file path=docProps/custom.xml><?xml version="1.0" encoding="utf-8"?>
<Properties xmlns="http://schemas.openxmlformats.org/officeDocument/2006/custom-properties" xmlns:vt="http://schemas.openxmlformats.org/officeDocument/2006/docPropsVTypes"/>
</file>