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AOP 2027 Modeler Product Requirements</w:t>
      </w:r>
    </w:p>
    <w:p>
      <w:pPr>
        <w:jc w:val="center"/>
      </w:pPr>
      <w:r>
        <w:rPr>
          <w:rFonts w:ascii="Calibri" w:hAnsi="Calibri"/>
          <w:b w:val="0"/>
          <w:color w:val="000000"/>
          <w:sz w:val="22"/>
        </w:rPr>
        <w:t>Version 5.7.0  |  30 September 2026  |  Benefits Reclassification + Data Refresh + Audit Trail — Column O Benefits Rule + Full Audit Engine</w:t>
      </w:r>
    </w:p>
    <w:p/>
    <w:p>
      <w:r>
        <w:rPr>
          <w:rFonts w:ascii="Calibri" w:hAnsi="Calibri"/>
          <w:b w:val="0"/>
          <w:sz w:val="22"/>
        </w:rPr>
        <w:t>Version 5.7.0 adds the shared finance allocation ledger, confirmed EW charging split, baseline-capped carry-over rule, source exclusions, scenario request and merit edits, and independent ten-scenario validation. Six-tab navigation and source evidence are retained.</w:t>
      </w:r>
    </w:p>
    <w:p>
      <w:pPr>
        <w:pStyle w:val="Heading1"/>
      </w:pPr>
      <w:r>
        <w:rPr>
          <w:rFonts w:ascii="Calibri" w:hAnsi="Calibri"/>
          <w:color w:val="000000"/>
        </w:rPr>
        <w:t>1. Product Scope</w:t>
      </w:r>
    </w:p>
    <w:p>
      <w:pPr>
        <w:pStyle w:val="Heading2"/>
      </w:pPr>
      <w:r>
        <w:rPr>
          <w:rFonts w:ascii="Calibri" w:hAnsi="Calibri"/>
          <w:color w:val="000000"/>
        </w:rPr>
        <w:t>1.1 Modeler state</w:t>
      </w:r>
    </w:p>
    <w:p>
      <w:r>
        <w:rPr>
          <w:rFonts w:ascii="Calibri" w:hAnsi="Calibri"/>
          <w:b w:val="0"/>
          <w:sz w:val="22"/>
        </w:rPr>
        <w:t>Standalone offline HTML: AOP2027-IT-Portfolio-Scenario-Modelling-v5.7.0.html. Six tabs share one scenario result and one finance allocation ledger. Engine v5.7.0; session schema 4. Source workbooks remain unchanged.</w:t>
      </w:r>
    </w:p>
    <w:p>
      <w:pPr>
        <w:pStyle w:val="Heading2"/>
      </w:pPr>
      <w:r>
        <w:rPr>
          <w:rFonts w:ascii="Calibri" w:hAnsi="Calibri"/>
          <w:color w:val="000000"/>
        </w:rPr>
        <w:t>1.2 Six-tab structure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2160"/>
        <w:gridCol w:w="2160"/>
      </w:tblGrid>
      <w:tr>
        <w:trPr>
          <w:cantSplit/>
          <w:tblHeader/>
        </w:trPr>
        <w:tc>
          <w:tcPr>
            <w:tcW w:type="dxa" w:w="2160"/>
            <w:shd w:val="clear" w:color="auto" w:fill="0B5ED7"/>
          </w:tcPr>
          <w:p>
            <w:r>
              <w:rPr>
                <w:rFonts w:ascii="Calibri" w:hAnsi="Calibri"/>
                <w:color w:val="FFFFFF"/>
                <w:sz w:val="18"/>
              </w:rPr>
            </w:r>
            <w:r>
              <w:rPr>
                <w:rFonts w:ascii="Calibri" w:hAnsi="Calibri"/>
                <w:b/>
                <w:color w:val="FFFFFF"/>
                <w:sz w:val="18"/>
              </w:rPr>
              <w:t>Tab</w:t>
            </w:r>
          </w:p>
        </w:tc>
        <w:tc>
          <w:tcPr>
            <w:tcW w:type="dxa" w:w="2160"/>
            <w:shd w:val="clear" w:color="auto" w:fill="0B5ED7"/>
          </w:tcPr>
          <w:p>
            <w:r>
              <w:rPr>
                <w:rFonts w:ascii="Calibri" w:hAnsi="Calibri"/>
                <w:color w:val="FFFFFF"/>
                <w:sz w:val="18"/>
              </w:rPr>
            </w:r>
            <w:r>
              <w:rPr>
                <w:rFonts w:ascii="Calibri" w:hAnsi="Calibri"/>
                <w:b/>
                <w:color w:val="FFFFFF"/>
                <w:sz w:val="18"/>
              </w:rPr>
              <w:t>Name</w:t>
            </w:r>
          </w:p>
        </w:tc>
        <w:tc>
          <w:tcPr>
            <w:tcW w:type="dxa" w:w="2160"/>
            <w:shd w:val="clear" w:color="auto" w:fill="0B5ED7"/>
          </w:tcPr>
          <w:p>
            <w:r>
              <w:rPr>
                <w:rFonts w:ascii="Calibri" w:hAnsi="Calibri"/>
                <w:color w:val="FFFFFF"/>
                <w:sz w:val="18"/>
              </w:rPr>
            </w:r>
            <w:r>
              <w:rPr>
                <w:rFonts w:ascii="Calibri" w:hAnsi="Calibri"/>
                <w:b/>
                <w:color w:val="FFFFFF"/>
                <w:sz w:val="18"/>
              </w:rPr>
              <w:t>Editable</w:t>
            </w:r>
          </w:p>
        </w:tc>
        <w:tc>
          <w:tcPr>
            <w:tcW w:type="dxa" w:w="2160"/>
            <w:shd w:val="clear" w:color="auto" w:fill="0B5ED7"/>
          </w:tcPr>
          <w:p>
            <w:r>
              <w:rPr>
                <w:rFonts w:ascii="Calibri" w:hAnsi="Calibri"/>
                <w:color w:val="FFFFFF"/>
                <w:sz w:val="18"/>
              </w:rPr>
            </w:r>
            <w:r>
              <w:rPr>
                <w:rFonts w:ascii="Calibri" w:hAnsi="Calibri"/>
                <w:b/>
                <w:color w:val="FFFFFF"/>
                <w:sz w:val="18"/>
              </w:rPr>
              <w:t>Purpose</w:t>
            </w:r>
          </w:p>
        </w:tc>
      </w:tr>
      <w:tr>
        <w:trPr>
          <w:cantSplit/>
        </w:trPr>
        <w:tc>
          <w:tcPr>
            <w:tcW w:type="dxa" w:w="2160"/>
          </w:tcPr>
          <w:p>
            <w:r>
              <w:rPr>
                <w:rFonts w:ascii="Calibri" w:hAnsi="Calibri"/>
                <w:color w:val="000000"/>
                <w:sz w:val="18"/>
              </w:rPr>
            </w:r>
            <w:r>
              <w:rPr>
                <w:rFonts w:ascii="Calibri" w:hAnsi="Calibri"/>
                <w:b w:val="0"/>
                <w:color w:val="000000"/>
                <w:sz w:val="18"/>
              </w:rPr>
              <w:t>1</w:t>
            </w:r>
          </w:p>
        </w:tc>
        <w:tc>
          <w:tcPr>
            <w:tcW w:type="dxa" w:w="2160"/>
          </w:tcPr>
          <w:p>
            <w:r>
              <w:rPr>
                <w:rFonts w:ascii="Calibri" w:hAnsi="Calibri"/>
                <w:color w:val="000000"/>
                <w:sz w:val="18"/>
              </w:rPr>
            </w:r>
            <w:r>
              <w:rPr>
                <w:rFonts w:ascii="Calibri" w:hAnsi="Calibri"/>
                <w:b w:val="0"/>
                <w:color w:val="000000"/>
                <w:sz w:val="18"/>
              </w:rPr>
              <w:t>Demand Overview</w:t>
            </w:r>
          </w:p>
        </w:tc>
        <w:tc>
          <w:tcPr>
            <w:tcW w:type="dxa" w:w="2160"/>
          </w:tcPr>
          <w:p>
            <w:r>
              <w:rPr>
                <w:rFonts w:ascii="Calibri" w:hAnsi="Calibri"/>
                <w:color w:val="000000"/>
                <w:sz w:val="18"/>
              </w:rPr>
            </w:r>
            <w:r>
              <w:rPr>
                <w:rFonts w:ascii="Calibri" w:hAnsi="Calibri"/>
                <w:b w:val="0"/>
                <w:color w:val="000000"/>
                <w:sz w:val="18"/>
              </w:rPr>
              <w:t>No</w:t>
            </w:r>
          </w:p>
        </w:tc>
        <w:tc>
          <w:tcPr>
            <w:tcW w:type="dxa" w:w="2160"/>
          </w:tcPr>
          <w:p>
            <w:r>
              <w:rPr>
                <w:rFonts w:ascii="Calibri" w:hAnsi="Calibri"/>
                <w:color w:val="000000"/>
                <w:sz w:val="18"/>
              </w:rPr>
              <w:t>KPIs: Total IT AOP Demand, Programs demand, operations, committed benefits (Hard/Soft), IT AOP 2026. Demand Split by ExCo with collapsible org groups.</w:t>
            </w:r>
            <w:r>
              <w:rPr>
                <w:rFonts w:ascii="Calibri" w:hAnsi="Calibri"/>
                <w:b w:val="0"/>
                <w:color w:val="000000"/>
                <w:sz w:val="18"/>
              </w:rPr>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2</w:t>
            </w:r>
          </w:p>
        </w:tc>
        <w:tc>
          <w:tcPr>
            <w:tcW w:type="dxa" w:w="2160"/>
            <w:shd w:val="clear" w:color="auto" w:fill="F0F4F8"/>
          </w:tcPr>
          <w:p>
            <w:r>
              <w:rPr>
                <w:rFonts w:ascii="Calibri" w:hAnsi="Calibri"/>
                <w:color w:val="000000"/>
                <w:sz w:val="18"/>
              </w:rPr>
              <w:t>Programs AOP Scenarios</w:t>
            </w:r>
            <w:r>
              <w:rPr>
                <w:rFonts w:ascii="Calibri" w:hAnsi="Calibri"/>
                <w:b w:val="0"/>
                <w:color w:val="000000"/>
                <w:sz w:val="18"/>
              </w:rPr>
            </w:r>
          </w:p>
        </w:tc>
        <w:tc>
          <w:tcPr>
            <w:tcW w:type="dxa" w:w="2160"/>
            <w:shd w:val="clear" w:color="auto" w:fill="F0F4F8"/>
          </w:tcPr>
          <w:p>
            <w:r>
              <w:rPr>
                <w:rFonts w:ascii="Calibri" w:hAnsi="Calibri"/>
                <w:color w:val="000000"/>
                <w:sz w:val="18"/>
              </w:rPr>
            </w:r>
            <w:r>
              <w:rPr>
                <w:rFonts w:ascii="Calibri" w:hAnsi="Calibri"/>
                <w:b w:val="0"/>
                <w:color w:val="000000"/>
                <w:sz w:val="18"/>
              </w:rPr>
              <w:t>Levers only</w:t>
            </w:r>
          </w:p>
        </w:tc>
        <w:tc>
          <w:tcPr>
            <w:tcW w:type="dxa" w:w="2160"/>
            <w:shd w:val="clear" w:color="auto" w:fill="F0F4F8"/>
          </w:tcPr>
          <w:p>
            <w:r>
              <w:rPr>
                <w:rFonts w:ascii="Calibri" w:hAnsi="Calibri"/>
                <w:color w:val="000000"/>
                <w:sz w:val="18"/>
              </w:rPr>
            </w:r>
            <w:r>
              <w:rPr>
                <w:rFonts w:ascii="Calibri" w:hAnsi="Calibri"/>
                <w:b w:val="0"/>
                <w:color w:val="000000"/>
                <w:sz w:val="18"/>
              </w:rPr>
              <w:t>Four priority levers, Funding Prioritization Gate, Merit Score Framework, Demand in Scenario table (collapsible BURF groups, Prioritised/Not Funded toggle), decision log.</w:t>
            </w:r>
          </w:p>
        </w:tc>
      </w:tr>
      <w:tr>
        <w:trPr>
          <w:cantSplit/>
        </w:trPr>
        <w:tc>
          <w:tcPr>
            <w:tcW w:type="dxa" w:w="2160"/>
          </w:tcPr>
          <w:p>
            <w:r>
              <w:rPr>
                <w:rFonts w:ascii="Calibri" w:hAnsi="Calibri"/>
                <w:color w:val="000000"/>
                <w:sz w:val="18"/>
              </w:rPr>
            </w:r>
            <w:r>
              <w:rPr>
                <w:rFonts w:ascii="Calibri" w:hAnsi="Calibri"/>
                <w:b w:val="0"/>
                <w:color w:val="000000"/>
                <w:sz w:val="18"/>
              </w:rPr>
              <w:t>3</w:t>
            </w:r>
          </w:p>
        </w:tc>
        <w:tc>
          <w:tcPr>
            <w:tcW w:type="dxa" w:w="2160"/>
          </w:tcPr>
          <w:p>
            <w:r>
              <w:rPr>
                <w:rFonts w:ascii="Calibri" w:hAnsi="Calibri"/>
                <w:color w:val="000000"/>
                <w:sz w:val="18"/>
              </w:rPr>
            </w:r>
            <w:r>
              <w:rPr>
                <w:rFonts w:ascii="Calibri" w:hAnsi="Calibri"/>
                <w:b w:val="0"/>
                <w:color w:val="000000"/>
                <w:sz w:val="18"/>
              </w:rPr>
              <w:t>Functions &amp; Regions</w:t>
            </w:r>
          </w:p>
        </w:tc>
        <w:tc>
          <w:tcPr>
            <w:tcW w:type="dxa" w:w="2160"/>
          </w:tcPr>
          <w:p>
            <w:r>
              <w:rPr>
                <w:rFonts w:ascii="Calibri" w:hAnsi="Calibri"/>
                <w:color w:val="000000"/>
                <w:sz w:val="18"/>
              </w:rPr>
            </w:r>
            <w:r>
              <w:rPr>
                <w:rFonts w:ascii="Calibri" w:hAnsi="Calibri"/>
                <w:b w:val="0"/>
                <w:color w:val="000000"/>
                <w:sz w:val="18"/>
              </w:rPr>
              <w:t>Yes</w:t>
            </w:r>
          </w:p>
        </w:tc>
        <w:tc>
          <w:tcPr>
            <w:tcW w:type="dxa" w:w="2160"/>
          </w:tcPr>
          <w:p>
            <w:r>
              <w:rPr>
                <w:rFonts w:ascii="Calibri" w:hAnsi="Calibri"/>
                <w:color w:val="000000"/>
                <w:sz w:val="18"/>
              </w:rPr>
              <w:t>EW Programs. Editable allocation. ExCo/Org/Platform cascading filters, bubble chart with Y-axis toggle, ExCo Trade-off Cockpit.</w:t>
            </w:r>
            <w:r>
              <w:rPr>
                <w:rFonts w:ascii="Calibri" w:hAnsi="Calibri"/>
                <w:b w:val="0"/>
                <w:color w:val="000000"/>
                <w:sz w:val="18"/>
              </w:rPr>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4</w:t>
            </w:r>
          </w:p>
        </w:tc>
        <w:tc>
          <w:tcPr>
            <w:tcW w:type="dxa" w:w="2160"/>
            <w:shd w:val="clear" w:color="auto" w:fill="F0F4F8"/>
          </w:tcPr>
          <w:p>
            <w:r>
              <w:rPr>
                <w:rFonts w:ascii="Calibri" w:hAnsi="Calibri"/>
                <w:color w:val="000000"/>
                <w:sz w:val="18"/>
              </w:rPr>
            </w:r>
            <w:r>
              <w:rPr>
                <w:rFonts w:ascii="Calibri" w:hAnsi="Calibri"/>
                <w:b w:val="0"/>
                <w:color w:val="000000"/>
                <w:sz w:val="18"/>
              </w:rPr>
              <w:t>BU Led</w:t>
            </w:r>
          </w:p>
        </w:tc>
        <w:tc>
          <w:tcPr>
            <w:tcW w:type="dxa" w:w="2160"/>
            <w:shd w:val="clear" w:color="auto" w:fill="F0F4F8"/>
          </w:tcPr>
          <w:p>
            <w:r>
              <w:rPr>
                <w:rFonts w:ascii="Calibri" w:hAnsi="Calibri"/>
                <w:color w:val="000000"/>
                <w:sz w:val="18"/>
              </w:rPr>
            </w:r>
            <w:r>
              <w:rPr>
                <w:rFonts w:ascii="Calibri" w:hAnsi="Calibri"/>
                <w:b w:val="0"/>
                <w:color w:val="000000"/>
                <w:sz w:val="18"/>
              </w:rPr>
              <w:t>Yes</w:t>
            </w:r>
          </w:p>
        </w:tc>
        <w:tc>
          <w:tcPr>
            <w:tcW w:type="dxa" w:w="2160"/>
            <w:shd w:val="clear" w:color="auto" w:fill="F0F4F8"/>
          </w:tcPr>
          <w:p>
            <w:r>
              <w:rPr>
                <w:rFonts w:ascii="Calibri" w:hAnsi="Calibri"/>
                <w:color w:val="000000"/>
                <w:sz w:val="18"/>
              </w:rPr>
              <w:t>BU Programs. Same layout as Tab 3. Shares one scenario with Tab 3. ExCo Trade-off Cockpit.</w:t>
            </w:r>
            <w:r>
              <w:rPr>
                <w:rFonts w:ascii="Calibri" w:hAnsi="Calibri"/>
                <w:b w:val="0"/>
                <w:color w:val="000000"/>
                <w:sz w:val="18"/>
              </w:rPr>
            </w:r>
          </w:p>
        </w:tc>
      </w:tr>
      <w:tr>
        <w:trPr>
          <w:cantSplit/>
        </w:trPr>
        <w:tc>
          <w:tcPr>
            <w:tcW w:type="dxa" w:w="2160"/>
          </w:tcPr>
          <w:p>
            <w:r>
              <w:rPr>
                <w:rFonts w:ascii="Calibri" w:hAnsi="Calibri"/>
                <w:color w:val="000000"/>
                <w:sz w:val="18"/>
              </w:rPr>
            </w:r>
            <w:r>
              <w:rPr>
                <w:rFonts w:ascii="Calibri" w:hAnsi="Calibri"/>
                <w:b w:val="0"/>
                <w:color w:val="000000"/>
                <w:sz w:val="18"/>
              </w:rPr>
              <w:t>5</w:t>
            </w:r>
          </w:p>
        </w:tc>
        <w:tc>
          <w:tcPr>
            <w:tcW w:type="dxa" w:w="2160"/>
          </w:tcPr>
          <w:p>
            <w:r>
              <w:rPr>
                <w:rFonts w:ascii="Calibri" w:hAnsi="Calibri"/>
                <w:color w:val="000000"/>
                <w:sz w:val="18"/>
              </w:rPr>
            </w:r>
            <w:r>
              <w:rPr>
                <w:rFonts w:ascii="Calibri" w:hAnsi="Calibri"/>
                <w:b w:val="0"/>
                <w:color w:val="000000"/>
                <w:sz w:val="18"/>
              </w:rPr>
              <w:t>Operations</w:t>
            </w:r>
          </w:p>
        </w:tc>
        <w:tc>
          <w:tcPr>
            <w:tcW w:type="dxa" w:w="2160"/>
          </w:tcPr>
          <w:p>
            <w:r>
              <w:rPr>
                <w:rFonts w:ascii="Calibri" w:hAnsi="Calibri"/>
                <w:color w:val="000000"/>
                <w:sz w:val="18"/>
              </w:rPr>
            </w:r>
            <w:r>
              <w:rPr>
                <w:rFonts w:ascii="Calibri" w:hAnsi="Calibri"/>
                <w:b w:val="0"/>
                <w:color w:val="000000"/>
                <w:sz w:val="18"/>
              </w:rPr>
              <w:t>No</w:t>
            </w:r>
          </w:p>
        </w:tc>
        <w:tc>
          <w:tcPr>
            <w:tcW w:type="dxa" w:w="2160"/>
          </w:tcPr>
          <w:p>
            <w:r>
              <w:rPr>
                <w:rFonts w:ascii="Calibri" w:hAnsi="Calibri"/>
                <w:color w:val="000000"/>
                <w:sz w:val="18"/>
              </w:rPr>
            </w:r>
            <w:r>
              <w:rPr>
                <w:rFonts w:ascii="Calibri" w:hAnsi="Calibri"/>
                <w:b w:val="0"/>
                <w:color w:val="000000"/>
                <w:sz w:val="18"/>
              </w:rPr>
              <w:t>TCO 3-level hierarchy, service catalog. Pre-aligned costs; read-only.</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6</w:t>
            </w:r>
          </w:p>
        </w:tc>
        <w:tc>
          <w:tcPr>
            <w:tcW w:type="dxa" w:w="2160"/>
            <w:shd w:val="clear" w:color="auto" w:fill="F0F4F8"/>
          </w:tcPr>
          <w:p>
            <w:r>
              <w:rPr>
                <w:rFonts w:ascii="Calibri" w:hAnsi="Calibri"/>
                <w:color w:val="000000"/>
                <w:sz w:val="18"/>
              </w:rPr>
            </w:r>
            <w:r>
              <w:rPr>
                <w:rFonts w:ascii="Calibri" w:hAnsi="Calibri"/>
                <w:b w:val="0"/>
                <w:color w:val="000000"/>
                <w:sz w:val="18"/>
              </w:rPr>
              <w:t>AOP 2027 : One Portfolio</w:t>
            </w:r>
          </w:p>
        </w:tc>
        <w:tc>
          <w:tcPr>
            <w:tcW w:type="dxa" w:w="2160"/>
            <w:shd w:val="clear" w:color="auto" w:fill="F0F4F8"/>
          </w:tcPr>
          <w:p>
            <w:r>
              <w:rPr>
                <w:rFonts w:ascii="Calibri" w:hAnsi="Calibri"/>
                <w:color w:val="000000"/>
                <w:sz w:val="18"/>
              </w:rPr>
            </w:r>
            <w:r>
              <w:rPr>
                <w:rFonts w:ascii="Calibri" w:hAnsi="Calibri"/>
                <w:b w:val="0"/>
                <w:color w:val="000000"/>
                <w:sz w:val="18"/>
              </w:rPr>
              <w:t>No</w:t>
            </w:r>
          </w:p>
        </w:tc>
        <w:tc>
          <w:tcPr>
            <w:tcW w:type="dxa" w:w="2160"/>
            <w:shd w:val="clear" w:color="auto" w:fill="F0F4F8"/>
          </w:tcPr>
          <w:p>
            <w:r>
              <w:rPr>
                <w:rFonts w:ascii="Calibri" w:hAnsi="Calibri"/>
                <w:color w:val="000000"/>
                <w:sz w:val="18"/>
              </w:rPr>
              <w:t>Combined Programs + operations. Finalise, New Working Version. Org IT Cost Allocation table with filters. Bubble chart with Y-axis toggle.</w:t>
            </w:r>
            <w:r>
              <w:rPr>
                <w:rFonts w:ascii="Calibri" w:hAnsi="Calibri"/>
                <w:b w:val="0"/>
                <w:color w:val="000000"/>
                <w:sz w:val="18"/>
              </w:rPr>
            </w:r>
          </w:p>
        </w:tc>
      </w:tr>
    </w:tbl>
    <w:p/>
    <w:p>
      <w:pPr>
        <w:pStyle w:val="Heading2"/>
      </w:pPr>
      <w:r>
        <w:rPr>
          <w:rFonts w:ascii="Calibri" w:hAnsi="Calibri"/>
          <w:color w:val="000000"/>
        </w:rPr>
        <w:t>1.3 Source authority</w:t>
      </w:r>
    </w:p>
    <w:p>
      <w:pPr>
        <w:pStyle w:val="ListBullet"/>
      </w:pPr>
      <w:r>
        <w:rPr>
          <w:rFonts w:ascii="Calibri" w:hAnsi="Calibri"/>
          <w:b w:val="0"/>
          <w:sz w:val="21"/>
        </w:rPr>
        <w:t>Authoritative Programs source: AOP 2027 Consolidated Live 299262020.xlsx, saved 29 September 2026. The release stores original bytes, cached values, formulas and full SHA-256 provenance.</w:t>
      </w:r>
    </w:p>
    <w:p>
      <w:pPr>
        <w:pStyle w:val="ListBullet"/>
      </w:pPr>
      <w:r>
        <w:rPr>
          <w:rFonts w:ascii="Calibri" w:hAnsi="Calibri"/>
          <w:b w:val="0"/>
          <w:sz w:val="21"/>
        </w:rPr>
        <w:t>433 active Programs; requested demand 285.2129 M€ including 5.19 M€ PMI. Nine missing-request rows and four uninterpretable-decision rows are excluded from active scope and retained in the audit extract.</w:t>
      </w:r>
    </w:p>
    <w:p>
      <w:pPr>
        <w:pStyle w:val="ListBullet"/>
      </w:pPr>
      <w:r>
        <w:rPr>
          <w:rFonts w:ascii="Calibri" w:hAnsi="Calibri"/>
          <w:b w:val="0"/>
          <w:sz w:val="21"/>
        </w:rPr>
        <w:t>Enterprise-wide charging at BU row 276 is an allocation key only. Its 40 M€ is excluded from all demand. Apply the user-confirmed 1,000× percentage correction and retain 22.63033175355452% as unallocated. PMI is funded separately on top of the base budget without a BU charge.</w:t>
      </w:r>
    </w:p>
    <w:p>
      <w:pPr>
        <w:pStyle w:val="ListBullet"/>
      </w:pPr>
      <w:r>
        <w:rPr>
          <w:rFonts w:ascii="Calibri" w:hAnsi="Calibri"/>
          <w:b w:val="0"/>
          <w:sz w:val="21"/>
        </w:rPr>
        <w:t>Operations source: Updated - Preliminary AOP2027 Bill of IT for BU_R_F - 23.Sep.xlsx. All 182 service IDs reconcile to 470.3144630385122 M€; 36 consuming organisations and seven final recipient clusters are retained. No proportional scaling of Operations totals is used.</w:t>
      </w:r>
    </w:p>
    <w:p>
      <w:pPr>
        <w:pStyle w:val="Heading1"/>
      </w:pPr>
      <w:r>
        <w:rPr>
          <w:rFonts w:ascii="Calibri" w:hAnsi="Calibri"/>
          <w:color w:val="000000"/>
        </w:rPr>
        <w:t>2. ExCo Accountability Hierarchy</w:t>
      </w:r>
    </w:p>
    <w:p>
      <w:pPr>
        <w:pStyle w:val="Heading2"/>
      </w:pPr>
      <w:r>
        <w:rPr>
          <w:rFonts w:ascii="Calibri" w:hAnsi="Calibri"/>
          <w:color w:val="000000"/>
        </w:rPr>
        <w:t>2.1 Structure</w:t>
      </w:r>
    </w:p>
    <w:p>
      <w:r>
        <w:rPr>
          <w:rFonts w:ascii="Calibri" w:hAnsi="Calibri"/>
          <w:b w:val="0"/>
          <w:sz w:val="22"/>
        </w:rPr>
        <w:t>16 ExCo members mapped to all 35 organisation values. Dictionary: EXCO_HIERARCHY with role, segment, orgs[]. Reverse lookup: ORG_TO_EXCO. Fuzzy match: excoOf() for whitespace/encoding differences.</w:t>
      </w:r>
    </w:p>
    <w:p>
      <w:r>
        <w:rPr>
          <w:rFonts w:ascii="Calibri" w:hAnsi="Calibri"/>
          <w:b w:val="0"/>
          <w:sz w:val="22"/>
        </w:rPr>
        <w:t>Every enriched Programs row carries an exco field. Regional leaders (IR/NAM/GCR) club BU+EW demand together.</w:t>
      </w:r>
    </w:p>
    <w:p>
      <w:pPr>
        <w:pStyle w:val="Heading2"/>
      </w:pPr>
      <w:r>
        <w:rPr>
          <w:rFonts w:ascii="Calibri" w:hAnsi="Calibri"/>
          <w:color w:val="000000"/>
        </w:rPr>
        <w:t>2.2 BU Leaders (10)</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ExCo Leader</w:t>
            </w:r>
          </w:p>
        </w:tc>
        <w:tc>
          <w:tcPr>
            <w:tcW w:type="dxa" w:w="2880"/>
            <w:shd w:val="clear" w:color="auto" w:fill="0B5ED7"/>
          </w:tcPr>
          <w:p>
            <w:r>
              <w:rPr>
                <w:rFonts w:ascii="Calibri" w:hAnsi="Calibri"/>
                <w:color w:val="FFFFFF"/>
                <w:sz w:val="18"/>
              </w:rPr>
            </w:r>
            <w:r>
              <w:rPr>
                <w:rFonts w:ascii="Calibri" w:hAnsi="Calibri"/>
                <w:b/>
                <w:color w:val="FFFFFF"/>
                <w:sz w:val="18"/>
              </w:rPr>
              <w:t>Segment</w:t>
            </w:r>
          </w:p>
        </w:tc>
        <w:tc>
          <w:tcPr>
            <w:tcW w:type="dxa" w:w="2880"/>
            <w:shd w:val="clear" w:color="auto" w:fill="0B5ED7"/>
          </w:tcPr>
          <w:p>
            <w:r>
              <w:rPr>
                <w:rFonts w:ascii="Calibri" w:hAnsi="Calibri"/>
                <w:color w:val="FFFFFF"/>
                <w:sz w:val="18"/>
              </w:rPr>
            </w:r>
            <w:r>
              <w:rPr>
                <w:rFonts w:ascii="Calibri" w:hAnsi="Calibri"/>
                <w:b/>
                <w:color w:val="FFFFFF"/>
                <w:sz w:val="18"/>
              </w:rPr>
              <w:t>Organisations</w:t>
            </w:r>
          </w:p>
        </w:tc>
      </w:tr>
      <w:tr>
        <w:trPr>
          <w:cantSplit/>
        </w:trPr>
        <w:tc>
          <w:tcPr>
            <w:tcW w:type="dxa" w:w="2880"/>
          </w:tcPr>
          <w:p>
            <w:r>
              <w:rPr>
                <w:rFonts w:ascii="Calibri" w:hAnsi="Calibri"/>
                <w:color w:val="000000"/>
                <w:sz w:val="18"/>
              </w:rPr>
            </w:r>
            <w:r>
              <w:rPr>
                <w:rFonts w:ascii="Calibri" w:hAnsi="Calibri"/>
                <w:b w:val="0"/>
                <w:color w:val="000000"/>
                <w:sz w:val="18"/>
              </w:rPr>
              <w:t>Deeptha Khanna</w:t>
            </w:r>
          </w:p>
        </w:tc>
        <w:tc>
          <w:tcPr>
            <w:tcW w:type="dxa" w:w="2880"/>
          </w:tcPr>
          <w:p>
            <w:r>
              <w:rPr>
                <w:rFonts w:ascii="Calibri" w:hAnsi="Calibri"/>
                <w:color w:val="000000"/>
                <w:sz w:val="18"/>
              </w:rPr>
            </w:r>
            <w:r>
              <w:rPr>
                <w:rFonts w:ascii="Calibri" w:hAnsi="Calibri"/>
                <w:b w:val="0"/>
                <w:color w:val="000000"/>
                <w:sz w:val="18"/>
              </w:rPr>
              <w:t>Personal Health</w:t>
            </w:r>
          </w:p>
        </w:tc>
        <w:tc>
          <w:tcPr>
            <w:tcW w:type="dxa" w:w="2880"/>
          </w:tcPr>
          <w:p>
            <w:r>
              <w:rPr>
                <w:rFonts w:ascii="Calibri" w:hAnsi="Calibri"/>
                <w:color w:val="000000"/>
                <w:sz w:val="18"/>
              </w:rPr>
            </w:r>
            <w:r>
              <w:rPr>
                <w:rFonts w:ascii="Calibri" w:hAnsi="Calibri"/>
                <w:b w:val="0"/>
                <w:color w:val="000000"/>
                <w:sz w:val="18"/>
              </w:rPr>
              <w:t>PH</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Shez Partovi</w:t>
            </w:r>
          </w:p>
        </w:tc>
        <w:tc>
          <w:tcPr>
            <w:tcW w:type="dxa" w:w="2880"/>
            <w:shd w:val="clear" w:color="auto" w:fill="F0F4F8"/>
          </w:tcPr>
          <w:p>
            <w:r>
              <w:rPr>
                <w:rFonts w:ascii="Calibri" w:hAnsi="Calibri"/>
                <w:color w:val="000000"/>
                <w:sz w:val="18"/>
              </w:rPr>
            </w:r>
            <w:r>
              <w:rPr>
                <w:rFonts w:ascii="Calibri" w:hAnsi="Calibri"/>
                <w:b w:val="0"/>
                <w:color w:val="000000"/>
                <w:sz w:val="18"/>
              </w:rPr>
              <w:t>Enterprise Informatics</w:t>
            </w:r>
          </w:p>
        </w:tc>
        <w:tc>
          <w:tcPr>
            <w:tcW w:type="dxa" w:w="2880"/>
            <w:shd w:val="clear" w:color="auto" w:fill="F0F4F8"/>
          </w:tcPr>
          <w:p>
            <w:r>
              <w:rPr>
                <w:rFonts w:ascii="Calibri" w:hAnsi="Calibri"/>
                <w:color w:val="000000"/>
                <w:sz w:val="18"/>
              </w:rPr>
            </w:r>
            <w:r>
              <w:rPr>
                <w:rFonts w:ascii="Calibri" w:hAnsi="Calibri"/>
                <w:b w:val="0"/>
                <w:color w:val="000000"/>
                <w:sz w:val="18"/>
              </w:rPr>
              <w:t>EI, I&amp;D (Innovation &amp; Design)</w:t>
            </w:r>
          </w:p>
        </w:tc>
      </w:tr>
      <w:tr>
        <w:trPr>
          <w:cantSplit/>
        </w:trPr>
        <w:tc>
          <w:tcPr>
            <w:tcW w:type="dxa" w:w="2880"/>
          </w:tcPr>
          <w:p>
            <w:r>
              <w:rPr>
                <w:rFonts w:ascii="Calibri" w:hAnsi="Calibri"/>
                <w:color w:val="000000"/>
                <w:sz w:val="18"/>
              </w:rPr>
            </w:r>
            <w:r>
              <w:rPr>
                <w:rFonts w:ascii="Calibri" w:hAnsi="Calibri"/>
                <w:b w:val="0"/>
                <w:color w:val="000000"/>
                <w:sz w:val="18"/>
              </w:rPr>
              <w:t>Julia Strandberg</w:t>
            </w:r>
          </w:p>
        </w:tc>
        <w:tc>
          <w:tcPr>
            <w:tcW w:type="dxa" w:w="2880"/>
          </w:tcPr>
          <w:p>
            <w:r>
              <w:rPr>
                <w:rFonts w:ascii="Calibri" w:hAnsi="Calibri"/>
                <w:color w:val="000000"/>
                <w:sz w:val="18"/>
              </w:rPr>
            </w:r>
            <w:r>
              <w:rPr>
                <w:rFonts w:ascii="Calibri" w:hAnsi="Calibri"/>
                <w:b w:val="0"/>
                <w:color w:val="000000"/>
                <w:sz w:val="18"/>
              </w:rPr>
              <w:t>Connected Care</w:t>
            </w:r>
          </w:p>
        </w:tc>
        <w:tc>
          <w:tcPr>
            <w:tcW w:type="dxa" w:w="2880"/>
          </w:tcPr>
          <w:p>
            <w:r>
              <w:rPr>
                <w:rFonts w:ascii="Calibri" w:hAnsi="Calibri"/>
                <w:color w:val="000000"/>
                <w:sz w:val="18"/>
              </w:rPr>
            </w:r>
            <w:r>
              <w:rPr>
                <w:rFonts w:ascii="Calibri" w:hAnsi="Calibri"/>
                <w:b w:val="0"/>
                <w:color w:val="000000"/>
                <w:sz w:val="18"/>
              </w:rPr>
              <w:t>HPM, AM&amp;D, SRC</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Jie Xue</w:t>
            </w:r>
          </w:p>
        </w:tc>
        <w:tc>
          <w:tcPr>
            <w:tcW w:type="dxa" w:w="2880"/>
            <w:shd w:val="clear" w:color="auto" w:fill="F0F4F8"/>
          </w:tcPr>
          <w:p>
            <w:r>
              <w:rPr>
                <w:rFonts w:ascii="Calibri" w:hAnsi="Calibri"/>
                <w:color w:val="000000"/>
                <w:sz w:val="18"/>
              </w:rPr>
            </w:r>
            <w:r>
              <w:rPr>
                <w:rFonts w:ascii="Calibri" w:hAnsi="Calibri"/>
                <w:b w:val="0"/>
                <w:color w:val="000000"/>
                <w:sz w:val="18"/>
              </w:rPr>
              <w:t>Precision Diagnosis</w:t>
            </w:r>
          </w:p>
        </w:tc>
        <w:tc>
          <w:tcPr>
            <w:tcW w:type="dxa" w:w="2880"/>
            <w:shd w:val="clear" w:color="auto" w:fill="F0F4F8"/>
          </w:tcPr>
          <w:p>
            <w:r>
              <w:rPr>
                <w:rFonts w:ascii="Calibri" w:hAnsi="Calibri"/>
                <w:color w:val="000000"/>
                <w:sz w:val="18"/>
              </w:rPr>
            </w:r>
            <w:r>
              <w:rPr>
                <w:rFonts w:ascii="Calibri" w:hAnsi="Calibri"/>
                <w:b w:val="0"/>
                <w:color w:val="000000"/>
                <w:sz w:val="18"/>
              </w:rPr>
              <w:t>CT, DXR, MR, PDU</w:t>
            </w:r>
          </w:p>
        </w:tc>
      </w:tr>
      <w:tr>
        <w:trPr>
          <w:cantSplit/>
        </w:trPr>
        <w:tc>
          <w:tcPr>
            <w:tcW w:type="dxa" w:w="2880"/>
          </w:tcPr>
          <w:p>
            <w:r>
              <w:rPr>
                <w:rFonts w:ascii="Calibri" w:hAnsi="Calibri"/>
                <w:color w:val="000000"/>
                <w:sz w:val="18"/>
              </w:rPr>
            </w:r>
            <w:r>
              <w:rPr>
                <w:rFonts w:ascii="Calibri" w:hAnsi="Calibri"/>
                <w:b w:val="0"/>
                <w:color w:val="000000"/>
                <w:sz w:val="18"/>
              </w:rPr>
              <w:t>Bert van Meurs</w:t>
            </w:r>
          </w:p>
        </w:tc>
        <w:tc>
          <w:tcPr>
            <w:tcW w:type="dxa" w:w="2880"/>
          </w:tcPr>
          <w:p>
            <w:r>
              <w:rPr>
                <w:rFonts w:ascii="Calibri" w:hAnsi="Calibri"/>
                <w:color w:val="000000"/>
                <w:sz w:val="18"/>
              </w:rPr>
            </w:r>
            <w:r>
              <w:rPr>
                <w:rFonts w:ascii="Calibri" w:hAnsi="Calibri"/>
                <w:b w:val="0"/>
                <w:color w:val="000000"/>
                <w:sz w:val="18"/>
              </w:rPr>
              <w:t>Image Guided Therapy</w:t>
            </w:r>
          </w:p>
        </w:tc>
        <w:tc>
          <w:tcPr>
            <w:tcW w:type="dxa" w:w="2880"/>
          </w:tcPr>
          <w:p>
            <w:r>
              <w:rPr>
                <w:rFonts w:ascii="Calibri" w:hAnsi="Calibri"/>
                <w:color w:val="000000"/>
                <w:sz w:val="18"/>
              </w:rPr>
            </w:r>
            <w:r>
              <w:rPr>
                <w:rFonts w:ascii="Calibri" w:hAnsi="Calibri"/>
                <w:b w:val="0"/>
                <w:color w:val="000000"/>
                <w:sz w:val="18"/>
              </w:rPr>
              <w:t>IGT-S, IGT-D, STO</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Wim Appelo</w:t>
            </w:r>
          </w:p>
        </w:tc>
        <w:tc>
          <w:tcPr>
            <w:tcW w:type="dxa" w:w="2880"/>
            <w:shd w:val="clear" w:color="auto" w:fill="F0F4F8"/>
          </w:tcPr>
          <w:p>
            <w:r>
              <w:rPr>
                <w:rFonts w:ascii="Calibri" w:hAnsi="Calibri"/>
                <w:color w:val="000000"/>
                <w:sz w:val="18"/>
              </w:rPr>
            </w:r>
            <w:r>
              <w:rPr>
                <w:rFonts w:ascii="Calibri" w:hAnsi="Calibri"/>
                <w:b w:val="0"/>
                <w:color w:val="000000"/>
                <w:sz w:val="18"/>
              </w:rPr>
              <w:t>Integrated Supply Chain</w:t>
            </w:r>
          </w:p>
        </w:tc>
        <w:tc>
          <w:tcPr>
            <w:tcW w:type="dxa" w:w="2880"/>
            <w:shd w:val="clear" w:color="auto" w:fill="F0F4F8"/>
          </w:tcPr>
          <w:p>
            <w:r>
              <w:rPr>
                <w:rFonts w:ascii="Calibri" w:hAnsi="Calibri"/>
                <w:color w:val="000000"/>
                <w:sz w:val="18"/>
              </w:rPr>
            </w:r>
            <w:r>
              <w:rPr>
                <w:rFonts w:ascii="Calibri" w:hAnsi="Calibri"/>
                <w:b w:val="0"/>
                <w:color w:val="000000"/>
                <w:sz w:val="18"/>
              </w:rPr>
              <w:t>ISC, STET-ISC</w:t>
            </w:r>
          </w:p>
        </w:tc>
      </w:tr>
      <w:tr>
        <w:trPr>
          <w:cantSplit/>
        </w:trPr>
        <w:tc>
          <w:tcPr>
            <w:tcW w:type="dxa" w:w="2880"/>
          </w:tcPr>
          <w:p>
            <w:r>
              <w:rPr>
                <w:rFonts w:ascii="Calibri" w:hAnsi="Calibri"/>
                <w:color w:val="000000"/>
                <w:sz w:val="18"/>
              </w:rPr>
            </w:r>
            <w:r>
              <w:rPr>
                <w:rFonts w:ascii="Calibri" w:hAnsi="Calibri"/>
                <w:b w:val="0"/>
                <w:color w:val="000000"/>
                <w:sz w:val="18"/>
              </w:rPr>
              <w:t>Ozlem Fidanci</w:t>
            </w:r>
          </w:p>
        </w:tc>
        <w:tc>
          <w:tcPr>
            <w:tcW w:type="dxa" w:w="2880"/>
          </w:tcPr>
          <w:p>
            <w:r>
              <w:rPr>
                <w:rFonts w:ascii="Calibri" w:hAnsi="Calibri"/>
                <w:color w:val="000000"/>
                <w:sz w:val="18"/>
              </w:rPr>
            </w:r>
            <w:r>
              <w:rPr>
                <w:rFonts w:ascii="Calibri" w:hAnsi="Calibri"/>
                <w:b w:val="0"/>
                <w:color w:val="000000"/>
                <w:sz w:val="18"/>
              </w:rPr>
              <w:t>International Regions</w:t>
            </w:r>
          </w:p>
        </w:tc>
        <w:tc>
          <w:tcPr>
            <w:tcW w:type="dxa" w:w="2880"/>
          </w:tcPr>
          <w:p>
            <w:r>
              <w:rPr>
                <w:rFonts w:ascii="Calibri" w:hAnsi="Calibri"/>
                <w:color w:val="000000"/>
                <w:sz w:val="18"/>
              </w:rPr>
            </w:r>
            <w:r>
              <w:rPr>
                <w:rFonts w:ascii="Calibri" w:hAnsi="Calibri"/>
                <w:b w:val="0"/>
                <w:color w:val="000000"/>
                <w:sz w:val="18"/>
              </w:rPr>
              <w:t>IR, Health &amp; Safety</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Jeff DiLullo</w:t>
            </w:r>
          </w:p>
        </w:tc>
        <w:tc>
          <w:tcPr>
            <w:tcW w:type="dxa" w:w="2880"/>
            <w:shd w:val="clear" w:color="auto" w:fill="F0F4F8"/>
          </w:tcPr>
          <w:p>
            <w:r>
              <w:rPr>
                <w:rFonts w:ascii="Calibri" w:hAnsi="Calibri"/>
                <w:color w:val="000000"/>
                <w:sz w:val="18"/>
              </w:rPr>
            </w:r>
            <w:r>
              <w:rPr>
                <w:rFonts w:ascii="Calibri" w:hAnsi="Calibri"/>
                <w:b w:val="0"/>
                <w:color w:val="000000"/>
                <w:sz w:val="18"/>
              </w:rPr>
              <w:t>North America</w:t>
            </w:r>
          </w:p>
        </w:tc>
        <w:tc>
          <w:tcPr>
            <w:tcW w:type="dxa" w:w="2880"/>
            <w:shd w:val="clear" w:color="auto" w:fill="F0F4F8"/>
          </w:tcPr>
          <w:p>
            <w:r>
              <w:rPr>
                <w:rFonts w:ascii="Calibri" w:hAnsi="Calibri"/>
                <w:color w:val="000000"/>
                <w:sz w:val="18"/>
              </w:rPr>
            </w:r>
            <w:r>
              <w:rPr>
                <w:rFonts w:ascii="Calibri" w:hAnsi="Calibri"/>
                <w:b w:val="0"/>
                <w:color w:val="000000"/>
                <w:sz w:val="18"/>
              </w:rPr>
              <w:t>NAM</w:t>
            </w:r>
          </w:p>
        </w:tc>
      </w:tr>
      <w:tr>
        <w:trPr>
          <w:cantSplit/>
        </w:trPr>
        <w:tc>
          <w:tcPr>
            <w:tcW w:type="dxa" w:w="2880"/>
          </w:tcPr>
          <w:p>
            <w:r>
              <w:rPr>
                <w:rFonts w:ascii="Calibri" w:hAnsi="Calibri"/>
                <w:color w:val="000000"/>
                <w:sz w:val="18"/>
              </w:rPr>
            </w:r>
            <w:r>
              <w:rPr>
                <w:rFonts w:ascii="Calibri" w:hAnsi="Calibri"/>
                <w:b w:val="0"/>
                <w:color w:val="000000"/>
                <w:sz w:val="18"/>
              </w:rPr>
              <w:t>Ling Liu</w:t>
            </w:r>
          </w:p>
        </w:tc>
        <w:tc>
          <w:tcPr>
            <w:tcW w:type="dxa" w:w="2880"/>
          </w:tcPr>
          <w:p>
            <w:r>
              <w:rPr>
                <w:rFonts w:ascii="Calibri" w:hAnsi="Calibri"/>
                <w:color w:val="000000"/>
                <w:sz w:val="18"/>
              </w:rPr>
            </w:r>
            <w:r>
              <w:rPr>
                <w:rFonts w:ascii="Calibri" w:hAnsi="Calibri"/>
                <w:b w:val="0"/>
                <w:color w:val="000000"/>
                <w:sz w:val="18"/>
              </w:rPr>
              <w:t>Greater China (merged from GRC)</w:t>
            </w:r>
          </w:p>
        </w:tc>
        <w:tc>
          <w:tcPr>
            <w:tcW w:type="dxa" w:w="2880"/>
          </w:tcPr>
          <w:p>
            <w:r>
              <w:rPr>
                <w:rFonts w:ascii="Calibri" w:hAnsi="Calibri"/>
                <w:color w:val="000000"/>
                <w:sz w:val="18"/>
              </w:rPr>
            </w:r>
            <w:r>
              <w:rPr>
                <w:rFonts w:ascii="Calibri" w:hAnsi="Calibri"/>
                <w:b w:val="0"/>
                <w:color w:val="000000"/>
                <w:sz w:val="18"/>
              </w:rPr>
              <w:t>GCR</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Charlotte Hanneman</w:t>
            </w:r>
          </w:p>
        </w:tc>
        <w:tc>
          <w:tcPr>
            <w:tcW w:type="dxa" w:w="2880"/>
            <w:shd w:val="clear" w:color="auto" w:fill="F0F4F8"/>
          </w:tcPr>
          <w:p>
            <w:r>
              <w:rPr>
                <w:rFonts w:ascii="Calibri" w:hAnsi="Calibri"/>
                <w:color w:val="000000"/>
                <w:sz w:val="18"/>
              </w:rPr>
            </w:r>
            <w:r>
              <w:rPr>
                <w:rFonts w:ascii="Calibri" w:hAnsi="Calibri"/>
                <w:b w:val="0"/>
                <w:color w:val="000000"/>
                <w:sz w:val="18"/>
              </w:rPr>
              <w:t>Finance &amp; Group Security</w:t>
            </w:r>
          </w:p>
        </w:tc>
        <w:tc>
          <w:tcPr>
            <w:tcW w:type="dxa" w:w="2880"/>
            <w:shd w:val="clear" w:color="auto" w:fill="F0F4F8"/>
          </w:tcPr>
          <w:p>
            <w:r>
              <w:rPr>
                <w:rFonts w:ascii="Calibri" w:hAnsi="Calibri"/>
                <w:color w:val="000000"/>
                <w:sz w:val="18"/>
              </w:rPr>
            </w:r>
            <w:r>
              <w:rPr>
                <w:rFonts w:ascii="Calibri" w:hAnsi="Calibri"/>
                <w:b w:val="0"/>
                <w:color w:val="000000"/>
                <w:sz w:val="18"/>
              </w:rPr>
              <w:t>Finance, Group Security</w:t>
            </w:r>
          </w:p>
        </w:tc>
      </w:tr>
    </w:tbl>
    <w:p/>
    <w:p>
      <w:pPr>
        <w:pStyle w:val="Heading2"/>
      </w:pPr>
      <w:r>
        <w:rPr>
          <w:rFonts w:ascii="Calibri" w:hAnsi="Calibri"/>
          <w:color w:val="000000"/>
        </w:rPr>
        <w:t>2.3 Enterprise Function Leaders (6)</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ExCo Leader</w:t>
            </w:r>
          </w:p>
        </w:tc>
        <w:tc>
          <w:tcPr>
            <w:tcW w:type="dxa" w:w="2880"/>
            <w:shd w:val="clear" w:color="auto" w:fill="0B5ED7"/>
          </w:tcPr>
          <w:p>
            <w:r>
              <w:rPr>
                <w:rFonts w:ascii="Calibri" w:hAnsi="Calibri"/>
                <w:color w:val="FFFFFF"/>
                <w:sz w:val="18"/>
              </w:rPr>
            </w:r>
            <w:r>
              <w:rPr>
                <w:rFonts w:ascii="Calibri" w:hAnsi="Calibri"/>
                <w:b/>
                <w:color w:val="FFFFFF"/>
                <w:sz w:val="18"/>
              </w:rPr>
              <w:t>Segment</w:t>
            </w:r>
          </w:p>
        </w:tc>
        <w:tc>
          <w:tcPr>
            <w:tcW w:type="dxa" w:w="2880"/>
            <w:shd w:val="clear" w:color="auto" w:fill="0B5ED7"/>
          </w:tcPr>
          <w:p>
            <w:r>
              <w:rPr>
                <w:rFonts w:ascii="Calibri" w:hAnsi="Calibri"/>
                <w:color w:val="FFFFFF"/>
                <w:sz w:val="18"/>
              </w:rPr>
            </w:r>
            <w:r>
              <w:rPr>
                <w:rFonts w:ascii="Calibri" w:hAnsi="Calibri"/>
                <w:b/>
                <w:color w:val="FFFFFF"/>
                <w:sz w:val="18"/>
              </w:rPr>
              <w:t>Organisations</w:t>
            </w:r>
          </w:p>
        </w:tc>
      </w:tr>
      <w:tr>
        <w:trPr>
          <w:cantSplit/>
        </w:trPr>
        <w:tc>
          <w:tcPr>
            <w:tcW w:type="dxa" w:w="2880"/>
          </w:tcPr>
          <w:p>
            <w:r>
              <w:rPr>
                <w:rFonts w:ascii="Calibri" w:hAnsi="Calibri"/>
                <w:color w:val="000000"/>
                <w:sz w:val="18"/>
              </w:rPr>
            </w:r>
            <w:r>
              <w:rPr>
                <w:rFonts w:ascii="Calibri" w:hAnsi="Calibri"/>
                <w:b w:val="0"/>
                <w:color w:val="000000"/>
                <w:sz w:val="18"/>
              </w:rPr>
              <w:t>Laura Matz</w:t>
            </w:r>
          </w:p>
        </w:tc>
        <w:tc>
          <w:tcPr>
            <w:tcW w:type="dxa" w:w="2880"/>
          </w:tcPr>
          <w:p>
            <w:r>
              <w:rPr>
                <w:rFonts w:ascii="Calibri" w:hAnsi="Calibri"/>
                <w:color w:val="000000"/>
                <w:sz w:val="18"/>
              </w:rPr>
            </w:r>
            <w:r>
              <w:rPr>
                <w:rFonts w:ascii="Calibri" w:hAnsi="Calibri"/>
                <w:b w:val="0"/>
                <w:color w:val="000000"/>
                <w:sz w:val="18"/>
              </w:rPr>
              <w:t>IT</w:t>
            </w:r>
          </w:p>
        </w:tc>
        <w:tc>
          <w:tcPr>
            <w:tcW w:type="dxa" w:w="2880"/>
          </w:tcPr>
          <w:p>
            <w:r>
              <w:rPr>
                <w:rFonts w:ascii="Calibri" w:hAnsi="Calibri"/>
                <w:color w:val="000000"/>
                <w:sz w:val="18"/>
              </w:rPr>
            </w:r>
            <w:r>
              <w:rPr>
                <w:rFonts w:ascii="Calibri" w:hAnsi="Calibri"/>
                <w:b w:val="0"/>
                <w:color w:val="000000"/>
                <w:sz w:val="18"/>
              </w:rPr>
              <w:t>IT</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Heidy Schein</w:t>
            </w:r>
          </w:p>
        </w:tc>
        <w:tc>
          <w:tcPr>
            <w:tcW w:type="dxa" w:w="2880"/>
            <w:shd w:val="clear" w:color="auto" w:fill="F0F4F8"/>
          </w:tcPr>
          <w:p>
            <w:r>
              <w:rPr>
                <w:rFonts w:ascii="Calibri" w:hAnsi="Calibri"/>
                <w:color w:val="000000"/>
                <w:sz w:val="18"/>
              </w:rPr>
            </w:r>
            <w:r>
              <w:rPr>
                <w:rFonts w:ascii="Calibri" w:hAnsi="Calibri"/>
                <w:b w:val="0"/>
                <w:color w:val="000000"/>
                <w:sz w:val="18"/>
              </w:rPr>
              <w:t>People</w:t>
            </w:r>
          </w:p>
        </w:tc>
        <w:tc>
          <w:tcPr>
            <w:tcW w:type="dxa" w:w="2880"/>
            <w:shd w:val="clear" w:color="auto" w:fill="F0F4F8"/>
          </w:tcPr>
          <w:p>
            <w:r>
              <w:rPr>
                <w:rFonts w:ascii="Calibri" w:hAnsi="Calibri"/>
                <w:color w:val="000000"/>
                <w:sz w:val="18"/>
              </w:rPr>
            </w:r>
            <w:r>
              <w:rPr>
                <w:rFonts w:ascii="Calibri" w:hAnsi="Calibri"/>
                <w:b w:val="0"/>
                <w:color w:val="000000"/>
                <w:sz w:val="18"/>
              </w:rPr>
              <w:t>People</w:t>
            </w:r>
          </w:p>
        </w:tc>
      </w:tr>
      <w:tr>
        <w:trPr>
          <w:cantSplit/>
        </w:trPr>
        <w:tc>
          <w:tcPr>
            <w:tcW w:type="dxa" w:w="2880"/>
          </w:tcPr>
          <w:p>
            <w:r>
              <w:rPr>
                <w:rFonts w:ascii="Calibri" w:hAnsi="Calibri"/>
                <w:color w:val="000000"/>
                <w:sz w:val="18"/>
              </w:rPr>
            </w:r>
            <w:r>
              <w:rPr>
                <w:rFonts w:ascii="Calibri" w:hAnsi="Calibri"/>
                <w:b w:val="0"/>
                <w:color w:val="000000"/>
                <w:sz w:val="18"/>
              </w:rPr>
              <w:t>Steve C de Baca</w:t>
            </w:r>
          </w:p>
        </w:tc>
        <w:tc>
          <w:tcPr>
            <w:tcW w:type="dxa" w:w="2880"/>
          </w:tcPr>
          <w:p>
            <w:r>
              <w:rPr>
                <w:rFonts w:ascii="Calibri" w:hAnsi="Calibri"/>
                <w:color w:val="000000"/>
                <w:sz w:val="18"/>
              </w:rPr>
            </w:r>
            <w:r>
              <w:rPr>
                <w:rFonts w:ascii="Calibri" w:hAnsi="Calibri"/>
                <w:b w:val="0"/>
                <w:color w:val="000000"/>
                <w:sz w:val="18"/>
              </w:rPr>
              <w:t>Patient Safety &amp; Quality</w:t>
            </w:r>
          </w:p>
        </w:tc>
        <w:tc>
          <w:tcPr>
            <w:tcW w:type="dxa" w:w="2880"/>
          </w:tcPr>
          <w:p>
            <w:r>
              <w:rPr>
                <w:rFonts w:ascii="Calibri" w:hAnsi="Calibri"/>
                <w:color w:val="000000"/>
                <w:sz w:val="18"/>
              </w:rPr>
            </w:r>
            <w:r>
              <w:rPr>
                <w:rFonts w:ascii="Calibri" w:hAnsi="Calibri"/>
                <w:b w:val="0"/>
                <w:color w:val="000000"/>
                <w:sz w:val="18"/>
              </w:rPr>
              <w:t>PS&amp;Q</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Carla Silva Peron</w:t>
            </w:r>
          </w:p>
        </w:tc>
        <w:tc>
          <w:tcPr>
            <w:tcW w:type="dxa" w:w="2880"/>
            <w:shd w:val="clear" w:color="auto" w:fill="F0F4F8"/>
          </w:tcPr>
          <w:p>
            <w:r>
              <w:rPr>
                <w:rFonts w:ascii="Calibri" w:hAnsi="Calibri"/>
                <w:color w:val="000000"/>
                <w:sz w:val="18"/>
              </w:rPr>
            </w:r>
            <w:r>
              <w:rPr>
                <w:rFonts w:ascii="Calibri" w:hAnsi="Calibri"/>
                <w:b w:val="0"/>
                <w:color w:val="000000"/>
                <w:sz w:val="18"/>
              </w:rPr>
              <w:t>Medical Office</w:t>
            </w:r>
          </w:p>
        </w:tc>
        <w:tc>
          <w:tcPr>
            <w:tcW w:type="dxa" w:w="2880"/>
            <w:shd w:val="clear" w:color="auto" w:fill="F0F4F8"/>
          </w:tcPr>
          <w:p>
            <w:r>
              <w:rPr>
                <w:rFonts w:ascii="Calibri" w:hAnsi="Calibri"/>
                <w:color w:val="000000"/>
                <w:sz w:val="18"/>
              </w:rPr>
            </w:r>
            <w:r>
              <w:rPr>
                <w:rFonts w:ascii="Calibri" w:hAnsi="Calibri"/>
                <w:b w:val="0"/>
                <w:color w:val="000000"/>
                <w:sz w:val="18"/>
              </w:rPr>
              <w:t>Medical Office</w:t>
            </w:r>
          </w:p>
        </w:tc>
      </w:tr>
      <w:tr>
        <w:trPr>
          <w:cantSplit/>
        </w:trPr>
        <w:tc>
          <w:tcPr>
            <w:tcW w:type="dxa" w:w="2880"/>
          </w:tcPr>
          <w:p>
            <w:r>
              <w:rPr>
                <w:rFonts w:ascii="Calibri" w:hAnsi="Calibri"/>
                <w:color w:val="000000"/>
                <w:sz w:val="18"/>
              </w:rPr>
            </w:r>
            <w:r>
              <w:rPr>
                <w:rFonts w:ascii="Calibri" w:hAnsi="Calibri"/>
                <w:b w:val="0"/>
                <w:color w:val="000000"/>
                <w:sz w:val="18"/>
              </w:rPr>
              <w:t>Filip Koek</w:t>
            </w:r>
          </w:p>
        </w:tc>
        <w:tc>
          <w:tcPr>
            <w:tcW w:type="dxa" w:w="2880"/>
          </w:tcPr>
          <w:p>
            <w:r>
              <w:rPr>
                <w:rFonts w:ascii="Calibri" w:hAnsi="Calibri"/>
                <w:color w:val="000000"/>
                <w:sz w:val="18"/>
              </w:rPr>
            </w:r>
            <w:r>
              <w:rPr>
                <w:rFonts w:ascii="Calibri" w:hAnsi="Calibri"/>
                <w:b w:val="0"/>
                <w:color w:val="000000"/>
                <w:sz w:val="18"/>
              </w:rPr>
              <w:t>Internal Audit</w:t>
            </w:r>
          </w:p>
        </w:tc>
        <w:tc>
          <w:tcPr>
            <w:tcW w:type="dxa" w:w="2880"/>
          </w:tcPr>
          <w:p>
            <w:r>
              <w:rPr>
                <w:rFonts w:ascii="Calibri" w:hAnsi="Calibri"/>
                <w:color w:val="000000"/>
                <w:sz w:val="18"/>
              </w:rPr>
            </w:r>
            <w:r>
              <w:rPr>
                <w:rFonts w:ascii="Calibri" w:hAnsi="Calibri"/>
                <w:b w:val="0"/>
                <w:color w:val="000000"/>
                <w:sz w:val="18"/>
              </w:rPr>
              <w:t>Internal Audit</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Marnix van Ginneken</w:t>
            </w:r>
          </w:p>
        </w:tc>
        <w:tc>
          <w:tcPr>
            <w:tcW w:type="dxa" w:w="2880"/>
            <w:shd w:val="clear" w:color="auto" w:fill="F0F4F8"/>
          </w:tcPr>
          <w:p>
            <w:r>
              <w:rPr>
                <w:rFonts w:ascii="Calibri" w:hAnsi="Calibri"/>
                <w:color w:val="000000"/>
                <w:sz w:val="18"/>
              </w:rPr>
            </w:r>
            <w:r>
              <w:rPr>
                <w:rFonts w:ascii="Calibri" w:hAnsi="Calibri"/>
                <w:b w:val="0"/>
                <w:color w:val="000000"/>
                <w:sz w:val="18"/>
              </w:rPr>
              <w:t>Legal, Comms &amp; Brand, IP&amp;S</w:t>
            </w:r>
          </w:p>
        </w:tc>
        <w:tc>
          <w:tcPr>
            <w:tcW w:type="dxa" w:w="2880"/>
            <w:shd w:val="clear" w:color="auto" w:fill="F0F4F8"/>
          </w:tcPr>
          <w:p>
            <w:r>
              <w:rPr>
                <w:rFonts w:ascii="Calibri" w:hAnsi="Calibri"/>
                <w:color w:val="000000"/>
                <w:sz w:val="18"/>
              </w:rPr>
            </w:r>
            <w:r>
              <w:rPr>
                <w:rFonts w:ascii="Calibri" w:hAnsi="Calibri"/>
                <w:b w:val="0"/>
                <w:color w:val="000000"/>
                <w:sz w:val="18"/>
              </w:rPr>
              <w:t>Legal, Comms &amp; Brand, IP&amp;S</w:t>
            </w:r>
          </w:p>
        </w:tc>
      </w:tr>
    </w:tbl>
    <w:p/>
    <w:p>
      <w:pPr>
        <w:pStyle w:val="Heading2"/>
      </w:pPr>
      <w:r>
        <w:rPr>
          <w:rFonts w:ascii="Calibri" w:hAnsi="Calibri"/>
          <w:color w:val="000000"/>
        </w:rPr>
        <w:t>2.4 Engine integration</w:t>
      </w:r>
    </w:p>
    <w:p>
      <w:pPr>
        <w:pStyle w:val="ListBullet"/>
      </w:pPr>
      <w:r>
        <w:rPr>
          <w:rFonts w:ascii="Calibri" w:hAnsi="Calibri"/>
          <w:b w:val="0"/>
          <w:sz w:val="21"/>
        </w:rPr>
        <w:t>EXCO_HIERARCHY: dictionary keyed by leader name. Each entry: {role, segment, orgs:[]}.</w:t>
      </w:r>
    </w:p>
    <w:p>
      <w:pPr>
        <w:pStyle w:val="ListBullet"/>
      </w:pPr>
      <w:r>
        <w:rPr>
          <w:rFonts w:ascii="Calibri" w:hAnsi="Calibri"/>
          <w:b w:val="0"/>
          <w:sz w:val="21"/>
        </w:rPr>
        <w:t>ORG_TO_EXCO: reverse lookup from any of the 35 org values to ExCo leader name.</w:t>
      </w:r>
    </w:p>
    <w:p>
      <w:pPr>
        <w:pStyle w:val="ListBullet"/>
      </w:pPr>
      <w:r>
        <w:rPr>
          <w:rFonts w:ascii="Calibri" w:hAnsi="Calibri"/>
          <w:b w:val="0"/>
          <w:sz w:val="21"/>
        </w:rPr>
        <w:t>excoOf(orgName): fuzzy match function handling whitespace/encoding differences.</w:t>
      </w:r>
    </w:p>
    <w:p>
      <w:pPr>
        <w:pStyle w:val="ListBullet"/>
      </w:pPr>
      <w:r>
        <w:rPr>
          <w:rFonts w:ascii="Calibri" w:hAnsi="Calibri"/>
          <w:b w:val="0"/>
          <w:sz w:val="21"/>
        </w:rPr>
        <w:t>enrich() adds exco field to every Programs row.</w:t>
      </w:r>
    </w:p>
    <w:p>
      <w:pPr>
        <w:pStyle w:val="ListBullet"/>
      </w:pPr>
      <w:r>
        <w:rPr>
          <w:rFonts w:ascii="Calibri" w:hAnsi="Calibri"/>
          <w:b w:val="0"/>
          <w:sz w:val="21"/>
        </w:rPr>
        <w:t>filter() supports exco dimension for cascading filters.</w:t>
      </w:r>
    </w:p>
    <w:p>
      <w:pPr>
        <w:pStyle w:val="Heading1"/>
      </w:pPr>
      <w:r>
        <w:rPr>
          <w:rFonts w:ascii="Calibri" w:hAnsi="Calibri"/>
          <w:color w:val="000000"/>
        </w:rPr>
        <w:t>3. Hard/Soft Benefit Classification</w:t>
      </w:r>
    </w:p>
    <w:p>
      <w:pPr>
        <w:pStyle w:val="Heading2"/>
      </w:pPr>
      <w:r>
        <w:rPr>
          <w:rFonts w:ascii="Calibri" w:hAnsi="Calibri"/>
          <w:color w:val="000000"/>
        </w:rPr>
        <w:t>3.1 classifyBenefit() function</w:t>
      </w:r>
    </w:p>
    <w:p>
      <w:r>
        <w:rPr>
          <w:rFonts w:ascii="Calibri" w:hAnsi="Calibri"/>
          <w:b w:val="0"/>
          <w:sz w:val="22"/>
        </w:rPr>
        <w:t>New engine function classifies each Programs into one of four benefit categories: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Classification</w:t>
            </w:r>
          </w:p>
        </w:tc>
        <w:tc>
          <w:tcPr>
            <w:tcW w:type="dxa" w:w="2880"/>
            <w:shd w:val="clear" w:color="auto" w:fill="0B5ED7"/>
          </w:tcPr>
          <w:p>
            <w:r>
              <w:rPr>
                <w:rFonts w:ascii="Calibri" w:hAnsi="Calibri"/>
                <w:color w:val="FFFFFF"/>
                <w:sz w:val="18"/>
              </w:rPr>
            </w:r>
            <w:r>
              <w:rPr>
                <w:rFonts w:ascii="Calibri" w:hAnsi="Calibri"/>
                <w:b/>
                <w:color w:val="FFFFFF"/>
                <w:sz w:val="18"/>
              </w:rPr>
              <w:t>Criteria</w:t>
            </w:r>
          </w:p>
        </w:tc>
        <w:tc>
          <w:tcPr>
            <w:tcW w:type="dxa" w:w="2880"/>
            <w:shd w:val="clear" w:color="auto" w:fill="0B5ED7"/>
          </w:tcPr>
          <w:p>
            <w:r>
              <w:rPr>
                <w:rFonts w:ascii="Calibri" w:hAnsi="Calibri"/>
                <w:color w:val="FFFFFF"/>
                <w:sz w:val="18"/>
              </w:rPr>
            </w:r>
            <w:r>
              <w:rPr>
                <w:rFonts w:ascii="Calibri" w:hAnsi="Calibri"/>
                <w:b/>
                <w:color w:val="FFFFFF"/>
                <w:sz w:val="18"/>
              </w:rPr>
              <w:t>Label</w:t>
            </w:r>
          </w:p>
        </w:tc>
      </w:tr>
      <w:tr>
        <w:trPr>
          <w:cantSplit/>
        </w:trPr>
        <w:tc>
          <w:tcPr>
            <w:tcW w:type="dxa" w:w="2880"/>
          </w:tcPr>
          <w:p>
            <w:r>
              <w:rPr>
                <w:rFonts w:ascii="Calibri" w:hAnsi="Calibri"/>
                <w:color w:val="000000"/>
                <w:sz w:val="18"/>
              </w:rPr>
            </w:r>
            <w:r>
              <w:rPr>
                <w:rFonts w:ascii="Calibri" w:hAnsi="Calibri"/>
                <w:b w:val="0"/>
                <w:color w:val="000000"/>
                <w:sz w:val="18"/>
              </w:rPr>
              <w:t>Hard</w:t>
            </w:r>
          </w:p>
        </w:tc>
        <w:tc>
          <w:tcPr>
            <w:tcW w:type="dxa" w:w="2880"/>
          </w:tcPr>
          <w:p>
            <w:r>
              <w:rPr>
                <w:rFonts w:ascii="Calibri" w:hAnsi="Calibri"/>
                <w:color w:val="000000"/>
                <w:sz w:val="18"/>
              </w:rPr>
            </w:r>
            <w:r>
              <w:rPr>
                <w:rFonts w:ascii="Calibri" w:hAnsi="Calibri"/>
                <w:b w:val="0"/>
                <w:color w:val="000000"/>
                <w:sz w:val="18"/>
              </w:rPr>
              <w:t>benefit &gt; 0 AND area in {Revenue Increase, Productivity Savings}</w:t>
            </w:r>
          </w:p>
        </w:tc>
        <w:tc>
          <w:tcPr>
            <w:tcW w:type="dxa" w:w="2880"/>
          </w:tcPr>
          <w:p>
            <w:r>
              <w:rPr>
                <w:rFonts w:ascii="Calibri" w:hAnsi="Calibri"/>
                <w:color w:val="000000"/>
                <w:sz w:val="18"/>
              </w:rPr>
            </w:r>
            <w:r>
              <w:rPr>
                <w:rFonts w:ascii="Calibri" w:hAnsi="Calibri"/>
                <w:b w:val="0"/>
                <w:color w:val="000000"/>
                <w:sz w:val="18"/>
              </w:rPr>
              <w:t>Hard Benefit</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Soft</w:t>
            </w:r>
          </w:p>
        </w:tc>
        <w:tc>
          <w:tcPr>
            <w:tcW w:type="dxa" w:w="2880"/>
            <w:shd w:val="clear" w:color="auto" w:fill="F0F4F8"/>
          </w:tcPr>
          <w:p>
            <w:r>
              <w:rPr>
                <w:rFonts w:ascii="Calibri" w:hAnsi="Calibri"/>
                <w:color w:val="000000"/>
                <w:sz w:val="18"/>
              </w:rPr>
            </w:r>
            <w:r>
              <w:rPr>
                <w:rFonts w:ascii="Calibri" w:hAnsi="Calibri"/>
                <w:b w:val="0"/>
                <w:color w:val="000000"/>
                <w:sz w:val="18"/>
              </w:rPr>
              <w:t>benefit &gt; 0 AND area in {Cost Avoidance, Process simplification/efficiency gain, Compliance/Keeping the lights on, Security, Enabling} or other areas not in Hard set</w:t>
            </w:r>
          </w:p>
        </w:tc>
        <w:tc>
          <w:tcPr>
            <w:tcW w:type="dxa" w:w="2880"/>
            <w:shd w:val="clear" w:color="auto" w:fill="F0F4F8"/>
          </w:tcPr>
          <w:p>
            <w:r>
              <w:rPr>
                <w:rFonts w:ascii="Calibri" w:hAnsi="Calibri"/>
                <w:color w:val="000000"/>
                <w:sz w:val="18"/>
              </w:rPr>
            </w:r>
            <w:r>
              <w:rPr>
                <w:rFonts w:ascii="Calibri" w:hAnsi="Calibri"/>
                <w:b w:val="0"/>
                <w:color w:val="000000"/>
                <w:sz w:val="18"/>
              </w:rPr>
              <w:t>Soft Benefit</w:t>
            </w:r>
          </w:p>
        </w:tc>
      </w:tr>
      <w:tr>
        <w:trPr>
          <w:cantSplit/>
        </w:trPr>
        <w:tc>
          <w:tcPr>
            <w:tcW w:type="dxa" w:w="2880"/>
          </w:tcPr>
          <w:p>
            <w:r>
              <w:rPr>
                <w:rFonts w:ascii="Calibri" w:hAnsi="Calibri"/>
                <w:color w:val="000000"/>
                <w:sz w:val="18"/>
              </w:rPr>
            </w:r>
            <w:r>
              <w:rPr>
                <w:rFonts w:ascii="Calibri" w:hAnsi="Calibri"/>
                <w:b w:val="0"/>
                <w:color w:val="000000"/>
                <w:sz w:val="18"/>
              </w:rPr>
              <w:t>Qualitative</w:t>
            </w:r>
          </w:p>
        </w:tc>
        <w:tc>
          <w:tcPr>
            <w:tcW w:type="dxa" w:w="2880"/>
          </w:tcPr>
          <w:p>
            <w:r>
              <w:rPr>
                <w:rFonts w:ascii="Calibri" w:hAnsi="Calibri"/>
                <w:color w:val="000000"/>
                <w:sz w:val="18"/>
              </w:rPr>
            </w:r>
            <w:r>
              <w:rPr>
                <w:rFonts w:ascii="Calibri" w:hAnsi="Calibri"/>
                <w:b w:val="0"/>
                <w:color w:val="000000"/>
                <w:sz w:val="18"/>
              </w:rPr>
              <w:t>No numeric benefit but has impact text or problem statement</w:t>
            </w:r>
          </w:p>
        </w:tc>
        <w:tc>
          <w:tcPr>
            <w:tcW w:type="dxa" w:w="2880"/>
          </w:tcPr>
          <w:p>
            <w:r>
              <w:rPr>
                <w:rFonts w:ascii="Calibri" w:hAnsi="Calibri"/>
                <w:color w:val="000000"/>
                <w:sz w:val="18"/>
              </w:rPr>
            </w:r>
            <w:r>
              <w:rPr>
                <w:rFonts w:ascii="Calibri" w:hAnsi="Calibri"/>
                <w:b w:val="0"/>
                <w:color w:val="000000"/>
                <w:sz w:val="18"/>
              </w:rPr>
              <w:t>Qualitative Only</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None</w:t>
            </w:r>
          </w:p>
        </w:tc>
        <w:tc>
          <w:tcPr>
            <w:tcW w:type="dxa" w:w="2880"/>
            <w:shd w:val="clear" w:color="auto" w:fill="F0F4F8"/>
          </w:tcPr>
          <w:p>
            <w:r>
              <w:rPr>
                <w:rFonts w:ascii="Calibri" w:hAnsi="Calibri"/>
                <w:color w:val="000000"/>
                <w:sz w:val="18"/>
              </w:rPr>
            </w:r>
            <w:r>
              <w:rPr>
                <w:rFonts w:ascii="Calibri" w:hAnsi="Calibri"/>
                <w:b w:val="0"/>
                <w:color w:val="000000"/>
                <w:sz w:val="18"/>
              </w:rPr>
              <w:t>No benefit data of any kind</w:t>
            </w:r>
          </w:p>
        </w:tc>
        <w:tc>
          <w:tcPr>
            <w:tcW w:type="dxa" w:w="2880"/>
            <w:shd w:val="clear" w:color="auto" w:fill="F0F4F8"/>
          </w:tcPr>
          <w:p>
            <w:r>
              <w:rPr>
                <w:rFonts w:ascii="Calibri" w:hAnsi="Calibri"/>
                <w:color w:val="000000"/>
                <w:sz w:val="18"/>
              </w:rPr>
            </w:r>
            <w:r>
              <w:rPr>
                <w:rFonts w:ascii="Calibri" w:hAnsi="Calibri"/>
                <w:b w:val="0"/>
                <w:color w:val="000000"/>
                <w:sz w:val="18"/>
              </w:rPr>
              <w:t>No Benefit Data</w:t>
            </w:r>
          </w:p>
        </w:tc>
      </w:tr>
    </w:tbl>
    <w:p/>
    <w:p>
      <w:pPr>
        <w:pStyle w:val="Heading2"/>
      </w:pPr>
      <w:r>
        <w:rPr>
          <w:rFonts w:ascii="Calibri" w:hAnsi="Calibri"/>
          <w:color w:val="000000"/>
        </w:rPr>
        <w:t>3.2 Enriched fields</w:t>
      </w:r>
    </w:p>
    <w:p>
      <w:pPr>
        <w:pStyle w:val="ListBullet"/>
      </w:pPr>
      <w:r>
        <w:rPr>
          <w:rFonts w:ascii="Calibri" w:hAnsi="Calibri"/>
          <w:b w:val="0"/>
          <w:sz w:val="21"/>
        </w:rPr>
        <w:t>benefitClass: "hard" | "soft" | "qualitative" | "none"</w:t>
      </w:r>
    </w:p>
    <w:p>
      <w:pPr>
        <w:pStyle w:val="ListBullet"/>
      </w:pPr>
      <w:r>
        <w:rPr>
          <w:rFonts w:ascii="Calibri" w:hAnsi="Calibri"/>
          <w:b w:val="0"/>
          <w:sz w:val="21"/>
        </w:rPr>
        <w:t>benefitClassLabel: human-readable label for display</w:t>
      </w:r>
    </w:p>
    <w:p>
      <w:pPr>
        <w:pStyle w:val="ListBullet"/>
      </w:pPr>
      <w:r>
        <w:rPr>
          <w:rFonts w:ascii="Calibri" w:hAnsi="Calibri"/>
          <w:b w:val="0"/>
          <w:sz w:val="21"/>
        </w:rPr>
        <w:t>benefitFlag: data quality flag (if applicable)</w:t>
      </w:r>
    </w:p>
    <w:p>
      <w:pPr>
        <w:pStyle w:val="Heading2"/>
      </w:pPr>
      <w:r>
        <w:rPr>
          <w:rFonts w:ascii="Calibri" w:hAnsi="Calibri"/>
          <w:color w:val="000000"/>
        </w:rPr>
        <w:t>3.3 Data quality flags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Flag</w:t>
            </w:r>
          </w:p>
        </w:tc>
        <w:tc>
          <w:tcPr>
            <w:tcW w:type="dxa" w:w="2880"/>
            <w:shd w:val="clear" w:color="auto" w:fill="0B5ED7"/>
          </w:tcPr>
          <w:p>
            <w:r>
              <w:rPr>
                <w:rFonts w:ascii="Calibri" w:hAnsi="Calibri"/>
                <w:color w:val="FFFFFF"/>
                <w:sz w:val="18"/>
              </w:rPr>
            </w:r>
            <w:r>
              <w:rPr>
                <w:rFonts w:ascii="Calibri" w:hAnsi="Calibri"/>
                <w:b/>
                <w:color w:val="FFFFFF"/>
                <w:sz w:val="18"/>
              </w:rPr>
              <w:t>Condition</w:t>
            </w:r>
          </w:p>
        </w:tc>
        <w:tc>
          <w:tcPr>
            <w:tcW w:type="dxa" w:w="2880"/>
            <w:shd w:val="clear" w:color="auto" w:fill="0B5ED7"/>
          </w:tcPr>
          <w:p>
            <w:r>
              <w:rPr>
                <w:rFonts w:ascii="Calibri" w:hAnsi="Calibri"/>
                <w:color w:val="FFFFFF"/>
                <w:sz w:val="18"/>
              </w:rPr>
            </w:r>
            <w:r>
              <w:rPr>
                <w:rFonts w:ascii="Calibri" w:hAnsi="Calibri"/>
                <w:b/>
                <w:color w:val="FFFFFF"/>
                <w:sz w:val="18"/>
              </w:rPr>
              <w:t>Action</w:t>
            </w:r>
          </w:p>
        </w:tc>
      </w:tr>
      <w:tr>
        <w:trPr>
          <w:cantSplit/>
        </w:trPr>
        <w:tc>
          <w:tcPr>
            <w:tcW w:type="dxa" w:w="2880"/>
          </w:tcPr>
          <w:p>
            <w:r>
              <w:rPr>
                <w:rFonts w:ascii="Calibri" w:hAnsi="Calibri"/>
                <w:color w:val="000000"/>
                <w:sz w:val="18"/>
              </w:rPr>
            </w:r>
            <w:r>
              <w:rPr>
                <w:rFonts w:ascii="Calibri" w:hAnsi="Calibri"/>
                <w:b w:val="0"/>
                <w:color w:val="000000"/>
                <w:sz w:val="18"/>
              </w:rPr>
              <w:t>K EUR suspect</w:t>
            </w:r>
          </w:p>
        </w:tc>
        <w:tc>
          <w:tcPr>
            <w:tcW w:type="dxa" w:w="2880"/>
          </w:tcPr>
          <w:p>
            <w:r>
              <w:rPr>
                <w:rFonts w:ascii="Calibri" w:hAnsi="Calibri"/>
                <w:color w:val="000000"/>
                <w:sz w:val="18"/>
              </w:rPr>
            </w:r>
            <w:r>
              <w:rPr>
                <w:rFonts w:ascii="Calibri" w:hAnsi="Calibri"/>
                <w:b w:val="0"/>
                <w:color w:val="000000"/>
                <w:sz w:val="18"/>
              </w:rPr>
              <w:t>Impact text value equals benefit amount x 1000</w:t>
            </w:r>
          </w:p>
        </w:tc>
        <w:tc>
          <w:tcPr>
            <w:tcW w:type="dxa" w:w="2880"/>
          </w:tcPr>
          <w:p>
            <w:r>
              <w:rPr>
                <w:rFonts w:ascii="Calibri" w:hAnsi="Calibri"/>
                <w:color w:val="000000"/>
                <w:sz w:val="18"/>
              </w:rPr>
            </w:r>
            <w:r>
              <w:rPr>
                <w:rFonts w:ascii="Calibri" w:hAnsi="Calibri"/>
                <w:b w:val="0"/>
                <w:color w:val="000000"/>
                <w:sz w:val="18"/>
              </w:rPr>
              <w:t>Warning; manual review recommended</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Outlier</w:t>
            </w:r>
          </w:p>
        </w:tc>
        <w:tc>
          <w:tcPr>
            <w:tcW w:type="dxa" w:w="2880"/>
            <w:shd w:val="clear" w:color="auto" w:fill="F0F4F8"/>
          </w:tcPr>
          <w:p>
            <w:r>
              <w:rPr>
                <w:rFonts w:ascii="Calibri" w:hAnsi="Calibri"/>
                <w:color w:val="000000"/>
                <w:sz w:val="18"/>
              </w:rPr>
            </w:r>
            <w:r>
              <w:rPr>
                <w:rFonts w:ascii="Calibri" w:hAnsi="Calibri"/>
                <w:b w:val="0"/>
                <w:color w:val="000000"/>
                <w:sz w:val="18"/>
              </w:rPr>
              <w:t>Benefit amount &gt; 100 M€</w:t>
            </w:r>
          </w:p>
        </w:tc>
        <w:tc>
          <w:tcPr>
            <w:tcW w:type="dxa" w:w="2880"/>
            <w:shd w:val="clear" w:color="auto" w:fill="F0F4F8"/>
          </w:tcPr>
          <w:p>
            <w:r>
              <w:rPr>
                <w:rFonts w:ascii="Calibri" w:hAnsi="Calibri"/>
                <w:color w:val="000000"/>
                <w:sz w:val="18"/>
              </w:rPr>
            </w:r>
            <w:r>
              <w:rPr>
                <w:rFonts w:ascii="Calibri" w:hAnsi="Calibri"/>
                <w:b w:val="0"/>
                <w:color w:val="000000"/>
                <w:sz w:val="18"/>
              </w:rPr>
              <w:t>Warning; flagged for review</w:t>
            </w:r>
          </w:p>
        </w:tc>
      </w:tr>
      <w:tr>
        <w:trPr>
          <w:cantSplit/>
        </w:trPr>
        <w:tc>
          <w:tcPr>
            <w:tcW w:type="dxa" w:w="2880"/>
          </w:tcPr>
          <w:p>
            <w:r>
              <w:rPr>
                <w:rFonts w:ascii="Calibri" w:hAnsi="Calibri"/>
                <w:color w:val="000000"/>
                <w:sz w:val="18"/>
              </w:rPr>
            </w:r>
            <w:r>
              <w:rPr>
                <w:rFonts w:ascii="Calibri" w:hAnsi="Calibri"/>
                <w:b w:val="0"/>
                <w:color w:val="000000"/>
                <w:sz w:val="18"/>
              </w:rPr>
              <w:t>High ratio</w:t>
            </w:r>
          </w:p>
        </w:tc>
        <w:tc>
          <w:tcPr>
            <w:tcW w:type="dxa" w:w="2880"/>
          </w:tcPr>
          <w:p>
            <w:r>
              <w:rPr>
                <w:rFonts w:ascii="Calibri" w:hAnsi="Calibri"/>
                <w:color w:val="000000"/>
                <w:sz w:val="18"/>
              </w:rPr>
            </w:r>
            <w:r>
              <w:rPr>
                <w:rFonts w:ascii="Calibri" w:hAnsi="Calibri"/>
                <w:b w:val="0"/>
                <w:color w:val="000000"/>
                <w:sz w:val="18"/>
              </w:rPr>
              <w:t>Benefit/cost ratio &gt; 10x</w:t>
            </w:r>
          </w:p>
        </w:tc>
        <w:tc>
          <w:tcPr>
            <w:tcW w:type="dxa" w:w="2880"/>
          </w:tcPr>
          <w:p>
            <w:r>
              <w:rPr>
                <w:rFonts w:ascii="Calibri" w:hAnsi="Calibri"/>
                <w:color w:val="000000"/>
                <w:sz w:val="18"/>
              </w:rPr>
              <w:t>Accepted input; no eligibility hold</w:t>
            </w:r>
            <w:r>
              <w:rPr>
                <w:rFonts w:ascii="Calibri" w:hAnsi="Calibri"/>
                <w:b w:val="0"/>
                <w:color w:val="000000"/>
                <w:sz w:val="18"/>
              </w:rPr>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No business case</w:t>
            </w:r>
          </w:p>
        </w:tc>
        <w:tc>
          <w:tcPr>
            <w:tcW w:type="dxa" w:w="2880"/>
            <w:shd w:val="clear" w:color="auto" w:fill="F0F4F8"/>
          </w:tcPr>
          <w:p>
            <w:r>
              <w:rPr>
                <w:rFonts w:ascii="Calibri" w:hAnsi="Calibri"/>
                <w:color w:val="000000"/>
                <w:sz w:val="18"/>
              </w:rPr>
            </w:r>
            <w:r>
              <w:rPr>
                <w:rFonts w:ascii="Calibri" w:hAnsi="Calibri"/>
                <w:b w:val="0"/>
                <w:color w:val="000000"/>
                <w:sz w:val="18"/>
              </w:rPr>
              <w:t>No numeric benefit, no qualitative text, no impact</w:t>
            </w:r>
          </w:p>
        </w:tc>
        <w:tc>
          <w:tcPr>
            <w:tcW w:type="dxa" w:w="2880"/>
            <w:shd w:val="clear" w:color="auto" w:fill="F0F4F8"/>
          </w:tcPr>
          <w:p>
            <w:r>
              <w:rPr>
                <w:rFonts w:ascii="Calibri" w:hAnsi="Calibri"/>
                <w:color w:val="000000"/>
                <w:sz w:val="18"/>
              </w:rPr>
            </w:r>
            <w:r>
              <w:rPr>
                <w:rFonts w:ascii="Calibri" w:hAnsi="Calibri"/>
                <w:b w:val="0"/>
                <w:color w:val="000000"/>
                <w:sz w:val="18"/>
              </w:rPr>
              <w:t>Flag; scored 0</w:t>
            </w:r>
          </w:p>
        </w:tc>
      </w:tr>
    </w:tbl>
    <w:p/>
    <w:p>
      <w:pPr>
        <w:pStyle w:val="Heading2"/>
      </w:pPr>
      <w:r>
        <w:rPr>
          <w:rFonts w:ascii="Calibri" w:hAnsi="Calibri"/>
          <w:color w:val="000000"/>
        </w:rPr>
        <w:t>3.4 Display across tabs</w:t>
      </w:r>
    </w:p>
    <w:p>
      <w:pPr>
        <w:pStyle w:val="ListBullet"/>
      </w:pPr>
      <w:r>
        <w:rPr>
          <w:rFonts w:ascii="Calibri" w:hAnsi="Calibri"/>
          <w:b w:val="0"/>
          <w:sz w:val="21"/>
        </w:rPr>
        <w:t>Tab 1: "Committed Benefits" KPI shows Hard (blue, large) + "Hard" label (black, regular) / Soft (black, large) + "Soft M€" label (black, regular). No highlight background.</w:t>
      </w:r>
    </w:p>
    <w:p>
      <w:pPr>
        <w:pStyle w:val="ListBullet"/>
      </w:pPr>
      <w:r>
        <w:rPr>
          <w:rFonts w:ascii="Calibri" w:hAnsi="Calibri"/>
          <w:b w:val="0"/>
          <w:sz w:val="21"/>
        </w:rPr>
        <w:t>Tab 2: Allocated AOP KPI shows "On top off" indicator when allocation exceeds Total AOP.</w:t>
      </w:r>
    </w:p>
    <w:p>
      <w:pPr>
        <w:pStyle w:val="ListBullet"/>
      </w:pPr>
      <w:r>
        <w:rPr>
          <w:rFonts w:ascii="Calibri" w:hAnsi="Calibri"/>
          <w:b w:val="0"/>
          <w:sz w:val="21"/>
        </w:rPr>
        <w:t>Tabs 3 &amp; 4: "Committed Benefits" KPI with Hard (blue) / Soft (black) format. No coloured background.</w:t>
      </w:r>
    </w:p>
    <w:p>
      <w:pPr>
        <w:pStyle w:val="ListBullet"/>
      </w:pPr>
      <w:r>
        <w:rPr>
          <w:rFonts w:ascii="Calibri" w:hAnsi="Calibri"/>
          <w:b w:val="0"/>
          <w:sz w:val="21"/>
        </w:rPr>
        <w:t>Tab 6: "Committed Benefits" shows Hard (blue) / Soft (black) format matching Tab 1 style.</w:t>
      </w:r>
    </w:p>
    <w:p>
      <w:pPr>
        <w:pStyle w:val="ListBullet"/>
      </w:pPr>
      <w:r>
        <w:rPr>
          <w:rFonts w:ascii="Calibri" w:hAnsi="Calibri"/>
          <w:b w:val="0"/>
          <w:sz w:val="21"/>
        </w:rPr>
        <w:t>Bubble chart tooltip: shows benefit classification label (Hard Benefit / Soft Benefit / Qualitative Only / No Benefit Data).</w:t>
      </w:r>
    </w:p>
    <w:p>
      <w:pPr>
        <w:pStyle w:val="ListBullet"/>
      </w:pPr>
      <w:r>
        <w:rPr>
          <w:rFonts w:ascii="Calibri" w:hAnsi="Calibri"/>
          <w:b w:val="0"/>
          <w:sz w:val="21"/>
        </w:rPr>
        <w:t>Chart summary line: "Committed: X Hard . Y Soft" replaces single combined number.</w:t>
      </w:r>
    </w:p>
    <w:p>
      <w:pPr>
        <w:pStyle w:val="ListBullet"/>
      </w:pPr>
      <w:r>
        <w:rPr>
          <w:rFonts w:ascii="Calibri" w:hAnsi="Calibri"/>
          <w:b w:val="0"/>
          <w:sz w:val="21"/>
        </w:rPr>
        <w:t>ExCo Demand table: org sub-rows and grand total show Hard/Soft columns.</w:t>
      </w:r>
    </w:p>
    <w:p>
      <w:pPr>
        <w:pStyle w:val="Heading1"/>
      </w:pPr>
      <w:r>
        <w:rPr>
          <w:rFonts w:ascii="Calibri" w:hAnsi="Calibri"/>
          <w:color w:val="000000"/>
        </w:rPr>
        <w:t>4. Total AOP Protection</w:t>
      </w:r>
    </w:p>
    <w:p>
      <w:r>
        <w:rPr>
          <w:rFonts w:ascii="Calibri" w:hAnsi="Calibri"/>
          <w:b w:val="0"/>
          <w:sz w:val="22"/>
        </w:rPr>
        <w:t>The Total AOP (M€) field changes ONLY via manual user edit. No automated process may modify it.</w:t>
      </w:r>
    </w:p>
    <w:p>
      <w:pPr>
        <w:pStyle w:val="Heading2"/>
      </w:pPr>
      <w:r>
        <w:rPr>
          <w:rFonts w:ascii="Calibri" w:hAnsi="Calibri"/>
          <w:color w:val="000000"/>
        </w:rPr>
        <w:t>4.1 Trade-off Apply behaviour</w:t>
      </w:r>
    </w:p>
    <w:p>
      <w:pPr>
        <w:pStyle w:val="ListBullet"/>
      </w:pPr>
      <w:r>
        <w:rPr>
          <w:rFonts w:ascii="Calibri" w:hAnsi="Calibri"/>
          <w:b w:val="0"/>
          <w:sz w:val="21"/>
        </w:rPr>
        <w:t>ExCo Trade-off Apply button includes/excludes P4 Programs by merit ranking.</w:t>
      </w:r>
    </w:p>
    <w:p>
      <w:pPr>
        <w:pStyle w:val="ListBullet"/>
      </w:pPr>
      <w:r>
        <w:rPr>
          <w:rFonts w:ascii="Calibri" w:hAnsi="Calibri"/>
          <w:b w:val="0"/>
          <w:sz w:val="21"/>
        </w:rPr>
        <w:t>Apply does NOT modify the Total AOP budget. It only changes Programs inclusion/exclusion.</w:t>
      </w:r>
    </w:p>
    <w:p>
      <w:pPr>
        <w:pStyle w:val="ListBullet"/>
      </w:pPr>
      <w:r>
        <w:rPr>
          <w:rFonts w:ascii="Calibri" w:hAnsi="Calibri"/>
          <w:b w:val="0"/>
          <w:sz w:val="21"/>
        </w:rPr>
        <w:t>The previous behaviour (Apply increased Total AOP by the sum of trade-off deltas) is removed.</w:t>
      </w:r>
    </w:p>
    <w:p>
      <w:pPr>
        <w:pStyle w:val="Heading2"/>
      </w:pPr>
      <w:r>
        <w:rPr>
          <w:rFonts w:ascii="Calibri" w:hAnsi="Calibri"/>
          <w:color w:val="000000"/>
        </w:rPr>
        <w:t>4.2 "On top off AOP" KPI</w:t>
      </w:r>
    </w:p>
    <w:p>
      <w:pPr>
        <w:pStyle w:val="ListBullet"/>
      </w:pPr>
      <w:r>
        <w:rPr>
          <w:rFonts w:ascii="Calibri" w:hAnsi="Calibri"/>
          <w:b w:val="0"/>
          <w:sz w:val="21"/>
        </w:rPr>
        <w:t>"On top off AOP" shows the delta between actual allocation and the user-set budget.</w:t>
      </w:r>
    </w:p>
    <w:p>
      <w:pPr>
        <w:pStyle w:val="ListBullet"/>
      </w:pPr>
      <w:r>
        <w:rPr>
          <w:rFonts w:ascii="Calibri" w:hAnsi="Calibri"/>
          <w:b w:val="0"/>
          <w:sz w:val="21"/>
        </w:rPr>
        <w:t>Tabs 3 &amp; 4: displayed as a separate KPI below the Committed Hard Benefits tile.</w:t>
      </w:r>
    </w:p>
    <w:p>
      <w:pPr>
        <w:pStyle w:val="ListBullet"/>
      </w:pPr>
      <w:r>
        <w:rPr>
          <w:rFonts w:ascii="Calibri" w:hAnsi="Calibri"/>
          <w:b w:val="0"/>
          <w:sz w:val="21"/>
        </w:rPr>
        <w:t>Tab 2: Allocated AOP shows "On top off: +X M€" (red) when over budget, or "Under budget: X M€" (green) when under.</w:t>
      </w:r>
    </w:p>
    <w:p>
      <w:pPr>
        <w:pStyle w:val="ListBullet"/>
      </w:pPr>
      <w:r>
        <w:rPr>
          <w:rFonts w:ascii="Calibri" w:hAnsi="Calibri"/>
          <w:b w:val="0"/>
          <w:sz w:val="21"/>
        </w:rPr>
        <w:t>Red indicates over-budget; green indicates under-budget.</w:t>
      </w:r>
    </w:p>
    <w:p>
      <w:pPr>
        <w:pStyle w:val="Heading2"/>
      </w:pPr>
      <w:r>
        <w:rPr>
          <w:rFonts w:ascii="Calibri" w:hAnsi="Calibri"/>
          <w:color w:val="000000"/>
        </w:rPr>
        <w:t>4.3 Manual budget edit</w:t>
      </w:r>
    </w:p>
    <w:p>
      <w:r>
        <w:rPr>
          <w:rFonts w:ascii="Calibri" w:hAnsi="Calibri"/>
          <w:b w:val="0"/>
          <w:sz w:val="22"/>
        </w:rPr>
        <w:t>The Total AOP input field on Tab 2 is the ONLY mechanism to change the budget. Presets do not change it. Trade-off Apply does not change it. Only direct user input changes it.</w:t>
      </w:r>
    </w:p>
    <w:p>
      <w:pPr>
        <w:pStyle w:val="Heading1"/>
      </w:pPr>
      <w:r>
        <w:rPr>
          <w:rFonts w:ascii="Calibri" w:hAnsi="Calibri"/>
          <w:color w:val="000000"/>
        </w:rPr>
        <w:t>5. ExCo Trade-off Cockpit</w:t>
      </w:r>
    </w:p>
    <w:p>
      <w:pPr>
        <w:pStyle w:val="Heading2"/>
      </w:pPr>
      <w:r>
        <w:rPr>
          <w:rFonts w:ascii="Calibri" w:hAnsi="Calibri"/>
          <w:color w:val="000000"/>
        </w:rPr>
        <w:t>5.1 Position and layout</w:t>
      </w:r>
    </w:p>
    <w:p>
      <w:r>
        <w:rPr>
          <w:rFonts w:ascii="Calibri" w:hAnsi="Calibri"/>
          <w:b w:val="0"/>
          <w:sz w:val="22"/>
        </w:rPr>
        <w:t>Located below the filter bar on Tabs 3 (Functions &amp; Regions) and Tab 4 (BU Led). Default state: closed. Opens automatically when trade-off budget values are entered.</w:t>
      </w:r>
    </w:p>
    <w:p>
      <w:pPr>
        <w:pStyle w:val="Heading2"/>
      </w:pPr>
      <w:r>
        <w:rPr>
          <w:rFonts w:ascii="Calibri" w:hAnsi="Calibri"/>
          <w:color w:val="000000"/>
        </w:rPr>
        <w:t>5.2 Per-ExCo leader columns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4320"/>
      </w:tblGrid>
      <w:tr>
        <w:trPr>
          <w:cantSplit/>
          <w:tblHeader/>
        </w:trPr>
        <w:tc>
          <w:tcPr>
            <w:tcW w:type="dxa" w:w="4320"/>
            <w:shd w:val="clear" w:color="auto" w:fill="0B5ED7"/>
          </w:tcPr>
          <w:p>
            <w:r>
              <w:rPr>
                <w:rFonts w:ascii="Calibri" w:hAnsi="Calibri"/>
                <w:color w:val="FFFFFF"/>
                <w:sz w:val="18"/>
              </w:rPr>
            </w:r>
            <w:r>
              <w:rPr>
                <w:rFonts w:ascii="Calibri" w:hAnsi="Calibri"/>
                <w:b/>
                <w:color w:val="FFFFFF"/>
                <w:sz w:val="18"/>
              </w:rPr>
              <w:t>Column</w:t>
            </w:r>
          </w:p>
        </w:tc>
        <w:tc>
          <w:tcPr>
            <w:tcW w:type="dxa" w:w="4320"/>
            <w:shd w:val="clear" w:color="auto" w:fill="0B5ED7"/>
          </w:tcPr>
          <w:p>
            <w:r>
              <w:rPr>
                <w:rFonts w:ascii="Calibri" w:hAnsi="Calibri"/>
                <w:color w:val="FFFFFF"/>
                <w:sz w:val="18"/>
              </w:rPr>
            </w:r>
            <w:r>
              <w:rPr>
                <w:rFonts w:ascii="Calibri" w:hAnsi="Calibri"/>
                <w:b/>
                <w:color w:val="FFFFFF"/>
                <w:sz w:val="18"/>
              </w:rPr>
              <w:t>Description</w:t>
            </w:r>
          </w:p>
        </w:tc>
      </w:tr>
      <w:tr>
        <w:trPr>
          <w:cantSplit/>
        </w:trPr>
        <w:tc>
          <w:tcPr>
            <w:tcW w:type="dxa" w:w="4320"/>
          </w:tcPr>
          <w:p>
            <w:r>
              <w:rPr>
                <w:rFonts w:ascii="Calibri" w:hAnsi="Calibri"/>
                <w:color w:val="000000"/>
                <w:sz w:val="18"/>
              </w:rPr>
            </w:r>
            <w:r>
              <w:rPr>
                <w:rFonts w:ascii="Calibri" w:hAnsi="Calibri"/>
                <w:b w:val="0"/>
                <w:color w:val="000000"/>
                <w:sz w:val="18"/>
              </w:rPr>
              <w:t>Requested</w:t>
            </w:r>
          </w:p>
        </w:tc>
        <w:tc>
          <w:tcPr>
            <w:tcW w:type="dxa" w:w="4320"/>
          </w:tcPr>
          <w:p>
            <w:r>
              <w:rPr>
                <w:rFonts w:ascii="Calibri" w:hAnsi="Calibri"/>
                <w:color w:val="000000"/>
                <w:sz w:val="18"/>
              </w:rPr>
            </w:r>
            <w:r>
              <w:rPr>
                <w:rFonts w:ascii="Calibri" w:hAnsi="Calibri"/>
                <w:b w:val="0"/>
                <w:color w:val="000000"/>
                <w:sz w:val="18"/>
              </w:rPr>
              <w:t>Total requested demand for this ExCo leader's organisations</w:t>
            </w:r>
          </w:p>
        </w:tc>
      </w:tr>
      <w:tr>
        <w:trPr>
          <w:cantSplit/>
        </w:trPr>
        <w:tc>
          <w:tcPr>
            <w:tcW w:type="dxa" w:w="4320"/>
            <w:shd w:val="clear" w:color="auto" w:fill="F0F4F8"/>
          </w:tcPr>
          <w:p>
            <w:r>
              <w:rPr>
                <w:rFonts w:ascii="Calibri" w:hAnsi="Calibri"/>
                <w:color w:val="000000"/>
                <w:sz w:val="18"/>
              </w:rPr>
            </w:r>
            <w:r>
              <w:rPr>
                <w:rFonts w:ascii="Calibri" w:hAnsi="Calibri"/>
                <w:b w:val="0"/>
                <w:color w:val="000000"/>
                <w:sz w:val="18"/>
              </w:rPr>
              <w:t>Funded</w:t>
            </w:r>
          </w:p>
        </w:tc>
        <w:tc>
          <w:tcPr>
            <w:tcW w:type="dxa" w:w="4320"/>
            <w:shd w:val="clear" w:color="auto" w:fill="F0F4F8"/>
          </w:tcPr>
          <w:p>
            <w:r>
              <w:rPr>
                <w:rFonts w:ascii="Calibri" w:hAnsi="Calibri"/>
                <w:color w:val="000000"/>
                <w:sz w:val="18"/>
              </w:rPr>
            </w:r>
            <w:r>
              <w:rPr>
                <w:rFonts w:ascii="Calibri" w:hAnsi="Calibri"/>
                <w:b w:val="0"/>
                <w:color w:val="000000"/>
                <w:sz w:val="18"/>
              </w:rPr>
              <w:t>Currently funded amount from automatic prioritisation + manual overrides</w:t>
            </w:r>
          </w:p>
        </w:tc>
      </w:tr>
      <w:tr>
        <w:trPr>
          <w:cantSplit/>
        </w:trPr>
        <w:tc>
          <w:tcPr>
            <w:tcW w:type="dxa" w:w="4320"/>
          </w:tcPr>
          <w:p>
            <w:r>
              <w:rPr>
                <w:rFonts w:ascii="Calibri" w:hAnsi="Calibri"/>
                <w:color w:val="000000"/>
                <w:sz w:val="18"/>
              </w:rPr>
            </w:r>
            <w:r>
              <w:rPr>
                <w:rFonts w:ascii="Calibri" w:hAnsi="Calibri"/>
                <w:b w:val="0"/>
                <w:color w:val="000000"/>
                <w:sz w:val="18"/>
              </w:rPr>
              <w:t>Gap</w:t>
            </w:r>
          </w:p>
        </w:tc>
        <w:tc>
          <w:tcPr>
            <w:tcW w:type="dxa" w:w="4320"/>
          </w:tcPr>
          <w:p>
            <w:r>
              <w:rPr>
                <w:rFonts w:ascii="Calibri" w:hAnsi="Calibri"/>
                <w:color w:val="000000"/>
                <w:sz w:val="18"/>
              </w:rPr>
            </w:r>
            <w:r>
              <w:rPr>
                <w:rFonts w:ascii="Calibri" w:hAnsi="Calibri"/>
                <w:b w:val="0"/>
                <w:color w:val="000000"/>
                <w:sz w:val="18"/>
              </w:rPr>
              <w:t>Requested minus Funded</w:t>
            </w:r>
          </w:p>
        </w:tc>
      </w:tr>
      <w:tr>
        <w:trPr>
          <w:cantSplit/>
        </w:trPr>
        <w:tc>
          <w:tcPr>
            <w:tcW w:type="dxa" w:w="4320"/>
            <w:shd w:val="clear" w:color="auto" w:fill="F0F4F8"/>
          </w:tcPr>
          <w:p>
            <w:r>
              <w:rPr>
                <w:rFonts w:ascii="Calibri" w:hAnsi="Calibri"/>
                <w:color w:val="000000"/>
                <w:sz w:val="18"/>
              </w:rPr>
            </w:r>
            <w:r>
              <w:rPr>
                <w:rFonts w:ascii="Calibri" w:hAnsi="Calibri"/>
                <w:b w:val="0"/>
                <w:color w:val="000000"/>
                <w:sz w:val="18"/>
              </w:rPr>
              <w:t>% Funded</w:t>
            </w:r>
          </w:p>
        </w:tc>
        <w:tc>
          <w:tcPr>
            <w:tcW w:type="dxa" w:w="4320"/>
            <w:shd w:val="clear" w:color="auto" w:fill="F0F4F8"/>
          </w:tcPr>
          <w:p>
            <w:r>
              <w:rPr>
                <w:rFonts w:ascii="Calibri" w:hAnsi="Calibri"/>
                <w:color w:val="000000"/>
                <w:sz w:val="18"/>
              </w:rPr>
            </w:r>
            <w:r>
              <w:rPr>
                <w:rFonts w:ascii="Calibri" w:hAnsi="Calibri"/>
                <w:b w:val="0"/>
                <w:color w:val="000000"/>
                <w:sz w:val="18"/>
              </w:rPr>
              <w:t>Funded / Requested as percentage</w:t>
            </w:r>
          </w:p>
        </w:tc>
      </w:tr>
      <w:tr>
        <w:trPr>
          <w:cantSplit/>
        </w:trPr>
        <w:tc>
          <w:tcPr>
            <w:tcW w:type="dxa" w:w="4320"/>
          </w:tcPr>
          <w:p>
            <w:r>
              <w:rPr>
                <w:rFonts w:ascii="Calibri" w:hAnsi="Calibri"/>
                <w:color w:val="000000"/>
                <w:sz w:val="18"/>
              </w:rPr>
            </w:r>
            <w:r>
              <w:rPr>
                <w:rFonts w:ascii="Calibri" w:hAnsi="Calibri"/>
                <w:b w:val="0"/>
                <w:color w:val="000000"/>
                <w:sz w:val="18"/>
              </w:rPr>
              <w:t>Hard Ben</w:t>
            </w:r>
          </w:p>
        </w:tc>
        <w:tc>
          <w:tcPr>
            <w:tcW w:type="dxa" w:w="4320"/>
          </w:tcPr>
          <w:p>
            <w:r>
              <w:rPr>
                <w:rFonts w:ascii="Calibri" w:hAnsi="Calibri"/>
                <w:color w:val="000000"/>
                <w:sz w:val="18"/>
              </w:rPr>
              <w:t>Sum of Hard benefit amounts for funded Programs</w:t>
            </w:r>
            <w:r>
              <w:rPr>
                <w:rFonts w:ascii="Calibri" w:hAnsi="Calibri"/>
                <w:b w:val="0"/>
                <w:color w:val="000000"/>
                <w:sz w:val="18"/>
              </w:rPr>
            </w:r>
          </w:p>
        </w:tc>
      </w:tr>
      <w:tr>
        <w:trPr>
          <w:cantSplit/>
        </w:trPr>
        <w:tc>
          <w:tcPr>
            <w:tcW w:type="dxa" w:w="4320"/>
            <w:shd w:val="clear" w:color="auto" w:fill="F0F4F8"/>
          </w:tcPr>
          <w:p>
            <w:r>
              <w:rPr>
                <w:rFonts w:ascii="Calibri" w:hAnsi="Calibri"/>
                <w:color w:val="000000"/>
                <w:sz w:val="18"/>
              </w:rPr>
            </w:r>
            <w:r>
              <w:rPr>
                <w:rFonts w:ascii="Calibri" w:hAnsi="Calibri"/>
                <w:b w:val="0"/>
                <w:color w:val="000000"/>
                <w:sz w:val="18"/>
              </w:rPr>
              <w:t>Soft Ben</w:t>
            </w:r>
          </w:p>
        </w:tc>
        <w:tc>
          <w:tcPr>
            <w:tcW w:type="dxa" w:w="4320"/>
            <w:shd w:val="clear" w:color="auto" w:fill="F0F4F8"/>
          </w:tcPr>
          <w:p>
            <w:r>
              <w:rPr>
                <w:rFonts w:ascii="Calibri" w:hAnsi="Calibri"/>
                <w:color w:val="000000"/>
                <w:sz w:val="18"/>
              </w:rPr>
              <w:t>Sum of Soft benefit amounts for funded Programs</w:t>
            </w:r>
            <w:r>
              <w:rPr>
                <w:rFonts w:ascii="Calibri" w:hAnsi="Calibri"/>
                <w:b w:val="0"/>
                <w:color w:val="000000"/>
                <w:sz w:val="18"/>
              </w:rPr>
            </w:r>
          </w:p>
        </w:tc>
      </w:tr>
      <w:tr>
        <w:trPr>
          <w:cantSplit/>
        </w:trPr>
        <w:tc>
          <w:tcPr>
            <w:tcW w:type="dxa" w:w="4320"/>
          </w:tcPr>
          <w:p>
            <w:r>
              <w:rPr>
                <w:rFonts w:ascii="Calibri" w:hAnsi="Calibri"/>
                <w:color w:val="000000"/>
                <w:sz w:val="18"/>
              </w:rPr>
            </w:r>
            <w:r>
              <w:rPr>
                <w:rFonts w:ascii="Calibri" w:hAnsi="Calibri"/>
                <w:b w:val="0"/>
                <w:color w:val="000000"/>
                <w:sz w:val="18"/>
              </w:rPr>
              <w:t>Trade-off Budget</w:t>
            </w:r>
          </w:p>
        </w:tc>
        <w:tc>
          <w:tcPr>
            <w:tcW w:type="dxa" w:w="4320"/>
          </w:tcPr>
          <w:p>
            <w:r>
              <w:rPr>
                <w:rFonts w:ascii="Calibri" w:hAnsi="Calibri"/>
                <w:color w:val="000000"/>
                <w:sz w:val="18"/>
              </w:rPr>
            </w:r>
            <w:r>
              <w:rPr>
                <w:rFonts w:ascii="Calibri" w:hAnsi="Calibri"/>
                <w:b w:val="0"/>
                <w:color w:val="000000"/>
                <w:sz w:val="18"/>
              </w:rPr>
              <w:t>User input field: target funding amount for this leader</w:t>
            </w:r>
          </w:p>
        </w:tc>
      </w:tr>
      <w:tr>
        <w:trPr>
          <w:cantSplit/>
        </w:trPr>
        <w:tc>
          <w:tcPr>
            <w:tcW w:type="dxa" w:w="4320"/>
            <w:shd w:val="clear" w:color="auto" w:fill="F0F4F8"/>
          </w:tcPr>
          <w:p>
            <w:r>
              <w:rPr>
                <w:rFonts w:ascii="Calibri" w:hAnsi="Calibri"/>
                <w:color w:val="000000"/>
                <w:sz w:val="18"/>
              </w:rPr>
            </w:r>
            <w:r>
              <w:rPr>
                <w:rFonts w:ascii="Calibri" w:hAnsi="Calibri"/>
                <w:b w:val="0"/>
                <w:color w:val="000000"/>
                <w:sz w:val="18"/>
              </w:rPr>
              <w:t>Delta</w:t>
            </w:r>
          </w:p>
        </w:tc>
        <w:tc>
          <w:tcPr>
            <w:tcW w:type="dxa" w:w="4320"/>
            <w:shd w:val="clear" w:color="auto" w:fill="F0F4F8"/>
          </w:tcPr>
          <w:p>
            <w:r>
              <w:rPr>
                <w:rFonts w:ascii="Calibri" w:hAnsi="Calibri"/>
                <w:color w:val="000000"/>
                <w:sz w:val="18"/>
              </w:rPr>
            </w:r>
            <w:r>
              <w:rPr>
                <w:rFonts w:ascii="Calibri" w:hAnsi="Calibri"/>
                <w:b w:val="0"/>
                <w:color w:val="000000"/>
                <w:sz w:val="18"/>
              </w:rPr>
              <w:t>Trade-off Budget minus current Funded (positive = additional funding, negative = reduction)</w:t>
            </w:r>
          </w:p>
        </w:tc>
      </w:tr>
      <w:tr>
        <w:trPr>
          <w:cantSplit/>
        </w:trPr>
        <w:tc>
          <w:tcPr>
            <w:tcW w:type="dxa" w:w="4320"/>
          </w:tcPr>
          <w:p>
            <w:r>
              <w:rPr>
                <w:rFonts w:ascii="Calibri" w:hAnsi="Calibri"/>
                <w:color w:val="000000"/>
                <w:sz w:val="18"/>
              </w:rPr>
            </w:r>
            <w:r>
              <w:rPr>
                <w:rFonts w:ascii="Calibri" w:hAnsi="Calibri"/>
                <w:b w:val="0"/>
                <w:color w:val="000000"/>
                <w:sz w:val="18"/>
              </w:rPr>
              <w:t>Progs / Benefits impact</w:t>
            </w:r>
          </w:p>
        </w:tc>
        <w:tc>
          <w:tcPr>
            <w:tcW w:type="dxa" w:w="4320"/>
          </w:tcPr>
          <w:p>
            <w:r>
              <w:rPr>
                <w:rFonts w:ascii="Calibri" w:hAnsi="Calibri"/>
                <w:color w:val="000000"/>
                <w:sz w:val="18"/>
              </w:rPr>
              <w:t>Programs count + Hard/Soft benefit M€ that would be added or removed</w:t>
            </w:r>
            <w:r>
              <w:rPr>
                <w:rFonts w:ascii="Calibri" w:hAnsi="Calibri"/>
                <w:b w:val="0"/>
                <w:color w:val="000000"/>
                <w:sz w:val="18"/>
              </w:rPr>
            </w:r>
          </w:p>
        </w:tc>
      </w:tr>
    </w:tbl>
    <w:p/>
    <w:p>
      <w:pPr>
        <w:pStyle w:val="Heading2"/>
      </w:pPr>
      <w:r>
        <w:rPr>
          <w:rFonts w:ascii="Calibri" w:hAnsi="Calibri"/>
          <w:color w:val="000000"/>
        </w:rPr>
        <w:t>5.3 Apply and Reset</w:t>
      </w:r>
    </w:p>
    <w:p>
      <w:pPr>
        <w:pStyle w:val="ListBullet"/>
      </w:pPr>
      <w:r>
        <w:rPr>
          <w:rFonts w:ascii="Calibri" w:hAnsi="Calibri"/>
          <w:b w:val="0"/>
          <w:sz w:val="21"/>
        </w:rPr>
        <w:t>Apply button: includes/excludes P4 Programs by merit score ranking to match the entered trade-off budgets. Creates tracked decisions in the decision log. Does NOT modify Total AOP.</w:t>
      </w:r>
    </w:p>
    <w:p>
      <w:pPr>
        <w:pStyle w:val="ListBullet"/>
      </w:pPr>
      <w:r>
        <w:rPr>
          <w:rFonts w:ascii="Calibri" w:hAnsi="Calibri"/>
          <w:b w:val="0"/>
          <w:sz w:val="21"/>
        </w:rPr>
        <w:t>Reset button: clears all entered trade-off budget values in one click.</w:t>
      </w:r>
    </w:p>
    <w:p>
      <w:pPr>
        <w:pStyle w:val="ListBullet"/>
      </w:pPr>
      <w:r>
        <w:rPr>
          <w:rFonts w:ascii="Calibri" w:hAnsi="Calibri"/>
          <w:b w:val="0"/>
          <w:sz w:val="21"/>
        </w:rPr>
        <w:t>Negative trade-offs supported: entering a budget BELOW current funded amount models reductions. Lowest-merit P4 Programs are excluded. Delta shown in red.</w:t>
      </w:r>
    </w:p>
    <w:p>
      <w:pPr>
        <w:pStyle w:val="ListBullet"/>
      </w:pPr>
      <w:r>
        <w:rPr>
          <w:rFonts w:ascii="Calibri" w:hAnsi="Calibri"/>
          <w:b w:val="0"/>
          <w:sz w:val="21"/>
        </w:rPr>
        <w:t>Batched transact() calls used for Apply to avoid rendering issues.</w:t>
      </w:r>
    </w:p>
    <w:p>
      <w:pPr>
        <w:pStyle w:val="Heading2"/>
      </w:pPr>
      <w:r>
        <w:rPr>
          <w:rFonts w:ascii="Calibri" w:hAnsi="Calibri"/>
          <w:color w:val="000000"/>
        </w:rPr>
        <w:t>5.4 Filter interaction</w:t>
      </w:r>
    </w:p>
    <w:p>
      <w:r>
        <w:rPr>
          <w:rFonts w:ascii="Calibri" w:hAnsi="Calibri"/>
          <w:b w:val="0"/>
          <w:sz w:val="22"/>
        </w:rPr>
        <w:t>The trade-off cockpit receives filtered rows from the active tab filters (ExCo, Org, Platform, Funding Status, Type). Filter changes update the cockpit values in real time.</w:t>
      </w:r>
    </w:p>
    <w:p>
      <w:pPr>
        <w:pStyle w:val="Heading1"/>
      </w:pPr>
      <w:r>
        <w:rPr>
          <w:rFonts w:ascii="Calibri" w:hAnsi="Calibri"/>
          <w:color w:val="000000"/>
        </w:rPr>
        <w:t>6. Global ExCo Filter</w:t>
      </w:r>
    </w:p>
    <w:p>
      <w:r>
        <w:rPr>
          <w:rFonts w:ascii="Calibri" w:hAnsi="Calibri"/>
          <w:b w:val="0"/>
          <w:sz w:val="22"/>
        </w:rPr>
        <w:t>ExCo Leader is the first filter dropdown on all Programs tabs (Tabs 2, 3, 4, and Overview/Tab 6).</w:t>
      </w:r>
    </w:p>
    <w:p>
      <w:pPr>
        <w:pStyle w:val="Heading2"/>
      </w:pPr>
      <w:r>
        <w:rPr>
          <w:rFonts w:ascii="Calibri" w:hAnsi="Calibri"/>
          <w:color w:val="000000"/>
        </w:rPr>
        <w:t>6.1 Cascading behaviour</w:t>
      </w:r>
    </w:p>
    <w:p>
      <w:pPr>
        <w:pStyle w:val="ListBullet"/>
      </w:pPr>
      <w:r>
        <w:rPr>
          <w:rFonts w:ascii="Calibri" w:hAnsi="Calibri"/>
          <w:b w:val="0"/>
          <w:sz w:val="21"/>
        </w:rPr>
        <w:t>ExCo filter is the first in the cascade chain: ExCo -&gt; Org -&gt; Platform.</w:t>
      </w:r>
    </w:p>
    <w:p>
      <w:pPr>
        <w:pStyle w:val="ListBullet"/>
      </w:pPr>
      <w:r>
        <w:rPr>
          <w:rFonts w:ascii="Calibri" w:hAnsi="Calibri"/>
          <w:b w:val="0"/>
          <w:sz w:val="21"/>
        </w:rPr>
        <w:t>Selecting an ExCo leader narrows Organisation options to that leader's mapped orgs only.</w:t>
      </w:r>
    </w:p>
    <w:p>
      <w:pPr>
        <w:pStyle w:val="ListBullet"/>
      </w:pPr>
      <w:r>
        <w:rPr>
          <w:rFonts w:ascii="Calibri" w:hAnsi="Calibri"/>
          <w:b w:val="0"/>
          <w:sz w:val="21"/>
        </w:rPr>
        <w:t>Organisation selection further narrows Platform options.</w:t>
      </w:r>
    </w:p>
    <w:p>
      <w:pPr>
        <w:pStyle w:val="ListBullet"/>
      </w:pPr>
      <w:r>
        <w:rPr>
          <w:rFonts w:ascii="Calibri" w:hAnsi="Calibri"/>
          <w:b w:val="0"/>
          <w:sz w:val="21"/>
        </w:rPr>
        <w:t>AND logic with all other filters (Funding Status, Type, Investment Area, text search).</w:t>
      </w:r>
    </w:p>
    <w:p>
      <w:pPr>
        <w:pStyle w:val="Heading2"/>
      </w:pPr>
      <w:r>
        <w:rPr>
          <w:rFonts w:ascii="Calibri" w:hAnsi="Calibri"/>
          <w:color w:val="000000"/>
        </w:rPr>
        <w:t>6.2 Tabs affected</w:t>
      </w:r>
    </w:p>
    <w:p>
      <w:pPr>
        <w:pStyle w:val="ListBullet"/>
      </w:pPr>
      <w:r>
        <w:rPr>
          <w:rFonts w:ascii="Calibri" w:hAnsi="Calibri"/>
          <w:b w:val="0"/>
          <w:sz w:val="21"/>
        </w:rPr>
        <w:t>Tab 2: ExCo filter in Demand in Scenario table and Prioritized Programs filters.</w:t>
      </w:r>
    </w:p>
    <w:p>
      <w:pPr>
        <w:pStyle w:val="ListBullet"/>
      </w:pPr>
      <w:r>
        <w:rPr>
          <w:rFonts w:ascii="Calibri" w:hAnsi="Calibri"/>
          <w:b w:val="0"/>
          <w:sz w:val="21"/>
        </w:rPr>
        <w:t>Tab 3: ExCo filter in main filter bar.</w:t>
      </w:r>
    </w:p>
    <w:p>
      <w:pPr>
        <w:pStyle w:val="ListBullet"/>
      </w:pPr>
      <w:r>
        <w:rPr>
          <w:rFonts w:ascii="Calibri" w:hAnsi="Calibri"/>
          <w:b w:val="0"/>
          <w:sz w:val="21"/>
        </w:rPr>
        <w:t>Tab 4: ExCo filter in main filter bar.</w:t>
      </w:r>
    </w:p>
    <w:p>
      <w:pPr>
        <w:pStyle w:val="ListBullet"/>
      </w:pPr>
      <w:r>
        <w:rPr>
          <w:rFonts w:ascii="Calibri" w:hAnsi="Calibri"/>
          <w:b w:val="0"/>
          <w:sz w:val="21"/>
        </w:rPr>
        <w:t>Tab 6: ExCo filter in Overview filter bar.</w:t>
      </w:r>
    </w:p>
    <w:p>
      <w:pPr>
        <w:pStyle w:val="Heading1"/>
      </w:pPr>
      <w:r>
        <w:rPr>
          <w:rFonts w:ascii="Calibri" w:hAnsi="Calibri"/>
          <w:color w:val="000000"/>
        </w:rPr>
        <w:t>7. Bubble Chart</w:t>
      </w:r>
    </w:p>
    <w:p>
      <w:pPr>
        <w:pStyle w:val="Heading2"/>
      </w:pPr>
      <w:r>
        <w:rPr>
          <w:rFonts w:ascii="Calibri" w:hAnsi="Calibri"/>
          <w:color w:val="000000"/>
        </w:rPr>
        <w:t>7.1 Y-axis toggle</w:t>
      </w:r>
    </w:p>
    <w:p>
      <w:r>
        <w:rPr>
          <w:rFonts w:ascii="Calibri" w:hAnsi="Calibri"/>
          <w:b w:val="0"/>
          <w:sz w:val="22"/>
        </w:rPr>
        <w:t>Pill-style toggle switch (matching the Prioritised/Not Funded toggle design) replaces the previous dropdown selector.</w:t>
      </w:r>
    </w:p>
    <w:p>
      <w:pPr>
        <w:pStyle w:val="ListBullet"/>
      </w:pPr>
      <w:r>
        <w:rPr>
          <w:rFonts w:ascii="Calibri" w:hAnsi="Calibri"/>
          <w:b w:val="0"/>
          <w:sz w:val="21"/>
        </w:rPr>
        <w:t>Tabs 3 &amp; 4: toggle between "Requested (M€)" and "Hard Benefits (M€)" on the Y-axis.</w:t>
      </w:r>
    </w:p>
    <w:p>
      <w:pPr>
        <w:pStyle w:val="ListBullet"/>
      </w:pPr>
      <w:r>
        <w:rPr>
          <w:rFonts w:ascii="Calibri" w:hAnsi="Calibri"/>
          <w:b w:val="0"/>
          <w:sz w:val="21"/>
        </w:rPr>
        <w:t>Tab 6: toggle between "Prioritised (M€)" and "Hard Benefits (M€)".</w:t>
      </w:r>
    </w:p>
    <w:p>
      <w:pPr>
        <w:pStyle w:val="ListBullet"/>
      </w:pPr>
      <w:r>
        <w:rPr>
          <w:rFonts w:ascii="Calibri" w:hAnsi="Calibri"/>
          <w:b w:val="0"/>
          <w:sz w:val="21"/>
        </w:rPr>
        <w:t>Tab 2: no toggle (scenario tab retains median/merit reference values).</w:t>
      </w:r>
    </w:p>
    <w:p>
      <w:pPr>
        <w:pStyle w:val="ListBullet"/>
      </w:pPr>
      <w:r>
        <w:rPr>
          <w:rFonts w:ascii="Calibri" w:hAnsi="Calibri"/>
          <w:b w:val="0"/>
          <w:sz w:val="21"/>
        </w:rPr>
        <w:t>Toggle state is session-persistent.</w:t>
      </w:r>
    </w:p>
    <w:p>
      <w:pPr>
        <w:pStyle w:val="Heading2"/>
      </w:pPr>
      <w:r>
        <w:rPr>
          <w:rFonts w:ascii="Calibri" w:hAnsi="Calibri"/>
          <w:color w:val="000000"/>
        </w:rPr>
        <w:t>7.2 Legend</w:t>
      </w:r>
    </w:p>
    <w:p>
      <w:pPr>
        <w:pStyle w:val="ListBullet"/>
      </w:pPr>
      <w:r>
        <w:rPr>
          <w:rFonts w:ascii="Calibri" w:hAnsi="Calibri"/>
          <w:b w:val="0"/>
          <w:sz w:val="21"/>
        </w:rPr>
        <w:t>Legend moved from below chart to right-side panel.</w:t>
      </w:r>
    </w:p>
    <w:p>
      <w:pPr>
        <w:pStyle w:val="ListBullet"/>
      </w:pPr>
      <w:r>
        <w:rPr>
          <w:rFonts w:ascii="Calibri" w:hAnsi="Calibri"/>
          <w:b w:val="0"/>
          <w:sz w:val="21"/>
        </w:rPr>
        <w:t>Compact table format showing per-category aggregated M€ values.</w:t>
      </w:r>
    </w:p>
    <w:p>
      <w:pPr>
        <w:pStyle w:val="Heading2"/>
      </w:pPr>
      <w:r>
        <w:rPr>
          <w:rFonts w:ascii="Calibri" w:hAnsi="Calibri"/>
          <w:color w:val="000000"/>
        </w:rPr>
        <w:t>7.3 Summary line</w:t>
      </w:r>
    </w:p>
    <w:p>
      <w:r>
        <w:rPr>
          <w:rFonts w:ascii="Calibri" w:hAnsi="Calibri"/>
          <w:b w:val="0"/>
          <w:sz w:val="22"/>
        </w:rPr>
        <w:t>Displayed below the chart heading on Tabs 3, 4, and 6:</w:t>
      </w:r>
    </w:p>
    <w:p>
      <w:pPr>
        <w:pStyle w:val="ListBullet"/>
      </w:pPr>
      <w:r>
        <w:rPr>
          <w:rFonts w:ascii="Calibri" w:hAnsi="Calibri"/>
          <w:b w:val="0"/>
          <w:sz w:val="21"/>
        </w:rPr>
        <w:t>"X / Y Programs funded for a total N M€ / M M€ Prioritised AOP 2027 demand with a committed Impact of Z M€"</w:t>
      </w:r>
    </w:p>
    <w:p>
      <w:pPr>
        <w:pStyle w:val="ListBullet"/>
      </w:pPr>
      <w:r>
        <w:rPr>
          <w:rFonts w:ascii="Calibri" w:hAnsi="Calibri"/>
          <w:b w:val="0"/>
          <w:sz w:val="21"/>
        </w:rPr>
        <w:t>Committed impact text: "Committed: X Hard . Y Soft"</w:t>
      </w:r>
    </w:p>
    <w:p>
      <w:pPr>
        <w:pStyle w:val="ListBullet"/>
      </w:pPr>
      <w:r>
        <w:rPr>
          <w:rFonts w:ascii="Calibri" w:hAnsi="Calibri"/>
          <w:b w:val="0"/>
          <w:sz w:val="21"/>
        </w:rPr>
        <w:t>Summary refreshes on filter change.</w:t>
      </w:r>
    </w:p>
    <w:p>
      <w:pPr>
        <w:pStyle w:val="Heading2"/>
      </w:pPr>
      <w:r>
        <w:rPr>
          <w:rFonts w:ascii="Calibri" w:hAnsi="Calibri"/>
          <w:color w:val="000000"/>
        </w:rPr>
        <w:t>7.4 Median/merit text</w:t>
      </w:r>
    </w:p>
    <w:p>
      <w:r>
        <w:rPr>
          <w:rFonts w:ascii="Calibri" w:hAnsi="Calibri"/>
          <w:b w:val="0"/>
          <w:sz w:val="22"/>
        </w:rPr>
        <w:t>Removed from Tabs 3, 4, and 6. Retained on Tab 2 only.</w:t>
      </w:r>
    </w:p>
    <w:p>
      <w:pPr>
        <w:pStyle w:val="Heading1"/>
      </w:pPr>
      <w:r>
        <w:rPr>
          <w:rFonts w:ascii="Calibri" w:hAnsi="Calibri"/>
          <w:color w:val="000000"/>
        </w:rPr>
        <w:t>8. Demand in Scenario Table (Tab 2)</w:t>
      </w:r>
    </w:p>
    <w:p>
      <w:pPr>
        <w:pStyle w:val="Heading2"/>
      </w:pPr>
      <w:r>
        <w:rPr>
          <w:rFonts w:ascii="Calibri" w:hAnsi="Calibri"/>
          <w:color w:val="000000"/>
        </w:rPr>
        <w:t>8.1 Structure</w:t>
      </w:r>
    </w:p>
    <w:p>
      <w:r>
        <w:rPr>
          <w:rFonts w:ascii="Calibri" w:hAnsi="Calibri"/>
          <w:b w:val="0"/>
          <w:sz w:val="22"/>
        </w:rPr>
        <w:t>Merged table replacing the separate Demand Prioritized / Demand Not Funded sections. Positioned before the Funding Prioritization Gate.</w:t>
      </w:r>
    </w:p>
    <w:p>
      <w:pPr>
        <w:pStyle w:val="ListBullet"/>
      </w:pPr>
      <w:r>
        <w:rPr>
          <w:rFonts w:ascii="Calibri" w:hAnsi="Calibri"/>
          <w:b w:val="0"/>
          <w:sz w:val="21"/>
        </w:rPr>
        <w:t>Collapsible BURF organisation groups matching the Tabs 3/4 design pattern.</w:t>
      </w:r>
    </w:p>
    <w:p>
      <w:pPr>
        <w:pStyle w:val="ListBullet"/>
      </w:pPr>
      <w:r>
        <w:rPr>
          <w:rFonts w:ascii="Calibri" w:hAnsi="Calibri"/>
          <w:b w:val="0"/>
          <w:sz w:val="21"/>
        </w:rPr>
        <w:t>View-only: no editable fields.</w:t>
      </w:r>
    </w:p>
    <w:p>
      <w:pPr>
        <w:pStyle w:val="ListBullet"/>
      </w:pPr>
      <w:r>
        <w:rPr>
          <w:rFonts w:ascii="Calibri" w:hAnsi="Calibri"/>
          <w:b w:val="0"/>
          <w:sz w:val="21"/>
        </w:rPr>
        <w:t>9 matching columns consistent with EW/BU tables.</w:t>
      </w:r>
    </w:p>
    <w:p>
      <w:pPr>
        <w:pStyle w:val="Heading2"/>
      </w:pPr>
      <w:r>
        <w:rPr>
          <w:rFonts w:ascii="Calibri" w:hAnsi="Calibri"/>
          <w:color w:val="000000"/>
        </w:rPr>
        <w:t>8.2 Toggle switch</w:t>
      </w:r>
    </w:p>
    <w:p>
      <w:pPr>
        <w:pStyle w:val="ListBullet"/>
      </w:pPr>
      <w:r>
        <w:rPr>
          <w:rFonts w:ascii="Calibri" w:hAnsi="Calibri"/>
          <w:b w:val="0"/>
          <w:sz w:val="21"/>
        </w:rPr>
        <w:t>Pill-style slide switch for Prioritised / Not Funded views.</w:t>
      </w:r>
    </w:p>
    <w:p>
      <w:pPr>
        <w:pStyle w:val="ListBullet"/>
      </w:pPr>
      <w:r>
        <w:rPr>
          <w:rFonts w:ascii="Calibri" w:hAnsi="Calibri"/>
          <w:b w:val="0"/>
          <w:sz w:val="21"/>
        </w:rPr>
        <w:t>Prioritised is the default view.</w:t>
      </w:r>
    </w:p>
    <w:p>
      <w:pPr>
        <w:pStyle w:val="ListBullet"/>
      </w:pPr>
      <w:r>
        <w:rPr>
          <w:rFonts w:ascii="Calibri" w:hAnsi="Calibri"/>
          <w:b w:val="0"/>
          <w:sz w:val="21"/>
        </w:rPr>
        <w:t>Teal/blue active state.</w:t>
      </w:r>
    </w:p>
    <w:p>
      <w:pPr>
        <w:pStyle w:val="Heading2"/>
      </w:pPr>
      <w:r>
        <w:rPr>
          <w:rFonts w:ascii="Calibri" w:hAnsi="Calibri"/>
          <w:color w:val="000000"/>
        </w:rPr>
        <w:t>8.3 Filters</w:t>
      </w:r>
    </w:p>
    <w:p>
      <w:pPr>
        <w:pStyle w:val="ListBullet"/>
      </w:pPr>
      <w:r>
        <w:rPr>
          <w:rFonts w:ascii="Calibri" w:hAnsi="Calibri"/>
          <w:b w:val="0"/>
          <w:sz w:val="21"/>
        </w:rPr>
        <w:t>Cascading filters: ExCo Leader -&gt; Organisation -&gt; Platform.</w:t>
      </w:r>
    </w:p>
    <w:p>
      <w:pPr>
        <w:pStyle w:val="ListBullet"/>
      </w:pPr>
      <w:r>
        <w:rPr>
          <w:rFonts w:ascii="Calibri" w:hAnsi="Calibri"/>
          <w:b w:val="0"/>
          <w:sz w:val="21"/>
        </w:rPr>
        <w:t>ExCo narrows org options; org narrows platform options.</w:t>
      </w:r>
    </w:p>
    <w:p>
      <w:pPr>
        <w:pStyle w:val="ListBullet"/>
      </w:pPr>
      <w:r>
        <w:rPr>
          <w:rFonts w:ascii="Calibri" w:hAnsi="Calibri"/>
          <w:b w:val="0"/>
          <w:sz w:val="21"/>
        </w:rPr>
        <w:t>Total row with filtered/unfiltered counts.</w:t>
      </w:r>
    </w:p>
    <w:p>
      <w:pPr>
        <w:pStyle w:val="ListBullet"/>
      </w:pPr>
      <w:r>
        <w:rPr>
          <w:rFonts w:ascii="Calibri" w:hAnsi="Calibri"/>
          <w:b w:val="0"/>
          <w:sz w:val="21"/>
        </w:rPr>
        <w:t>Benefits total included in Total row.</w:t>
      </w:r>
    </w:p>
    <w:p>
      <w:pPr>
        <w:pStyle w:val="Heading1"/>
      </w:pPr>
      <w:r>
        <w:rPr>
          <w:rFonts w:ascii="Calibri" w:hAnsi="Calibri"/>
          <w:color w:val="000000"/>
        </w:rPr>
        <w:t>9. Tab-by-Tab Element Reference</w:t>
      </w:r>
    </w:p>
    <w:p>
      <w:pPr>
        <w:pStyle w:val="Heading2"/>
      </w:pPr>
      <w:r>
        <w:rPr>
          <w:rFonts w:ascii="Calibri" w:hAnsi="Calibri"/>
          <w:color w:val="000000"/>
        </w:rPr>
        <w:t>9.1 Tab 1 — Demand Overview</w:t>
      </w:r>
    </w:p>
    <w:p>
      <w:r>
        <w:rPr>
          <w:rFonts w:ascii="Calibri" w:hAnsi="Calibri"/>
          <w:b/>
          <w:sz w:val="20"/>
        </w:rPr>
        <w:t>KPI Tiles (single row of 5, repeat(5,1fr) grid):</w:t>
      </w:r>
    </w:p>
    <w:p>
      <w:pPr>
        <w:pStyle w:val="ListBullet"/>
      </w:pPr>
      <w:r>
        <w:rPr>
          <w:rFonts w:ascii="Calibri" w:hAnsi="Calibri"/>
          <w:b w:val="0"/>
          <w:sz w:val="21"/>
        </w:rPr>
        <w:t>Total IT AOP Demand (dark blue): Programs AOP + Operations AOP.</w:t>
      </w:r>
    </w:p>
    <w:p>
      <w:pPr>
        <w:pStyle w:val="ListBullet"/>
      </w:pPr>
      <w:r>
        <w:rPr>
          <w:rFonts w:ascii="Calibri" w:hAnsi="Calibri"/>
          <w:b w:val="0"/>
          <w:sz w:val="21"/>
        </w:rPr>
        <w:t>Programs Demand (white): count and M€.</w:t>
      </w:r>
    </w:p>
    <w:p>
      <w:pPr>
        <w:pStyle w:val="ListBullet"/>
      </w:pPr>
      <w:r>
        <w:rPr>
          <w:rFonts w:ascii="Calibri" w:hAnsi="Calibri"/>
          <w:b w:val="0"/>
          <w:sz w:val="21"/>
        </w:rPr>
        <w:t>Operations Demand (white): service count, pre-aligned.</w:t>
      </w:r>
    </w:p>
    <w:p>
      <w:pPr>
        <w:pStyle w:val="ListBullet"/>
      </w:pPr>
      <w:r>
        <w:rPr>
          <w:rFonts w:ascii="Calibri" w:hAnsi="Calibri"/>
          <w:b w:val="0"/>
          <w:sz w:val="21"/>
        </w:rPr>
        <w:t>Committed Benefits (white, no highlight): Hard number (blue, 22px) + "Hard" (black, 13px) on first line, Soft number (black, 22px) + "Soft M€" (black, 13px) on second line.</w:t>
      </w:r>
    </w:p>
    <w:p>
      <w:pPr>
        <w:pStyle w:val="ListBullet"/>
      </w:pPr>
      <w:r>
        <w:rPr>
          <w:rFonts w:ascii="Calibri" w:hAnsi="Calibri"/>
          <w:b w:val="0"/>
          <w:sz w:val="21"/>
        </w:rPr>
        <w:t>IT AOP 2026 (white): large number in blue, sub-text in black with Programs + Operations breakdown.</w:t>
      </w:r>
    </w:p>
    <w:p>
      <w:r>
        <w:rPr>
          <w:rFonts w:ascii="Calibri" w:hAnsi="Calibri"/>
          <w:b/>
          <w:sz w:val="20"/>
        </w:rPr>
        <w:t>Demand Split by ExCo:</w:t>
      </w:r>
    </w:p>
    <w:p>
      <w:pPr>
        <w:pStyle w:val="ListBullet"/>
      </w:pPr>
      <w:r>
        <w:rPr>
          <w:rFonts w:ascii="Calibri" w:hAnsi="Calibri"/>
          <w:b w:val="0"/>
          <w:sz w:val="21"/>
        </w:rPr>
        <w:t>Collapsible ExCo groups replacing flat organisation list.</w:t>
      </w:r>
    </w:p>
    <w:p>
      <w:pPr>
        <w:pStyle w:val="ListBullet"/>
      </w:pPr>
      <w:r>
        <w:rPr>
          <w:rFonts w:ascii="Calibri" w:hAnsi="Calibri"/>
          <w:b w:val="0"/>
          <w:sz w:val="21"/>
        </w:rPr>
        <w:t>Per-ExCo row: Programs count, requested M€, prioritised M€, gap M€, % funded, hard benefits, soft benefits, operations cost.</w:t>
      </w:r>
    </w:p>
    <w:p>
      <w:pPr>
        <w:pStyle w:val="ListBullet"/>
      </w:pPr>
      <w:r>
        <w:rPr>
          <w:rFonts w:ascii="Calibri" w:hAnsi="Calibri"/>
          <w:b w:val="0"/>
          <w:sz w:val="21"/>
        </w:rPr>
        <w:t>Click to expand constituent organisations. Colour-coded funding percentage.</w:t>
      </w:r>
    </w:p>
    <w:p>
      <w:pPr>
        <w:pStyle w:val="Heading2"/>
      </w:pPr>
      <w:r>
        <w:rPr>
          <w:rFonts w:ascii="Calibri" w:hAnsi="Calibri"/>
          <w:color w:val="000000"/>
        </w:rPr>
        <w:t>9.2 Tab 2 — Programs AOP Scenarios</w:t>
      </w:r>
    </w:p>
    <w:p>
      <w:r>
        <w:rPr>
          <w:rFonts w:ascii="Calibri" w:hAnsi="Calibri"/>
          <w:b/>
          <w:sz w:val="20"/>
        </w:rPr>
        <w:t>Section 1 — KPI Cards:</w:t>
      </w:r>
    </w:p>
    <w:p>
      <w:pPr>
        <w:pStyle w:val="ListBullet"/>
      </w:pPr>
      <w:r>
        <w:rPr>
          <w:rFonts w:ascii="Calibri" w:hAnsi="Calibri"/>
          <w:b w:val="0"/>
          <w:sz w:val="21"/>
        </w:rPr>
        <w:t>Allocated AOP (dark blue): M€ and % of Total AOP, funded count, Within/Over status, "On top off" indicator.</w:t>
      </w:r>
    </w:p>
    <w:p>
      <w:pPr>
        <w:pStyle w:val="ListBullet"/>
      </w:pPr>
      <w:r>
        <w:rPr>
          <w:rFonts w:ascii="Calibri" w:hAnsi="Calibri"/>
          <w:b w:val="0"/>
          <w:sz w:val="21"/>
        </w:rPr>
        <w:t>Initiatives Funded: count, partial scope count.</w:t>
      </w:r>
    </w:p>
    <w:p>
      <w:pPr>
        <w:pStyle w:val="ListBullet"/>
      </w:pPr>
      <w:r>
        <w:rPr>
          <w:rFonts w:ascii="Calibri" w:hAnsi="Calibri"/>
          <w:b w:val="0"/>
          <w:sz w:val="21"/>
        </w:rPr>
        <w:t>EW/BU Led Share: split M€ and %.</w:t>
      </w:r>
    </w:p>
    <w:p>
      <w:pPr>
        <w:pStyle w:val="ListBullet"/>
      </w:pPr>
      <w:r>
        <w:rPr>
          <w:rFonts w:ascii="Calibri" w:hAnsi="Calibri"/>
          <w:b w:val="0"/>
          <w:sz w:val="21"/>
        </w:rPr>
        <w:t>Open to Prioritisation or Over Total AOP: M€, variance text.</w:t>
      </w:r>
    </w:p>
    <w:p>
      <w:pPr>
        <w:pStyle w:val="ListBullet"/>
      </w:pPr>
      <w:r>
        <w:rPr>
          <w:rFonts w:ascii="Calibri" w:hAnsi="Calibri"/>
          <w:b w:val="0"/>
          <w:sz w:val="21"/>
        </w:rPr>
        <w:t>Demand Left Unfunded: M€, missing request count.</w:t>
      </w:r>
    </w:p>
    <w:p>
      <w:r>
        <w:rPr>
          <w:rFonts w:ascii="Calibri" w:hAnsi="Calibri"/>
          <w:b/>
          <w:sz w:val="20"/>
        </w:rPr>
        <w:t>Section 2 — Levers:</w:t>
      </w:r>
    </w:p>
    <w:p>
      <w:pPr>
        <w:pStyle w:val="ListBullet"/>
      </w:pPr>
      <w:r>
        <w:rPr>
          <w:rFonts w:ascii="Calibri" w:hAnsi="Calibri"/>
          <w:b w:val="0"/>
          <w:sz w:val="21"/>
        </w:rPr>
        <w:t>Total AOP input field (manual edit only).</w:t>
      </w:r>
    </w:p>
    <w:p>
      <w:pPr>
        <w:pStyle w:val="ListBullet"/>
      </w:pPr>
      <w:r>
        <w:rPr>
          <w:rFonts w:ascii="Calibri" w:hAnsi="Calibri"/>
          <w:b w:val="0"/>
          <w:sz w:val="21"/>
        </w:rPr>
        <w:t>Four preset buttons: Optimal Segmentation (default, blue-highlighted), Protect Commitments, Balance Sustain and Value, Release Sustain Capacity.</w:t>
      </w:r>
    </w:p>
    <w:p>
      <w:pPr>
        <w:pStyle w:val="ListBullet"/>
      </w:pPr>
      <w:r>
        <w:rPr>
          <w:rFonts w:ascii="Calibri" w:hAnsi="Calibri"/>
          <w:b w:val="0"/>
          <w:sz w:val="21"/>
        </w:rPr>
        <w:t>Four lever cards in horizontal desktop layout (4-column grid). Each shows current allocation and fundable demand.</w:t>
      </w:r>
    </w:p>
    <w:p>
      <w:pPr>
        <w:pStyle w:val="ListBullet"/>
      </w:pPr>
      <w:r>
        <w:rPr>
          <w:rFonts w:ascii="Calibri" w:hAnsi="Calibri"/>
          <w:b w:val="0"/>
          <w:sz w:val="21"/>
        </w:rPr>
        <w:t>Lever 1 (Legal &amp; Compliance): Philips-style tick-mark slider.</w:t>
      </w:r>
    </w:p>
    <w:p>
      <w:pPr>
        <w:pStyle w:val="ListBullet"/>
      </w:pPr>
      <w:r>
        <w:rPr>
          <w:rFonts w:ascii="Calibri" w:hAnsi="Calibri"/>
          <w:b w:val="0"/>
          <w:sz w:val="21"/>
        </w:rPr>
        <w:t>Confirmed carry-over baseline cap; no ROI threshold.</w:t>
      </w:r>
    </w:p>
    <w:p>
      <w:pPr>
        <w:pStyle w:val="ListBullet"/>
      </w:pPr>
      <w:r>
        <w:rPr>
          <w:rFonts w:ascii="Calibri" w:hAnsi="Calibri"/>
          <w:b w:val="0"/>
          <w:sz w:val="21"/>
        </w:rPr>
        <w:t>Lever 3 (Sustain): basis toggle (% bucket / % AOP / M€).</w:t>
      </w:r>
    </w:p>
    <w:p>
      <w:pPr>
        <w:pStyle w:val="ListBullet"/>
      </w:pPr>
      <w:r>
        <w:rPr>
          <w:rFonts w:ascii="Calibri" w:hAnsi="Calibri"/>
          <w:b w:val="0"/>
          <w:sz w:val="21"/>
        </w:rPr>
        <w:t>Lever 4 (Value): basis toggle.</w:t>
      </w:r>
    </w:p>
    <w:p>
      <w:pPr>
        <w:pStyle w:val="ListBullet"/>
      </w:pPr>
      <w:r>
        <w:rPr>
          <w:rFonts w:ascii="Calibri" w:hAnsi="Calibri"/>
          <w:b w:val="0"/>
          <w:sz w:val="21"/>
        </w:rPr>
        <w:t>Allocation text centered on all levers, single-line nowrap.</w:t>
      </w:r>
    </w:p>
    <w:p>
      <w:r>
        <w:rPr>
          <w:rFonts w:ascii="Calibri" w:hAnsi="Calibri"/>
          <w:b/>
          <w:sz w:val="20"/>
        </w:rPr>
        <w:t>Section 3 — Demand in Scenario Table:</w:t>
      </w:r>
    </w:p>
    <w:p>
      <w:pPr>
        <w:pStyle w:val="ListBullet"/>
      </w:pPr>
      <w:r>
        <w:rPr>
          <w:rFonts w:ascii="Calibri" w:hAnsi="Calibri"/>
          <w:b w:val="0"/>
          <w:sz w:val="21"/>
        </w:rPr>
        <w:t>Collapsible BURF groups. Pill toggle: Prioritised / Not Funded.</w:t>
      </w:r>
    </w:p>
    <w:p>
      <w:pPr>
        <w:pStyle w:val="ListBullet"/>
      </w:pPr>
      <w:r>
        <w:rPr>
          <w:rFonts w:ascii="Calibri" w:hAnsi="Calibri"/>
          <w:b w:val="0"/>
          <w:sz w:val="21"/>
        </w:rPr>
        <w:t>Cascading ExCo -&gt; Org -&gt; Platform filters.</w:t>
      </w:r>
    </w:p>
    <w:p>
      <w:r>
        <w:rPr>
          <w:rFonts w:ascii="Calibri" w:hAnsi="Calibri"/>
          <w:b/>
          <w:sz w:val="20"/>
        </w:rPr>
        <w:t>Section 4 — Funding Prioritization Gate:</w:t>
      </w:r>
    </w:p>
    <w:p>
      <w:pPr>
        <w:pStyle w:val="ListBullet"/>
      </w:pPr>
      <w:r>
        <w:rPr>
          <w:rFonts w:ascii="Calibri" w:hAnsi="Calibri"/>
          <w:b w:val="0"/>
          <w:sz w:val="21"/>
        </w:rPr>
        <w:t>5 cards: Gate 0 + four priorities. Gate number and name inline. Bullet-list definitions at 10pt.</w:t>
      </w:r>
    </w:p>
    <w:p>
      <w:r>
        <w:rPr>
          <w:rFonts w:ascii="Calibri" w:hAnsi="Calibri"/>
          <w:b/>
          <w:sz w:val="20"/>
        </w:rPr>
        <w:t>Section 5 — Merit Score Framework:</w:t>
      </w:r>
    </w:p>
    <w:p>
      <w:pPr>
        <w:pStyle w:val="ListBullet"/>
      </w:pPr>
      <w:r>
        <w:rPr>
          <w:rFonts w:ascii="Calibri" w:hAnsi="Calibri"/>
          <w:b w:val="0"/>
          <w:sz w:val="21"/>
        </w:rPr>
        <w:t>5 component cards in single row (5-column grid).</w:t>
      </w:r>
    </w:p>
    <w:p>
      <w:pPr>
        <w:pStyle w:val="ListBullet"/>
      </w:pPr>
      <w:r>
        <w:rPr>
          <w:rFonts w:ascii="Calibri" w:hAnsi="Calibri"/>
          <w:b w:val="0"/>
          <w:sz w:val="21"/>
        </w:rPr>
        <w:t>Components: Benefit Strength (40%), Submitted Priority (25%), Captured Consequence (15%), Decision Band (10%), Payback Period (10%).</w:t>
      </w:r>
    </w:p>
    <w:p>
      <w:r>
        <w:rPr>
          <w:rFonts w:ascii="Calibri" w:hAnsi="Calibri"/>
          <w:b/>
          <w:sz w:val="20"/>
        </w:rPr>
        <w:t>Section 6 — Decision Log:</w:t>
      </w:r>
    </w:p>
    <w:p>
      <w:pPr>
        <w:pStyle w:val="ListBullet"/>
      </w:pPr>
      <w:r>
        <w:rPr>
          <w:rFonts w:ascii="Calibri" w:hAnsi="Calibri"/>
          <w:b w:val="0"/>
          <w:sz w:val="21"/>
        </w:rPr>
        <w:t>3 columns: Revision/Time, Change Origin, Change Details (business-readable 1-liner).</w:t>
      </w:r>
    </w:p>
    <w:p>
      <w:pPr>
        <w:pStyle w:val="Heading2"/>
      </w:pPr>
      <w:r>
        <w:rPr>
          <w:rFonts w:ascii="Calibri" w:hAnsi="Calibri"/>
          <w:color w:val="000000"/>
        </w:rPr>
        <w:t>9.3 Tab 3 — Functions &amp; Regions</w:t>
      </w:r>
    </w:p>
    <w:p>
      <w:r>
        <w:rPr>
          <w:rFonts w:ascii="Calibri" w:hAnsi="Calibri"/>
          <w:b/>
          <w:sz w:val="20"/>
        </w:rPr>
        <w:t>Filter bar:</w:t>
      </w:r>
    </w:p>
    <w:p>
      <w:pPr>
        <w:pStyle w:val="ListBullet"/>
      </w:pPr>
      <w:r>
        <w:rPr>
          <w:rFonts w:ascii="Calibri" w:hAnsi="Calibri"/>
          <w:b w:val="0"/>
          <w:sz w:val="21"/>
        </w:rPr>
        <w:t>ExCo Leader, Organisation, Platform, New/Carryover/Sustain, Investment Area, Funding Status, text search.</w:t>
      </w:r>
    </w:p>
    <w:p>
      <w:r>
        <w:rPr>
          <w:rFonts w:ascii="Calibri" w:hAnsi="Calibri"/>
          <w:b/>
          <w:sz w:val="20"/>
        </w:rPr>
        <w:t>ExCo Trade-off Cockpit:</w:t>
      </w:r>
    </w:p>
    <w:p>
      <w:pPr>
        <w:pStyle w:val="ListBullet"/>
      </w:pPr>
      <w:r>
        <w:rPr>
          <w:rFonts w:ascii="Calibri" w:hAnsi="Calibri"/>
          <w:b w:val="0"/>
          <w:sz w:val="21"/>
        </w:rPr>
        <w:t>Below filter bar. Default closed. Per-ExCo leader: Requested, Funded, Gap, % Funded, Hard Ben, Soft Ben, Trade-off Budget, Delta, Progs/Benefits impact.</w:t>
      </w:r>
    </w:p>
    <w:p>
      <w:pPr>
        <w:pStyle w:val="ListBullet"/>
      </w:pPr>
      <w:r>
        <w:rPr>
          <w:rFonts w:ascii="Calibri" w:hAnsi="Calibri"/>
          <w:b w:val="0"/>
          <w:sz w:val="21"/>
        </w:rPr>
        <w:t>Apply and Reset buttons.</w:t>
      </w:r>
    </w:p>
    <w:p>
      <w:r>
        <w:rPr>
          <w:rFonts w:ascii="Calibri" w:hAnsi="Calibri"/>
          <w:b/>
          <w:sz w:val="20"/>
        </w:rPr>
        <w:t>KPI Tiles:</w:t>
      </w:r>
    </w:p>
    <w:p>
      <w:pPr>
        <w:pStyle w:val="ListBullet"/>
      </w:pPr>
      <w:r>
        <w:rPr>
          <w:rFonts w:ascii="Calibri" w:hAnsi="Calibri"/>
          <w:b w:val="0"/>
          <w:sz w:val="21"/>
        </w:rPr>
        <w:t>Committed Benefits: Hard (blue, 18px) + "Hard" (black, 12px) on first line, Soft (black, 18px) + "Soft M€" (black, 12px) on second line. White card, no coloured background.</w:t>
      </w:r>
    </w:p>
    <w:p>
      <w:pPr>
        <w:pStyle w:val="ListBullet"/>
      </w:pPr>
      <w:r>
        <w:rPr>
          <w:rFonts w:ascii="Calibri" w:hAnsi="Calibri"/>
          <w:b w:val="0"/>
          <w:sz w:val="21"/>
        </w:rPr>
        <w:t>"On top off AOP": delta between allocation and budget.</w:t>
      </w:r>
    </w:p>
    <w:p>
      <w:r>
        <w:rPr>
          <w:rFonts w:ascii="Calibri" w:hAnsi="Calibri"/>
          <w:b/>
          <w:sz w:val="20"/>
        </w:rPr>
        <w:t>Bubble Chart:</w:t>
      </w:r>
    </w:p>
    <w:p>
      <w:pPr>
        <w:pStyle w:val="ListBullet"/>
      </w:pPr>
      <w:r>
        <w:rPr>
          <w:rFonts w:ascii="Calibri" w:hAnsi="Calibri"/>
          <w:b w:val="0"/>
          <w:sz w:val="21"/>
        </w:rPr>
        <w:t>Y-axis pill toggle: Requested / Hard Benefits.</w:t>
      </w:r>
    </w:p>
    <w:p>
      <w:pPr>
        <w:pStyle w:val="ListBullet"/>
      </w:pPr>
      <w:r>
        <w:rPr>
          <w:rFonts w:ascii="Calibri" w:hAnsi="Calibri"/>
          <w:b w:val="0"/>
          <w:sz w:val="21"/>
        </w:rPr>
        <w:t>Legend: right-side panel with per-category M€.</w:t>
      </w:r>
    </w:p>
    <w:p>
      <w:pPr>
        <w:pStyle w:val="ListBullet"/>
      </w:pPr>
      <w:r>
        <w:rPr>
          <w:rFonts w:ascii="Calibri" w:hAnsi="Calibri"/>
          <w:b w:val="0"/>
          <w:sz w:val="21"/>
        </w:rPr>
        <w:t>Summary line below heading.</w:t>
      </w:r>
    </w:p>
    <w:p>
      <w:r>
        <w:rPr>
          <w:rFonts w:ascii="Calibri" w:hAnsi="Calibri"/>
          <w:b/>
          <w:sz w:val="20"/>
        </w:rPr>
        <w:t>Programs Table:</w:t>
      </w:r>
    </w:p>
    <w:p>
      <w:pPr>
        <w:pStyle w:val="ListBullet"/>
      </w:pPr>
      <w:r>
        <w:rPr>
          <w:rFonts w:ascii="Calibri" w:hAnsi="Calibri"/>
          <w:b w:val="0"/>
          <w:sz w:val="21"/>
        </w:rPr>
        <w:t>BURF summary rows collapsed by default. Editable allocation column.</w:t>
      </w:r>
    </w:p>
    <w:p>
      <w:pPr>
        <w:pStyle w:val="ListBullet"/>
      </w:pPr>
      <w:r>
        <w:rPr>
          <w:rFonts w:ascii="Calibri" w:hAnsi="Calibri"/>
          <w:b w:val="0"/>
          <w:sz w:val="21"/>
        </w:rPr>
        <w:t>Sticky first column and header.</w:t>
      </w:r>
    </w:p>
    <w:p>
      <w:pPr>
        <w:pStyle w:val="Heading2"/>
      </w:pPr>
      <w:r>
        <w:rPr>
          <w:rFonts w:ascii="Calibri" w:hAnsi="Calibri"/>
          <w:color w:val="000000"/>
        </w:rPr>
        <w:t>9.4 Tab 4 — BU Led</w:t>
      </w:r>
    </w:p>
    <w:p>
      <w:r>
        <w:rPr>
          <w:rFonts w:ascii="Calibri" w:hAnsi="Calibri"/>
          <w:b w:val="0"/>
          <w:sz w:val="22"/>
        </w:rPr>
        <w:t>Identical layout to Tab 3. Same ExCo Trade-off Cockpit, filters, chart, and table structure. Shares one scenario with Tab 3.</w:t>
      </w:r>
    </w:p>
    <w:p>
      <w:pPr>
        <w:pStyle w:val="Heading2"/>
      </w:pPr>
      <w:r>
        <w:rPr>
          <w:rFonts w:ascii="Calibri" w:hAnsi="Calibri"/>
          <w:color w:val="000000"/>
        </w:rPr>
        <w:t>9.5 Tab 5 — Operations</w:t>
      </w:r>
    </w:p>
    <w:p>
      <w:r>
        <w:rPr>
          <w:rFonts w:ascii="Calibri" w:hAnsi="Calibri"/>
          <w:b/>
          <w:sz w:val="20"/>
        </w:rPr>
        <w:t>KPI Tiles (6):</w:t>
      </w:r>
    </w:p>
    <w:p>
      <w:pPr>
        <w:pStyle w:val="ListBullet"/>
      </w:pPr>
      <w:r>
        <w:rPr>
          <w:rFonts w:ascii="Calibri" w:hAnsi="Calibri"/>
          <w:b w:val="0"/>
          <w:sz w:val="21"/>
        </w:rPr>
        <w:t>Total Operations 2027: 470.314463039 M€; 2026 run-rate: 470.667055448 M€; change: -0.352592410 M€.</w:t>
      </w:r>
    </w:p>
    <w:p>
      <w:pPr>
        <w:pStyle w:val="ListBullet"/>
      </w:pPr>
      <w:r>
        <w:rPr>
          <w:rFonts w:ascii="Calibri" w:hAnsi="Calibri"/>
          <w:b w:val="0"/>
          <w:sz w:val="21"/>
        </w:rPr>
        <w:t>Operations own consumption: 320.258096632 M€; Regions: 63.461385361 M€; Functions: 86.594981045 M€.</w:t>
      </w:r>
    </w:p>
    <w:p>
      <w:r>
        <w:rPr>
          <w:rFonts w:ascii="Calibri" w:hAnsi="Calibri"/>
          <w:b/>
          <w:sz w:val="20"/>
        </w:rPr>
        <w:t>TCO Table:</w:t>
      </w:r>
    </w:p>
    <w:p>
      <w:pPr>
        <w:pStyle w:val="ListBullet"/>
      </w:pPr>
      <w:r>
        <w:rPr>
          <w:rFonts w:ascii="Calibri" w:hAnsi="Calibri"/>
          <w:b w:val="0"/>
          <w:sz w:val="21"/>
        </w:rPr>
        <w:t>3-level collapsible hierarchy: BU Cluster -&gt; Sub-Organisation -&gt; Services.</w:t>
      </w:r>
    </w:p>
    <w:p>
      <w:pPr>
        <w:pStyle w:val="ListBullet"/>
      </w:pPr>
      <w:r>
        <w:rPr>
          <w:rFonts w:ascii="Calibri" w:hAnsi="Calibri"/>
          <w:b w:val="0"/>
          <w:sz w:val="21"/>
        </w:rPr>
        <w:t>Columns: Organisation, AOP2027 Costs M€, Own Consumption (M€|%), Regions to BU (M€|%), Functions &amp; CoEs (M€|%), Delta vs AOP2026 M€.</w:t>
      </w:r>
    </w:p>
    <w:p>
      <w:pPr>
        <w:pStyle w:val="ListBullet"/>
      </w:pPr>
      <w:r>
        <w:rPr>
          <w:rFonts w:ascii="Calibri" w:hAnsi="Calibri"/>
          <w:b w:val="0"/>
          <w:sz w:val="21"/>
        </w:rPr>
        <w:t>Delta colour: positive = red, negative = green.</w:t>
      </w:r>
    </w:p>
    <w:p>
      <w:pPr>
        <w:pStyle w:val="ListBullet"/>
      </w:pPr>
      <w:r>
        <w:rPr>
          <w:rFonts w:ascii="Calibri" w:hAnsi="Calibri"/>
          <w:b w:val="0"/>
          <w:sz w:val="21"/>
        </w:rPr>
        <w:t>Organisation and Platform filters with cascading counts. X of Y on total.</w:t>
      </w:r>
    </w:p>
    <w:p>
      <w:r>
        <w:rPr>
          <w:rFonts w:ascii="Calibri" w:hAnsi="Calibri"/>
          <w:b/>
          <w:sz w:val="20"/>
        </w:rPr>
        <w:t>Service Catalog:</w:t>
      </w:r>
    </w:p>
    <w:p>
      <w:pPr>
        <w:pStyle w:val="ListBullet"/>
      </w:pPr>
      <w:r>
        <w:rPr>
          <w:rFonts w:ascii="Calibri" w:hAnsi="Calibri"/>
          <w:b w:val="0"/>
          <w:sz w:val="21"/>
        </w:rPr>
        <w:t>Columns: Service ID, Service Name, Platform Name, AOP2027 Costs M€, AOP2026 Costs M€, Delta vs AOP2026 M€.</w:t>
      </w:r>
    </w:p>
    <w:p>
      <w:pPr>
        <w:pStyle w:val="ListBullet"/>
      </w:pPr>
      <w:r>
        <w:rPr>
          <w:rFonts w:ascii="Calibri" w:hAnsi="Calibri"/>
          <w:b w:val="0"/>
          <w:sz w:val="21"/>
        </w:rPr>
        <w:t>Delta colour: positive = red, negative = green.</w:t>
      </w:r>
    </w:p>
    <w:p>
      <w:pPr>
        <w:pStyle w:val="ListBullet"/>
      </w:pPr>
      <w:r>
        <w:rPr>
          <w:rFonts w:ascii="Calibri" w:hAnsi="Calibri"/>
          <w:b w:val="0"/>
          <w:sz w:val="21"/>
        </w:rPr>
        <w:t>Platform filter. X of Y on AOP2027 and AOP2026 totals when filtered.</w:t>
      </w:r>
    </w:p>
    <w:p>
      <w:pPr>
        <w:pStyle w:val="Heading2"/>
      </w:pPr>
      <w:r>
        <w:rPr>
          <w:rFonts w:ascii="Calibri" w:hAnsi="Calibri"/>
          <w:color w:val="000000"/>
        </w:rPr>
        <w:t>9.6 Tab 6 — AOP 2027 : One Portfolio</w:t>
      </w:r>
    </w:p>
    <w:p>
      <w:r>
        <w:rPr>
          <w:rFonts w:ascii="Calibri" w:hAnsi="Calibri"/>
          <w:b/>
          <w:sz w:val="20"/>
        </w:rPr>
        <w:t>KPI Tiles (5 in one row, repeat(5,1fr) grid):</w:t>
      </w:r>
    </w:p>
    <w:p>
      <w:pPr>
        <w:pStyle w:val="ListBullet"/>
      </w:pPr>
      <w:r>
        <w:rPr>
          <w:rFonts w:ascii="Calibri" w:hAnsi="Calibri"/>
          <w:b w:val="0"/>
          <w:sz w:val="21"/>
        </w:rPr>
        <w:t>Total IT AOP (dark blue): Programs AOP + Operations AOP.</w:t>
      </w:r>
    </w:p>
    <w:p>
      <w:pPr>
        <w:pStyle w:val="ListBullet"/>
      </w:pPr>
      <w:r>
        <w:rPr>
          <w:rFonts w:ascii="Calibri" w:hAnsi="Calibri"/>
          <w:b w:val="0"/>
          <w:sz w:val="21"/>
        </w:rPr>
        <w:t>Operations AOP (white): 470.314463 M€.</w:t>
      </w:r>
    </w:p>
    <w:p>
      <w:pPr>
        <w:pStyle w:val="ListBullet"/>
      </w:pPr>
      <w:r>
        <w:rPr>
          <w:rFonts w:ascii="Calibri" w:hAnsi="Calibri"/>
          <w:b w:val="0"/>
          <w:sz w:val="21"/>
        </w:rPr>
        <w:t>Prioritized Programs AOP: funded amount.</w:t>
      </w:r>
    </w:p>
    <w:p>
      <w:pPr>
        <w:pStyle w:val="ListBullet"/>
      </w:pPr>
      <w:r>
        <w:rPr>
          <w:rFonts w:ascii="Calibri" w:hAnsi="Calibri"/>
          <w:b w:val="0"/>
          <w:sz w:val="21"/>
        </w:rPr>
        <w:t>Split of Programs AOP: "F&amp;R X | BU Y M€" single-line format.</w:t>
      </w:r>
    </w:p>
    <w:p>
      <w:pPr>
        <w:pStyle w:val="ListBullet"/>
      </w:pPr>
      <w:r>
        <w:rPr>
          <w:rFonts w:ascii="Calibri" w:hAnsi="Calibri"/>
          <w:b w:val="0"/>
          <w:sz w:val="21"/>
        </w:rPr>
        <w:t>Committed Benefits: Hard/Soft split.</w:t>
      </w:r>
    </w:p>
    <w:p>
      <w:r>
        <w:rPr>
          <w:rFonts w:ascii="Calibri" w:hAnsi="Calibri"/>
          <w:b/>
          <w:sz w:val="20"/>
        </w:rPr>
        <w:t>Bubble Chart:</w:t>
      </w:r>
    </w:p>
    <w:p>
      <w:pPr>
        <w:pStyle w:val="ListBullet"/>
      </w:pPr>
      <w:r>
        <w:rPr>
          <w:rFonts w:ascii="Calibri" w:hAnsi="Calibri"/>
          <w:b w:val="0"/>
          <w:sz w:val="21"/>
        </w:rPr>
        <w:t>Y-axis pill toggle: Prioritised / Hard Benefits.</w:t>
      </w:r>
    </w:p>
    <w:p>
      <w:pPr>
        <w:pStyle w:val="ListBullet"/>
      </w:pPr>
      <w:r>
        <w:rPr>
          <w:rFonts w:ascii="Calibri" w:hAnsi="Calibri"/>
          <w:b w:val="0"/>
          <w:sz w:val="21"/>
        </w:rPr>
        <w:t>Legend: right-side panel.</w:t>
      </w:r>
    </w:p>
    <w:p>
      <w:pPr>
        <w:pStyle w:val="ListBullet"/>
      </w:pPr>
      <w:r>
        <w:rPr>
          <w:rFonts w:ascii="Calibri" w:hAnsi="Calibri"/>
          <w:b w:val="0"/>
          <w:sz w:val="21"/>
        </w:rPr>
        <w:t>Summary line: "X / Y Programs funded... Committed: X Hard . Y Soft".</w:t>
      </w:r>
    </w:p>
    <w:p>
      <w:r>
        <w:rPr>
          <w:rFonts w:ascii="Calibri" w:hAnsi="Calibri"/>
          <w:b/>
          <w:sz w:val="20"/>
        </w:rPr>
        <w:t>Buttons:</w:t>
      </w:r>
    </w:p>
    <w:p>
      <w:pPr>
        <w:pStyle w:val="ListBullet"/>
      </w:pPr>
      <w:r>
        <w:rPr>
          <w:rFonts w:ascii="Calibri" w:hAnsi="Calibri"/>
          <w:b w:val="0"/>
          <w:sz w:val="21"/>
        </w:rPr>
        <w:t>Finalise scenario: freezes revision.</w:t>
      </w:r>
    </w:p>
    <w:p>
      <w:pPr>
        <w:pStyle w:val="ListBullet"/>
      </w:pPr>
      <w:r>
        <w:rPr>
          <w:rFonts w:ascii="Calibri" w:hAnsi="Calibri"/>
          <w:b w:val="0"/>
          <w:sz w:val="21"/>
        </w:rPr>
        <w:t>New Working Version creates a draft fork with parent lineage, retaining settings, Programs decisions and evidence reviews.</w:t>
      </w:r>
    </w:p>
    <w:p>
      <w:pPr>
        <w:pStyle w:val="ListBullet"/>
      </w:pPr>
      <w:r>
        <w:rPr>
          <w:rFonts w:ascii="Calibri" w:hAnsi="Calibri"/>
          <w:b w:val="0"/>
          <w:sz w:val="21"/>
        </w:rPr>
        <w:t>Removed: "Export complete portfolio" and "Export portable scenario" buttons.</w:t>
      </w:r>
    </w:p>
    <w:p>
      <w:r>
        <w:rPr>
          <w:rFonts w:ascii="Calibri" w:hAnsi="Calibri"/>
          <w:b/>
          <w:sz w:val="20"/>
        </w:rPr>
        <w:t>Organisation IT Cost Allocation Table:</w:t>
      </w:r>
    </w:p>
    <w:p>
      <w:pPr>
        <w:pStyle w:val="ListBullet"/>
      </w:pPr>
      <w:r>
        <w:rPr>
          <w:rFonts w:ascii="Calibri" w:hAnsi="Calibri"/>
          <w:b w:val="0"/>
          <w:sz w:val="21"/>
        </w:rPr>
        <w:t>Seven BU clusters plus Unallocated and PMI. Columns separate Programs types, EW, Operations own/Regions/Functions, PMI and Total.</w:t>
      </w:r>
    </w:p>
    <w:p>
      <w:pPr>
        <w:pStyle w:val="ListBullet"/>
      </w:pPr>
      <w:r>
        <w:rPr>
          <w:rFonts w:ascii="Calibri" w:hAnsi="Calibri"/>
          <w:b w:val="0"/>
          <w:sz w:val="21"/>
        </w:rPr>
        <w:t>Allocation shows the entire scenario and labels this scope; source-accountability filters apply to the portfolio view.</w:t>
      </w:r>
    </w:p>
    <w:p>
      <w:pPr>
        <w:pStyle w:val="Heading1"/>
      </w:pPr>
      <w:r>
        <w:rPr>
          <w:rFonts w:ascii="Calibri" w:hAnsi="Calibri"/>
          <w:color w:val="000000"/>
        </w:rPr>
        <w:t>10. Prioritization Logic (v5.7.0)</w:t>
      </w:r>
    </w:p>
    <w:p>
      <w:pPr>
        <w:pStyle w:val="Heading2"/>
      </w:pPr>
      <w:r>
        <w:rPr>
          <w:rFonts w:ascii="Calibri" w:hAnsi="Calibri"/>
          <w:color w:val="000000"/>
        </w:rPr>
        <w:t>10.1 Four-Priority Funding Structure</w:t>
      </w:r>
    </w:p>
    <w:p>
      <w:r>
        <w:rPr>
          <w:rFonts w:ascii="Calibri" w:hAnsi="Calibri"/>
          <w:b w:val="0"/>
          <w:sz w:val="22"/>
        </w:rPr>
        <w:t>Every demand row is classified into exactly one of four priorities. Gate 0 checks evidence. Classification is deterministic and data-driven.</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cantSplit/>
          <w:tblHeader/>
        </w:trPr>
        <w:tc>
          <w:tcPr>
            <w:tcW w:type="dxa" w:w="1728"/>
            <w:shd w:val="clear" w:color="auto" w:fill="0B5ED7"/>
          </w:tcPr>
          <w:p>
            <w:r>
              <w:rPr>
                <w:rFonts w:ascii="Calibri" w:hAnsi="Calibri"/>
                <w:color w:val="FFFFFF"/>
                <w:sz w:val="18"/>
              </w:rPr>
              <w:t>Priority</w:t>
            </w:r>
          </w:p>
        </w:tc>
        <w:tc>
          <w:tcPr>
            <w:tcW w:type="dxa" w:w="1728"/>
            <w:shd w:val="clear" w:color="auto" w:fill="0B5ED7"/>
          </w:tcPr>
          <w:p>
            <w:r>
              <w:rPr>
                <w:rFonts w:ascii="Calibri" w:hAnsi="Calibri"/>
                <w:color w:val="FFFFFF"/>
                <w:sz w:val="18"/>
              </w:rPr>
              <w:t>Name</w:t>
            </w:r>
          </w:p>
        </w:tc>
        <w:tc>
          <w:tcPr>
            <w:tcW w:type="dxa" w:w="1728"/>
            <w:shd w:val="clear" w:color="auto" w:fill="0B5ED7"/>
          </w:tcPr>
          <w:p>
            <w:r>
              <w:rPr>
                <w:rFonts w:ascii="Calibri" w:hAnsi="Calibri"/>
                <w:color w:val="FFFFFF"/>
                <w:sz w:val="18"/>
              </w:rPr>
              <w:t>Classification</w:t>
            </w:r>
          </w:p>
        </w:tc>
        <w:tc>
          <w:tcPr>
            <w:tcW w:type="dxa" w:w="1728"/>
            <w:shd w:val="clear" w:color="auto" w:fill="0B5ED7"/>
          </w:tcPr>
          <w:p>
            <w:r>
              <w:rPr>
                <w:rFonts w:ascii="Calibri" w:hAnsi="Calibri"/>
                <w:color w:val="FFFFFF"/>
                <w:sz w:val="18"/>
              </w:rPr>
              <w:t>Funding order</w:t>
            </w:r>
          </w:p>
        </w:tc>
        <w:tc>
          <w:tcPr>
            <w:tcW w:type="dxa" w:w="1728"/>
            <w:shd w:val="clear" w:color="auto" w:fill="0B5ED7"/>
          </w:tcPr>
          <w:p>
            <w:r>
              <w:rPr>
                <w:rFonts w:ascii="Calibri" w:hAnsi="Calibri"/>
                <w:color w:val="FFFFFF"/>
                <w:sz w:val="18"/>
              </w:rPr>
              <w:t>Default demand M€</w:t>
            </w:r>
          </w:p>
        </w:tc>
      </w:tr>
      <w:tr>
        <w:trPr>
          <w:cantSplit/>
        </w:trPr>
        <w:tc>
          <w:tcPr>
            <w:tcW w:type="dxa" w:w="1728"/>
          </w:tcPr>
          <w:p>
            <w:r>
              <w:rPr>
                <w:rFonts w:ascii="Calibri" w:hAnsi="Calibri"/>
                <w:color w:val="000000"/>
                <w:sz w:val="18"/>
              </w:rPr>
              <w:t>P1</w:t>
            </w:r>
          </w:p>
        </w:tc>
        <w:tc>
          <w:tcPr>
            <w:tcW w:type="dxa" w:w="1728"/>
          </w:tcPr>
          <w:p>
            <w:r>
              <w:rPr>
                <w:rFonts w:ascii="Calibri" w:hAnsi="Calibri"/>
                <w:color w:val="000000"/>
                <w:sz w:val="18"/>
              </w:rPr>
              <w:t>Legal &amp; Compliance</w:t>
            </w:r>
          </w:p>
        </w:tc>
        <w:tc>
          <w:tcPr>
            <w:tcW w:type="dxa" w:w="1728"/>
          </w:tcPr>
          <w:p>
            <w:r>
              <w:rPr>
                <w:rFonts w:ascii="Calibri" w:hAnsi="Calibri"/>
                <w:color w:val="000000"/>
                <w:sz w:val="18"/>
              </w:rPr>
              <w:t>Compliance name/year evidence, must-do decision, or CCB exception</w:t>
            </w:r>
          </w:p>
        </w:tc>
        <w:tc>
          <w:tcPr>
            <w:tcW w:type="dxa" w:w="1728"/>
          </w:tcPr>
          <w:p>
            <w:r>
              <w:rPr>
                <w:rFonts w:ascii="Calibri" w:hAnsi="Calibri"/>
                <w:color w:val="000000"/>
                <w:sz w:val="18"/>
              </w:rPr>
              <w:t>Verified first; priority tier; merit</w:t>
            </w:r>
          </w:p>
        </w:tc>
        <w:tc>
          <w:tcPr>
            <w:tcW w:type="dxa" w:w="1728"/>
          </w:tcPr>
          <w:p>
            <w:r>
              <w:rPr>
                <w:rFonts w:ascii="Calibri" w:hAnsi="Calibri"/>
                <w:color w:val="000000"/>
                <w:sz w:val="18"/>
              </w:rPr>
              <w:t>53.136</w:t>
            </w:r>
          </w:p>
        </w:tc>
      </w:tr>
      <w:tr>
        <w:trPr>
          <w:cantSplit/>
        </w:trPr>
        <w:tc>
          <w:tcPr>
            <w:tcW w:type="dxa" w:w="1728"/>
            <w:shd w:val="clear" w:color="auto" w:fill="F0F4F8"/>
          </w:tcPr>
          <w:p>
            <w:r>
              <w:rPr>
                <w:rFonts w:ascii="Calibri" w:hAnsi="Calibri"/>
                <w:color w:val="000000"/>
                <w:sz w:val="18"/>
              </w:rPr>
              <w:t>P2</w:t>
            </w:r>
          </w:p>
        </w:tc>
        <w:tc>
          <w:tcPr>
            <w:tcW w:type="dxa" w:w="1728"/>
            <w:shd w:val="clear" w:color="auto" w:fill="F0F4F8"/>
          </w:tcPr>
          <w:p>
            <w:r>
              <w:rPr>
                <w:rFonts w:ascii="Calibri" w:hAnsi="Calibri"/>
                <w:color w:val="000000"/>
                <w:sz w:val="18"/>
              </w:rPr>
              <w:t>Carry Over</w:t>
            </w:r>
          </w:p>
        </w:tc>
        <w:tc>
          <w:tcPr>
            <w:tcW w:type="dxa" w:w="1728"/>
            <w:shd w:val="clear" w:color="auto" w:fill="F0F4F8"/>
          </w:tcPr>
          <w:p>
            <w:r>
              <w:rPr>
                <w:rFonts w:ascii="Calibri" w:hAnsi="Calibri"/>
                <w:color w:val="000000"/>
                <w:sz w:val="18"/>
              </w:rPr>
              <w:t>Carry Over demand; confirmed funding requires baseline &gt;0 and Must Do/Must Have</w:t>
            </w:r>
          </w:p>
        </w:tc>
        <w:tc>
          <w:tcPr>
            <w:tcW w:type="dxa" w:w="1728"/>
            <w:shd w:val="clear" w:color="auto" w:fill="F0F4F8"/>
          </w:tcPr>
          <w:p>
            <w:r>
              <w:rPr>
                <w:rFonts w:ascii="Calibri" w:hAnsi="Calibri"/>
                <w:color w:val="000000"/>
                <w:sz w:val="18"/>
              </w:rPr>
              <w:t>Confirmed first; baseline cap</w:t>
            </w:r>
          </w:p>
        </w:tc>
        <w:tc>
          <w:tcPr>
            <w:tcW w:type="dxa" w:w="1728"/>
            <w:shd w:val="clear" w:color="auto" w:fill="F0F4F8"/>
          </w:tcPr>
          <w:p>
            <w:r>
              <w:rPr>
                <w:rFonts w:ascii="Calibri" w:hAnsi="Calibri"/>
                <w:color w:val="000000"/>
                <w:sz w:val="18"/>
              </w:rPr>
              <w:t>107.5189</w:t>
            </w:r>
          </w:p>
        </w:tc>
      </w:tr>
      <w:tr>
        <w:trPr>
          <w:cantSplit/>
        </w:trPr>
        <w:tc>
          <w:tcPr>
            <w:tcW w:type="dxa" w:w="1728"/>
          </w:tcPr>
          <w:p>
            <w:r>
              <w:rPr>
                <w:rFonts w:ascii="Calibri" w:hAnsi="Calibri"/>
                <w:color w:val="000000"/>
                <w:sz w:val="18"/>
              </w:rPr>
              <w:t>P3</w:t>
            </w:r>
          </w:p>
        </w:tc>
        <w:tc>
          <w:tcPr>
            <w:tcW w:type="dxa" w:w="1728"/>
          </w:tcPr>
          <w:p>
            <w:r>
              <w:rPr>
                <w:rFonts w:ascii="Calibri" w:hAnsi="Calibri"/>
                <w:color w:val="000000"/>
                <w:sz w:val="18"/>
              </w:rPr>
              <w:t>Sustain &amp; Hygiene</w:t>
            </w:r>
          </w:p>
        </w:tc>
        <w:tc>
          <w:tcPr>
            <w:tcW w:type="dxa" w:w="1728"/>
          </w:tcPr>
          <w:p>
            <w:r>
              <w:rPr>
                <w:rFonts w:ascii="Calibri" w:hAnsi="Calibri"/>
                <w:color w:val="000000"/>
                <w:sz w:val="18"/>
              </w:rPr>
              <w:t>Change &amp; Sustain, Continuous Improvement or Upgrades &amp; Enhancements</w:t>
            </w:r>
          </w:p>
        </w:tc>
        <w:tc>
          <w:tcPr>
            <w:tcW w:type="dxa" w:w="1728"/>
          </w:tcPr>
          <w:p>
            <w:r>
              <w:rPr>
                <w:rFonts w:ascii="Calibri" w:hAnsi="Calibri"/>
                <w:color w:val="000000"/>
                <w:sz w:val="18"/>
              </w:rPr>
              <w:t>Change &amp; Sustain first; then merit</w:t>
            </w:r>
          </w:p>
        </w:tc>
        <w:tc>
          <w:tcPr>
            <w:tcW w:type="dxa" w:w="1728"/>
          </w:tcPr>
          <w:p>
            <w:r>
              <w:rPr>
                <w:rFonts w:ascii="Calibri" w:hAnsi="Calibri"/>
                <w:color w:val="000000"/>
                <w:sz w:val="18"/>
              </w:rPr>
              <w:t>34.367</w:t>
            </w:r>
          </w:p>
        </w:tc>
      </w:tr>
      <w:tr>
        <w:trPr>
          <w:cantSplit/>
        </w:trPr>
        <w:tc>
          <w:tcPr>
            <w:tcW w:type="dxa" w:w="1728"/>
            <w:shd w:val="clear" w:color="auto" w:fill="F0F4F8"/>
          </w:tcPr>
          <w:p>
            <w:r>
              <w:rPr>
                <w:rFonts w:ascii="Calibri" w:hAnsi="Calibri"/>
                <w:color w:val="000000"/>
                <w:sz w:val="18"/>
              </w:rPr>
              <w:t>P4</w:t>
            </w:r>
          </w:p>
        </w:tc>
        <w:tc>
          <w:tcPr>
            <w:tcW w:type="dxa" w:w="1728"/>
            <w:shd w:val="clear" w:color="auto" w:fill="F0F4F8"/>
          </w:tcPr>
          <w:p>
            <w:r>
              <w:rPr>
                <w:rFonts w:ascii="Calibri" w:hAnsi="Calibri"/>
                <w:color w:val="000000"/>
                <w:sz w:val="18"/>
              </w:rPr>
              <w:t>Value Based</w:t>
            </w:r>
          </w:p>
        </w:tc>
        <w:tc>
          <w:tcPr>
            <w:tcW w:type="dxa" w:w="1728"/>
            <w:shd w:val="clear" w:color="auto" w:fill="F0F4F8"/>
          </w:tcPr>
          <w:p>
            <w:r>
              <w:rPr>
                <w:rFonts w:ascii="Calibri" w:hAnsi="Calibri"/>
                <w:color w:val="000000"/>
                <w:sz w:val="18"/>
              </w:rPr>
              <w:t>Remaining Programs; IT Simplification may be separated as P5</w:t>
            </w:r>
          </w:p>
        </w:tc>
        <w:tc>
          <w:tcPr>
            <w:tcW w:type="dxa" w:w="1728"/>
            <w:shd w:val="clear" w:color="auto" w:fill="F0F4F8"/>
          </w:tcPr>
          <w:p>
            <w:r>
              <w:rPr>
                <w:rFonts w:ascii="Calibri" w:hAnsi="Calibri"/>
                <w:color w:val="000000"/>
                <w:sz w:val="18"/>
              </w:rPr>
              <w:t>Merit ranking</w:t>
            </w:r>
          </w:p>
        </w:tc>
        <w:tc>
          <w:tcPr>
            <w:tcW w:type="dxa" w:w="1728"/>
            <w:shd w:val="clear" w:color="auto" w:fill="F0F4F8"/>
          </w:tcPr>
          <w:p>
            <w:r>
              <w:rPr>
                <w:rFonts w:ascii="Calibri" w:hAnsi="Calibri"/>
                <w:color w:val="000000"/>
                <w:sz w:val="18"/>
              </w:rPr>
              <w:t>85.001</w:t>
            </w:r>
          </w:p>
        </w:tc>
      </w:tr>
    </w:tbl>
    <w:p/>
    <w:p>
      <w:pPr>
        <w:pStyle w:val="Heading2"/>
      </w:pPr>
      <w:r>
        <w:rPr>
          <w:rFonts w:ascii="Calibri" w:hAnsi="Calibri"/>
          <w:color w:val="000000"/>
        </w:rPr>
        <w:t>10.2 Evidence Gate 0</w:t>
      </w:r>
    </w:p>
    <w:p>
      <w:r>
        <w:rPr>
          <w:rFonts w:ascii="Calibri" w:hAnsi="Calibri"/>
          <w:b w:val="0"/>
          <w:sz w:val="22"/>
        </w:rPr>
        <w:t>Automatic eligibility retains source decision, condition, name, positive request and merit rules. Benefits alone do not create a hold. Carry Over requires a confirmed approved baseline.</w:t>
      </w:r>
    </w:p>
    <w:p>
      <w:pPr>
        <w:pStyle w:val="Heading2"/>
      </w:pPr>
      <w:r>
        <w:rPr>
          <w:rFonts w:ascii="Calibri" w:hAnsi="Calibri"/>
          <w:color w:val="000000"/>
        </w:rPr>
        <w:t>10.3 Funding Algorithm</w:t>
      </w:r>
    </w:p>
    <w:p>
      <w:pPr>
        <w:pStyle w:val="ListBullet"/>
      </w:pPr>
      <w:r>
        <w:rPr>
          <w:rFonts w:ascii="Calibri" w:hAnsi="Calibri"/>
          <w:b w:val="0"/>
          <w:sz w:val="21"/>
        </w:rPr>
        <w:t>Sort all rows by priority (P1-&gt;P4) then ranking within priority.</w:t>
      </w:r>
    </w:p>
    <w:p>
      <w:pPr>
        <w:pStyle w:val="ListBullet"/>
      </w:pPr>
      <w:r>
        <w:rPr>
          <w:rFonts w:ascii="Calibri" w:hAnsi="Calibri"/>
          <w:b w:val="0"/>
          <w:sz w:val="21"/>
        </w:rPr>
        <w:t>Fund each eligible row at full requested amount if stage and portfolio budgets have capacity.</w:t>
      </w:r>
    </w:p>
    <w:p>
      <w:pPr>
        <w:pStyle w:val="ListBullet"/>
      </w:pPr>
      <w:r>
        <w:rPr>
          <w:rFonts w:ascii="Calibri" w:hAnsi="Calibri"/>
          <w:b w:val="0"/>
          <w:sz w:val="21"/>
        </w:rPr>
        <w:t>Stage limit = target x (1 + tolerance/100). Portfolio limit = Total AOP x (1 + tolerance/100).</w:t>
      </w:r>
    </w:p>
    <w:p>
      <w:pPr>
        <w:pStyle w:val="ListBullet"/>
      </w:pPr>
      <w:r>
        <w:rPr>
          <w:rFonts w:ascii="Calibri" w:hAnsi="Calibri"/>
          <w:b w:val="0"/>
          <w:sz w:val="21"/>
        </w:rPr>
        <w:t>P2: fund at min(Requested, Carry Over Baselined), not full request.</w:t>
      </w:r>
    </w:p>
    <w:p>
      <w:pPr>
        <w:pStyle w:val="ListBullet"/>
      </w:pPr>
      <w:r>
        <w:rPr>
          <w:rFonts w:ascii="Calibri" w:hAnsi="Calibri"/>
          <w:b w:val="0"/>
          <w:sz w:val="21"/>
        </w:rPr>
        <w:t>Tolerance default: 0.0% (exact budget).</w:t>
      </w:r>
    </w:p>
    <w:p>
      <w:pPr>
        <w:pStyle w:val="ListBullet"/>
      </w:pPr>
      <w:r>
        <w:rPr>
          <w:rFonts w:ascii="Calibri" w:hAnsi="Calibri"/>
          <w:b w:val="0"/>
          <w:sz w:val="21"/>
        </w:rPr>
        <w:t>Manual overrides after automatic: additions additive; exclusions do not refill silently.</w:t>
      </w:r>
    </w:p>
    <w:p>
      <w:pPr>
        <w:pStyle w:val="Heading2"/>
      </w:pPr>
      <w:r>
        <w:rPr>
          <w:rFonts w:ascii="Calibri" w:hAnsi="Calibri"/>
          <w:color w:val="000000"/>
        </w:rPr>
        <w:t>10.4 Merit Scoring Framework (5 components)</w:t>
      </w:r>
    </w:p>
    <w:p>
      <w:r>
        <w:rPr>
          <w:rFonts w:ascii="Calibri" w:hAnsi="Calibri"/>
          <w:b w:val="0"/>
          <w:sz w:val="22"/>
        </w:rPr>
        <w:t>0-100 composite score. Formula: Score = sum(raw_i / max_i x weight_i). Weights must sum to 100.0.</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cantSplit/>
          <w:tblHeader/>
        </w:trPr>
        <w:tc>
          <w:tcPr>
            <w:tcW w:type="dxa" w:w="1728"/>
            <w:shd w:val="clear" w:color="auto" w:fill="0B5ED7"/>
          </w:tcPr>
          <w:p>
            <w:r>
              <w:rPr>
                <w:rFonts w:ascii="Calibri" w:hAnsi="Calibri"/>
                <w:color w:val="FFFFFF"/>
                <w:sz w:val="18"/>
              </w:rPr>
            </w:r>
            <w:r>
              <w:rPr>
                <w:rFonts w:ascii="Calibri" w:hAnsi="Calibri"/>
                <w:b/>
                <w:color w:val="FFFFFF"/>
                <w:sz w:val="18"/>
              </w:rPr>
              <w:t>#</w:t>
            </w:r>
          </w:p>
        </w:tc>
        <w:tc>
          <w:tcPr>
            <w:tcW w:type="dxa" w:w="1728"/>
            <w:shd w:val="clear" w:color="auto" w:fill="0B5ED7"/>
          </w:tcPr>
          <w:p>
            <w:r>
              <w:rPr>
                <w:rFonts w:ascii="Calibri" w:hAnsi="Calibri"/>
                <w:color w:val="FFFFFF"/>
                <w:sz w:val="18"/>
              </w:rPr>
            </w:r>
            <w:r>
              <w:rPr>
                <w:rFonts w:ascii="Calibri" w:hAnsi="Calibri"/>
                <w:b/>
                <w:color w:val="FFFFFF"/>
                <w:sz w:val="18"/>
              </w:rPr>
              <w:t>Component</w:t>
            </w:r>
          </w:p>
        </w:tc>
        <w:tc>
          <w:tcPr>
            <w:tcW w:type="dxa" w:w="1728"/>
            <w:shd w:val="clear" w:color="auto" w:fill="0B5ED7"/>
          </w:tcPr>
          <w:p>
            <w:r>
              <w:rPr>
                <w:rFonts w:ascii="Calibri" w:hAnsi="Calibri"/>
                <w:color w:val="FFFFFF"/>
                <w:sz w:val="18"/>
              </w:rPr>
            </w:r>
            <w:r>
              <w:rPr>
                <w:rFonts w:ascii="Calibri" w:hAnsi="Calibri"/>
                <w:b/>
                <w:color w:val="FFFFFF"/>
                <w:sz w:val="18"/>
              </w:rPr>
              <w:t>Max Raw</w:t>
            </w:r>
          </w:p>
        </w:tc>
        <w:tc>
          <w:tcPr>
            <w:tcW w:type="dxa" w:w="1728"/>
            <w:shd w:val="clear" w:color="auto" w:fill="0B5ED7"/>
          </w:tcPr>
          <w:p>
            <w:r>
              <w:rPr>
                <w:rFonts w:ascii="Calibri" w:hAnsi="Calibri"/>
                <w:color w:val="FFFFFF"/>
                <w:sz w:val="18"/>
              </w:rPr>
            </w:r>
            <w:r>
              <w:rPr>
                <w:rFonts w:ascii="Calibri" w:hAnsi="Calibri"/>
                <w:b/>
                <w:color w:val="FFFFFF"/>
                <w:sz w:val="18"/>
              </w:rPr>
              <w:t>Default Weight</w:t>
            </w:r>
          </w:p>
        </w:tc>
        <w:tc>
          <w:tcPr>
            <w:tcW w:type="dxa" w:w="1728"/>
            <w:shd w:val="clear" w:color="auto" w:fill="0B5ED7"/>
          </w:tcPr>
          <w:p>
            <w:r>
              <w:rPr>
                <w:rFonts w:ascii="Calibri" w:hAnsi="Calibri"/>
                <w:color w:val="FFFFFF"/>
                <w:sz w:val="18"/>
              </w:rPr>
            </w:r>
            <w:r>
              <w:rPr>
                <w:rFonts w:ascii="Calibri" w:hAnsi="Calibri"/>
                <w:b/>
                <w:color w:val="FFFFFF"/>
                <w:sz w:val="18"/>
              </w:rPr>
              <w:t>Source Field(s)</w:t>
            </w:r>
          </w:p>
        </w:tc>
      </w:tr>
      <w:tr>
        <w:trPr>
          <w:cantSplit/>
        </w:trPr>
        <w:tc>
          <w:tcPr>
            <w:tcW w:type="dxa" w:w="1728"/>
          </w:tcPr>
          <w:p>
            <w:r>
              <w:rPr>
                <w:rFonts w:ascii="Calibri" w:hAnsi="Calibri"/>
                <w:color w:val="000000"/>
                <w:sz w:val="18"/>
              </w:rPr>
            </w:r>
            <w:r>
              <w:rPr>
                <w:rFonts w:ascii="Calibri" w:hAnsi="Calibri"/>
                <w:b w:val="0"/>
                <w:color w:val="000000"/>
                <w:sz w:val="18"/>
              </w:rPr>
              <w:t>1</w:t>
            </w:r>
          </w:p>
        </w:tc>
        <w:tc>
          <w:tcPr>
            <w:tcW w:type="dxa" w:w="1728"/>
          </w:tcPr>
          <w:p>
            <w:r>
              <w:rPr>
                <w:rFonts w:ascii="Calibri" w:hAnsi="Calibri"/>
                <w:color w:val="000000"/>
                <w:sz w:val="18"/>
              </w:rPr>
            </w:r>
            <w:r>
              <w:rPr>
                <w:rFonts w:ascii="Calibri" w:hAnsi="Calibri"/>
                <w:b w:val="0"/>
                <w:color w:val="000000"/>
                <w:sz w:val="18"/>
              </w:rPr>
              <w:t>Benefit Strength</w:t>
            </w:r>
          </w:p>
        </w:tc>
        <w:tc>
          <w:tcPr>
            <w:tcW w:type="dxa" w:w="1728"/>
          </w:tcPr>
          <w:p>
            <w:r>
              <w:rPr>
                <w:rFonts w:ascii="Calibri" w:hAnsi="Calibri"/>
                <w:color w:val="000000"/>
                <w:sz w:val="18"/>
              </w:rPr>
            </w:r>
            <w:r>
              <w:rPr>
                <w:rFonts w:ascii="Calibri" w:hAnsi="Calibri"/>
                <w:b w:val="0"/>
                <w:color w:val="000000"/>
                <w:sz w:val="18"/>
              </w:rPr>
              <w:t>50 pts</w:t>
            </w:r>
          </w:p>
        </w:tc>
        <w:tc>
          <w:tcPr>
            <w:tcW w:type="dxa" w:w="1728"/>
          </w:tcPr>
          <w:p>
            <w:r>
              <w:rPr>
                <w:rFonts w:ascii="Calibri" w:hAnsi="Calibri"/>
                <w:color w:val="000000"/>
                <w:sz w:val="18"/>
              </w:rPr>
            </w:r>
            <w:r>
              <w:rPr>
                <w:rFonts w:ascii="Calibri" w:hAnsi="Calibri"/>
                <w:b w:val="0"/>
                <w:color w:val="000000"/>
                <w:sz w:val="18"/>
              </w:rPr>
              <w:t>40%</w:t>
            </w:r>
          </w:p>
        </w:tc>
        <w:tc>
          <w:tcPr>
            <w:tcW w:type="dxa" w:w="1728"/>
          </w:tcPr>
          <w:p>
            <w:r>
              <w:rPr>
                <w:rFonts w:ascii="Calibri" w:hAnsi="Calibri"/>
                <w:color w:val="000000"/>
                <w:sz w:val="18"/>
              </w:rPr>
            </w:r>
            <w:r>
              <w:rPr>
                <w:rFonts w:ascii="Calibri" w:hAnsi="Calibri"/>
                <w:b w:val="0"/>
                <w:color w:val="000000"/>
                <w:sz w:val="18"/>
              </w:rPr>
              <w:t>Quantified Benefits (K€); Quantified Benefits Details (text)</w:t>
            </w:r>
          </w:p>
        </w:tc>
      </w:tr>
      <w:tr>
        <w:trPr>
          <w:cantSplit/>
        </w:trPr>
        <w:tc>
          <w:tcPr>
            <w:tcW w:type="dxa" w:w="1728"/>
            <w:shd w:val="clear" w:color="auto" w:fill="F0F4F8"/>
          </w:tcPr>
          <w:p>
            <w:r>
              <w:rPr>
                <w:rFonts w:ascii="Calibri" w:hAnsi="Calibri"/>
                <w:color w:val="000000"/>
                <w:sz w:val="18"/>
              </w:rPr>
            </w:r>
            <w:r>
              <w:rPr>
                <w:rFonts w:ascii="Calibri" w:hAnsi="Calibri"/>
                <w:b w:val="0"/>
                <w:color w:val="000000"/>
                <w:sz w:val="18"/>
              </w:rPr>
              <w:t>2</w:t>
            </w:r>
          </w:p>
        </w:tc>
        <w:tc>
          <w:tcPr>
            <w:tcW w:type="dxa" w:w="1728"/>
            <w:shd w:val="clear" w:color="auto" w:fill="F0F4F8"/>
          </w:tcPr>
          <w:p>
            <w:r>
              <w:rPr>
                <w:rFonts w:ascii="Calibri" w:hAnsi="Calibri"/>
                <w:color w:val="000000"/>
                <w:sz w:val="18"/>
              </w:rPr>
            </w:r>
            <w:r>
              <w:rPr>
                <w:rFonts w:ascii="Calibri" w:hAnsi="Calibri"/>
                <w:b w:val="0"/>
                <w:color w:val="000000"/>
                <w:sz w:val="18"/>
              </w:rPr>
              <w:t>Submitted Priority</w:t>
            </w:r>
          </w:p>
        </w:tc>
        <w:tc>
          <w:tcPr>
            <w:tcW w:type="dxa" w:w="1728"/>
            <w:shd w:val="clear" w:color="auto" w:fill="F0F4F8"/>
          </w:tcPr>
          <w:p>
            <w:r>
              <w:rPr>
                <w:rFonts w:ascii="Calibri" w:hAnsi="Calibri"/>
                <w:color w:val="000000"/>
                <w:sz w:val="18"/>
              </w:rPr>
            </w:r>
            <w:r>
              <w:rPr>
                <w:rFonts w:ascii="Calibri" w:hAnsi="Calibri"/>
                <w:b w:val="0"/>
                <w:color w:val="000000"/>
                <w:sz w:val="18"/>
              </w:rPr>
              <w:t>25 pts</w:t>
            </w:r>
          </w:p>
        </w:tc>
        <w:tc>
          <w:tcPr>
            <w:tcW w:type="dxa" w:w="1728"/>
            <w:shd w:val="clear" w:color="auto" w:fill="F0F4F8"/>
          </w:tcPr>
          <w:p>
            <w:r>
              <w:rPr>
                <w:rFonts w:ascii="Calibri" w:hAnsi="Calibri"/>
                <w:color w:val="000000"/>
                <w:sz w:val="18"/>
              </w:rPr>
            </w:r>
            <w:r>
              <w:rPr>
                <w:rFonts w:ascii="Calibri" w:hAnsi="Calibri"/>
                <w:b w:val="0"/>
                <w:color w:val="000000"/>
                <w:sz w:val="18"/>
              </w:rPr>
              <w:t>25%</w:t>
            </w:r>
          </w:p>
        </w:tc>
        <w:tc>
          <w:tcPr>
            <w:tcW w:type="dxa" w:w="1728"/>
            <w:shd w:val="clear" w:color="auto" w:fill="F0F4F8"/>
          </w:tcPr>
          <w:p>
            <w:r>
              <w:rPr>
                <w:rFonts w:ascii="Calibri" w:hAnsi="Calibri"/>
                <w:color w:val="000000"/>
                <w:sz w:val="18"/>
              </w:rPr>
            </w:r>
            <w:r>
              <w:rPr>
                <w:rFonts w:ascii="Calibri" w:hAnsi="Calibri"/>
                <w:b w:val="0"/>
                <w:color w:val="000000"/>
                <w:sz w:val="18"/>
              </w:rPr>
              <w:t>Priority column</w:t>
            </w:r>
          </w:p>
        </w:tc>
      </w:tr>
      <w:tr>
        <w:trPr>
          <w:cantSplit/>
        </w:trPr>
        <w:tc>
          <w:tcPr>
            <w:tcW w:type="dxa" w:w="1728"/>
          </w:tcPr>
          <w:p>
            <w:r>
              <w:rPr>
                <w:rFonts w:ascii="Calibri" w:hAnsi="Calibri"/>
                <w:color w:val="000000"/>
                <w:sz w:val="18"/>
              </w:rPr>
            </w:r>
            <w:r>
              <w:rPr>
                <w:rFonts w:ascii="Calibri" w:hAnsi="Calibri"/>
                <w:b w:val="0"/>
                <w:color w:val="000000"/>
                <w:sz w:val="18"/>
              </w:rPr>
              <w:t>3</w:t>
            </w:r>
          </w:p>
        </w:tc>
        <w:tc>
          <w:tcPr>
            <w:tcW w:type="dxa" w:w="1728"/>
          </w:tcPr>
          <w:p>
            <w:r>
              <w:rPr>
                <w:rFonts w:ascii="Calibri" w:hAnsi="Calibri"/>
                <w:color w:val="000000"/>
                <w:sz w:val="18"/>
              </w:rPr>
            </w:r>
            <w:r>
              <w:rPr>
                <w:rFonts w:ascii="Calibri" w:hAnsi="Calibri"/>
                <w:b w:val="0"/>
                <w:color w:val="000000"/>
                <w:sz w:val="18"/>
              </w:rPr>
              <w:t>Captured Consequence</w:t>
            </w:r>
          </w:p>
        </w:tc>
        <w:tc>
          <w:tcPr>
            <w:tcW w:type="dxa" w:w="1728"/>
          </w:tcPr>
          <w:p>
            <w:r>
              <w:rPr>
                <w:rFonts w:ascii="Calibri" w:hAnsi="Calibri"/>
                <w:color w:val="000000"/>
                <w:sz w:val="18"/>
              </w:rPr>
            </w:r>
            <w:r>
              <w:rPr>
                <w:rFonts w:ascii="Calibri" w:hAnsi="Calibri"/>
                <w:b w:val="0"/>
                <w:color w:val="000000"/>
                <w:sz w:val="18"/>
              </w:rPr>
              <w:t>15 pts</w:t>
            </w:r>
          </w:p>
        </w:tc>
        <w:tc>
          <w:tcPr>
            <w:tcW w:type="dxa" w:w="1728"/>
          </w:tcPr>
          <w:p>
            <w:r>
              <w:rPr>
                <w:rFonts w:ascii="Calibri" w:hAnsi="Calibri"/>
                <w:color w:val="000000"/>
                <w:sz w:val="18"/>
              </w:rPr>
            </w:r>
            <w:r>
              <w:rPr>
                <w:rFonts w:ascii="Calibri" w:hAnsi="Calibri"/>
                <w:b w:val="0"/>
                <w:color w:val="000000"/>
                <w:sz w:val="18"/>
              </w:rPr>
              <w:t>15%</w:t>
            </w:r>
          </w:p>
        </w:tc>
        <w:tc>
          <w:tcPr>
            <w:tcW w:type="dxa" w:w="1728"/>
          </w:tcPr>
          <w:p>
            <w:r>
              <w:rPr>
                <w:rFonts w:ascii="Calibri" w:hAnsi="Calibri"/>
                <w:color w:val="000000"/>
                <w:sz w:val="18"/>
              </w:rPr>
            </w:r>
            <w:r>
              <w:rPr>
                <w:rFonts w:ascii="Calibri" w:hAnsi="Calibri"/>
                <w:b w:val="0"/>
                <w:color w:val="000000"/>
                <w:sz w:val="18"/>
              </w:rPr>
              <w:t>Impact and Cost of Not Doing; Problem Statement; Scope</w:t>
            </w:r>
          </w:p>
        </w:tc>
      </w:tr>
      <w:tr>
        <w:trPr>
          <w:cantSplit/>
        </w:trPr>
        <w:tc>
          <w:tcPr>
            <w:tcW w:type="dxa" w:w="1728"/>
            <w:shd w:val="clear" w:color="auto" w:fill="F0F4F8"/>
          </w:tcPr>
          <w:p>
            <w:r>
              <w:rPr>
                <w:rFonts w:ascii="Calibri" w:hAnsi="Calibri"/>
                <w:color w:val="000000"/>
                <w:sz w:val="18"/>
              </w:rPr>
            </w:r>
            <w:r>
              <w:rPr>
                <w:rFonts w:ascii="Calibri" w:hAnsi="Calibri"/>
                <w:b w:val="0"/>
                <w:color w:val="000000"/>
                <w:sz w:val="18"/>
              </w:rPr>
              <w:t>4</w:t>
            </w:r>
          </w:p>
        </w:tc>
        <w:tc>
          <w:tcPr>
            <w:tcW w:type="dxa" w:w="1728"/>
            <w:shd w:val="clear" w:color="auto" w:fill="F0F4F8"/>
          </w:tcPr>
          <w:p>
            <w:r>
              <w:rPr>
                <w:rFonts w:ascii="Calibri" w:hAnsi="Calibri"/>
                <w:color w:val="000000"/>
                <w:sz w:val="18"/>
              </w:rPr>
            </w:r>
            <w:r>
              <w:rPr>
                <w:rFonts w:ascii="Calibri" w:hAnsi="Calibri"/>
                <w:b w:val="0"/>
                <w:color w:val="000000"/>
                <w:sz w:val="18"/>
              </w:rPr>
              <w:t>Decision Band</w:t>
            </w:r>
          </w:p>
        </w:tc>
        <w:tc>
          <w:tcPr>
            <w:tcW w:type="dxa" w:w="1728"/>
            <w:shd w:val="clear" w:color="auto" w:fill="F0F4F8"/>
          </w:tcPr>
          <w:p>
            <w:r>
              <w:rPr>
                <w:rFonts w:ascii="Calibri" w:hAnsi="Calibri"/>
                <w:color w:val="000000"/>
                <w:sz w:val="18"/>
              </w:rPr>
            </w:r>
            <w:r>
              <w:rPr>
                <w:rFonts w:ascii="Calibri" w:hAnsi="Calibri"/>
                <w:b w:val="0"/>
                <w:color w:val="000000"/>
                <w:sz w:val="18"/>
              </w:rPr>
              <w:t>10 pts</w:t>
            </w:r>
          </w:p>
        </w:tc>
        <w:tc>
          <w:tcPr>
            <w:tcW w:type="dxa" w:w="1728"/>
            <w:shd w:val="clear" w:color="auto" w:fill="F0F4F8"/>
          </w:tcPr>
          <w:p>
            <w:r>
              <w:rPr>
                <w:rFonts w:ascii="Calibri" w:hAnsi="Calibri"/>
                <w:color w:val="000000"/>
                <w:sz w:val="18"/>
              </w:rPr>
            </w:r>
            <w:r>
              <w:rPr>
                <w:rFonts w:ascii="Calibri" w:hAnsi="Calibri"/>
                <w:b w:val="0"/>
                <w:color w:val="000000"/>
                <w:sz w:val="18"/>
              </w:rPr>
              <w:t>10%</w:t>
            </w:r>
          </w:p>
        </w:tc>
        <w:tc>
          <w:tcPr>
            <w:tcW w:type="dxa" w:w="1728"/>
            <w:shd w:val="clear" w:color="auto" w:fill="F0F4F8"/>
          </w:tcPr>
          <w:p>
            <w:r>
              <w:rPr>
                <w:rFonts w:ascii="Calibri" w:hAnsi="Calibri"/>
                <w:color w:val="000000"/>
                <w:sz w:val="18"/>
              </w:rPr>
            </w:r>
            <w:r>
              <w:rPr>
                <w:rFonts w:ascii="Calibri" w:hAnsi="Calibri"/>
                <w:b w:val="0"/>
                <w:color w:val="000000"/>
                <w:sz w:val="18"/>
              </w:rPr>
              <w:t>Decision Band / Waste band</w:t>
            </w:r>
          </w:p>
        </w:tc>
      </w:tr>
      <w:tr>
        <w:trPr>
          <w:cantSplit/>
        </w:trPr>
        <w:tc>
          <w:tcPr>
            <w:tcW w:type="dxa" w:w="1728"/>
          </w:tcPr>
          <w:p>
            <w:r>
              <w:rPr>
                <w:rFonts w:ascii="Calibri" w:hAnsi="Calibri"/>
                <w:color w:val="000000"/>
                <w:sz w:val="18"/>
              </w:rPr>
            </w:r>
            <w:r>
              <w:rPr>
                <w:rFonts w:ascii="Calibri" w:hAnsi="Calibri"/>
                <w:b w:val="0"/>
                <w:color w:val="000000"/>
                <w:sz w:val="18"/>
              </w:rPr>
              <w:t>5</w:t>
            </w:r>
          </w:p>
        </w:tc>
        <w:tc>
          <w:tcPr>
            <w:tcW w:type="dxa" w:w="1728"/>
          </w:tcPr>
          <w:p>
            <w:r>
              <w:rPr>
                <w:rFonts w:ascii="Calibri" w:hAnsi="Calibri"/>
                <w:color w:val="000000"/>
                <w:sz w:val="18"/>
              </w:rPr>
            </w:r>
            <w:r>
              <w:rPr>
                <w:rFonts w:ascii="Calibri" w:hAnsi="Calibri"/>
                <w:b w:val="0"/>
                <w:color w:val="000000"/>
                <w:sz w:val="18"/>
              </w:rPr>
              <w:t>Payback Period</w:t>
            </w:r>
          </w:p>
        </w:tc>
        <w:tc>
          <w:tcPr>
            <w:tcW w:type="dxa" w:w="1728"/>
          </w:tcPr>
          <w:p>
            <w:r>
              <w:rPr>
                <w:rFonts w:ascii="Calibri" w:hAnsi="Calibri"/>
                <w:color w:val="000000"/>
                <w:sz w:val="18"/>
              </w:rPr>
            </w:r>
            <w:r>
              <w:rPr>
                <w:rFonts w:ascii="Calibri" w:hAnsi="Calibri"/>
                <w:b w:val="0"/>
                <w:color w:val="000000"/>
                <w:sz w:val="18"/>
              </w:rPr>
              <w:t>10 pts</w:t>
            </w:r>
          </w:p>
        </w:tc>
        <w:tc>
          <w:tcPr>
            <w:tcW w:type="dxa" w:w="1728"/>
          </w:tcPr>
          <w:p>
            <w:r>
              <w:rPr>
                <w:rFonts w:ascii="Calibri" w:hAnsi="Calibri"/>
                <w:color w:val="000000"/>
                <w:sz w:val="18"/>
              </w:rPr>
            </w:r>
            <w:r>
              <w:rPr>
                <w:rFonts w:ascii="Calibri" w:hAnsi="Calibri"/>
                <w:b w:val="0"/>
                <w:color w:val="000000"/>
                <w:sz w:val="18"/>
              </w:rPr>
              <w:t>10%</w:t>
            </w:r>
          </w:p>
        </w:tc>
        <w:tc>
          <w:tcPr>
            <w:tcW w:type="dxa" w:w="1728"/>
          </w:tcPr>
          <w:p>
            <w:r>
              <w:rPr>
                <w:rFonts w:ascii="Calibri" w:hAnsi="Calibri"/>
                <w:color w:val="000000"/>
                <w:sz w:val="18"/>
              </w:rPr>
            </w:r>
            <w:r>
              <w:rPr>
                <w:rFonts w:ascii="Calibri" w:hAnsi="Calibri"/>
                <w:b w:val="0"/>
                <w:color w:val="000000"/>
                <w:sz w:val="18"/>
              </w:rPr>
              <w:t>Payback Period column</w:t>
            </w:r>
          </w:p>
        </w:tc>
      </w:tr>
    </w:tbl>
    <w:p/>
    <w:p>
      <w:pPr>
        <w:pStyle w:val="Heading2"/>
      </w:pPr>
      <w:r>
        <w:rPr>
          <w:rFonts w:ascii="Calibri" w:hAnsi="Calibri"/>
          <w:color w:val="000000"/>
        </w:rPr>
        <w:t>10.5 Lever Controls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2160"/>
        <w:gridCol w:w="2160"/>
      </w:tblGrid>
      <w:tr>
        <w:trPr>
          <w:cantSplit/>
          <w:tblHeader/>
        </w:trPr>
        <w:tc>
          <w:tcPr>
            <w:tcW w:type="dxa" w:w="2160"/>
            <w:shd w:val="clear" w:color="auto" w:fill="0B5ED7"/>
          </w:tcPr>
          <w:p>
            <w:r>
              <w:rPr>
                <w:rFonts w:ascii="Calibri" w:hAnsi="Calibri"/>
                <w:color w:val="FFFFFF"/>
                <w:sz w:val="18"/>
              </w:rPr>
            </w:r>
            <w:r>
              <w:rPr>
                <w:rFonts w:ascii="Calibri" w:hAnsi="Calibri"/>
                <w:b/>
                <w:color w:val="FFFFFF"/>
                <w:sz w:val="18"/>
              </w:rPr>
              <w:t>Lever</w:t>
            </w:r>
          </w:p>
        </w:tc>
        <w:tc>
          <w:tcPr>
            <w:tcW w:type="dxa" w:w="2160"/>
            <w:shd w:val="clear" w:color="auto" w:fill="0B5ED7"/>
          </w:tcPr>
          <w:p>
            <w:r>
              <w:rPr>
                <w:rFonts w:ascii="Calibri" w:hAnsi="Calibri"/>
                <w:color w:val="FFFFFF"/>
                <w:sz w:val="18"/>
              </w:rPr>
            </w:r>
            <w:r>
              <w:rPr>
                <w:rFonts w:ascii="Calibri" w:hAnsi="Calibri"/>
                <w:b/>
                <w:color w:val="FFFFFF"/>
                <w:sz w:val="18"/>
              </w:rPr>
              <w:t>Priority</w:t>
            </w:r>
          </w:p>
        </w:tc>
        <w:tc>
          <w:tcPr>
            <w:tcW w:type="dxa" w:w="2160"/>
            <w:shd w:val="clear" w:color="auto" w:fill="0B5ED7"/>
          </w:tcPr>
          <w:p>
            <w:r>
              <w:rPr>
                <w:rFonts w:ascii="Calibri" w:hAnsi="Calibri"/>
                <w:color w:val="FFFFFF"/>
                <w:sz w:val="18"/>
              </w:rPr>
            </w:r>
            <w:r>
              <w:rPr>
                <w:rFonts w:ascii="Calibri" w:hAnsi="Calibri"/>
                <w:b/>
                <w:color w:val="FFFFFF"/>
                <w:sz w:val="18"/>
              </w:rPr>
              <w:t>Basis Options</w:t>
            </w:r>
          </w:p>
        </w:tc>
        <w:tc>
          <w:tcPr>
            <w:tcW w:type="dxa" w:w="2160"/>
            <w:shd w:val="clear" w:color="auto" w:fill="0B5ED7"/>
          </w:tcPr>
          <w:p>
            <w:r>
              <w:rPr>
                <w:rFonts w:ascii="Calibri" w:hAnsi="Calibri"/>
                <w:color w:val="FFFFFF"/>
                <w:sz w:val="18"/>
              </w:rPr>
            </w:r>
            <w:r>
              <w:rPr>
                <w:rFonts w:ascii="Calibri" w:hAnsi="Calibri"/>
                <w:b/>
                <w:color w:val="FFFFFF"/>
                <w:sz w:val="18"/>
              </w:rPr>
              <w:t>Default</w:t>
            </w:r>
          </w:p>
        </w:tc>
      </w:tr>
      <w:tr>
        <w:trPr>
          <w:cantSplit/>
        </w:trPr>
        <w:tc>
          <w:tcPr>
            <w:tcW w:type="dxa" w:w="2160"/>
          </w:tcPr>
          <w:p>
            <w:r>
              <w:rPr>
                <w:rFonts w:ascii="Calibri" w:hAnsi="Calibri"/>
                <w:color w:val="000000"/>
                <w:sz w:val="18"/>
              </w:rPr>
            </w:r>
            <w:r>
              <w:rPr>
                <w:rFonts w:ascii="Calibri" w:hAnsi="Calibri"/>
                <w:b w:val="0"/>
                <w:color w:val="000000"/>
                <w:sz w:val="18"/>
              </w:rPr>
              <w:t>1 . Legal &amp; Compliance</w:t>
            </w:r>
          </w:p>
        </w:tc>
        <w:tc>
          <w:tcPr>
            <w:tcW w:type="dxa" w:w="2160"/>
          </w:tcPr>
          <w:p>
            <w:r>
              <w:rPr>
                <w:rFonts w:ascii="Calibri" w:hAnsi="Calibri"/>
                <w:color w:val="000000"/>
                <w:sz w:val="18"/>
              </w:rPr>
            </w:r>
            <w:r>
              <w:rPr>
                <w:rFonts w:ascii="Calibri" w:hAnsi="Calibri"/>
                <w:b w:val="0"/>
                <w:color w:val="000000"/>
                <w:sz w:val="18"/>
              </w:rPr>
              <w:t>P1</w:t>
            </w:r>
          </w:p>
        </w:tc>
        <w:tc>
          <w:tcPr>
            <w:tcW w:type="dxa" w:w="2160"/>
          </w:tcPr>
          <w:p>
            <w:r>
              <w:rPr>
                <w:rFonts w:ascii="Calibri" w:hAnsi="Calibri"/>
                <w:color w:val="000000"/>
                <w:sz w:val="18"/>
              </w:rPr>
            </w:r>
            <w:r>
              <w:rPr>
                <w:rFonts w:ascii="Calibri" w:hAnsi="Calibri"/>
                <w:b w:val="0"/>
                <w:color w:val="000000"/>
                <w:sz w:val="18"/>
              </w:rPr>
              <w:t>% of bucket / % of Total AOP / M€ allocation</w:t>
            </w:r>
          </w:p>
        </w:tc>
        <w:tc>
          <w:tcPr>
            <w:tcW w:type="dxa" w:w="2160"/>
          </w:tcPr>
          <w:p>
            <w:r>
              <w:rPr>
                <w:rFonts w:ascii="Calibri" w:hAnsi="Calibri"/>
                <w:color w:val="000000"/>
                <w:sz w:val="18"/>
              </w:rPr>
            </w:r>
            <w:r>
              <w:rPr>
                <w:rFonts w:ascii="Calibri" w:hAnsi="Calibri"/>
                <w:b w:val="0"/>
                <w:color w:val="000000"/>
                <w:sz w:val="18"/>
              </w:rPr>
              <w:t>Verified demand share (~75%)</w:t>
            </w:r>
          </w:p>
        </w:tc>
      </w:tr>
      <w:tr>
        <w:trPr>
          <w:cantSplit/>
        </w:trPr>
        <w:tc>
          <w:tcPr>
            <w:tcW w:type="dxa" w:w="2160"/>
            <w:shd w:val="clear" w:color="auto" w:fill="F0F4F8"/>
          </w:tcPr>
          <w:p>
            <w:r>
              <w:rPr>
                <w:rFonts w:ascii="Calibri" w:hAnsi="Calibri"/>
                <w:color w:val="000000"/>
                <w:sz w:val="18"/>
              </w:rPr>
              <w:t>2. Carry Over</w:t>
            </w:r>
          </w:p>
        </w:tc>
        <w:tc>
          <w:tcPr>
            <w:tcW w:type="dxa" w:w="2160"/>
            <w:shd w:val="clear" w:color="auto" w:fill="F0F4F8"/>
          </w:tcPr>
          <w:p>
            <w:r>
              <w:rPr>
                <w:rFonts w:ascii="Calibri" w:hAnsi="Calibri"/>
                <w:color w:val="000000"/>
                <w:sz w:val="18"/>
              </w:rPr>
              <w:t>P2</w:t>
            </w:r>
          </w:p>
        </w:tc>
        <w:tc>
          <w:tcPr>
            <w:tcW w:type="dxa" w:w="2160"/>
            <w:shd w:val="clear" w:color="auto" w:fill="F0F4F8"/>
          </w:tcPr>
          <w:p>
            <w:r>
              <w:rPr>
                <w:rFonts w:ascii="Calibri" w:hAnsi="Calibri"/>
                <w:color w:val="000000"/>
                <w:sz w:val="18"/>
              </w:rPr>
              <w:t>Confirmed approved baseline</w:t>
            </w:r>
          </w:p>
        </w:tc>
        <w:tc>
          <w:tcPr>
            <w:tcW w:type="dxa" w:w="2160"/>
            <w:shd w:val="clear" w:color="auto" w:fill="F0F4F8"/>
          </w:tcPr>
          <w:p>
            <w:r>
              <w:rPr>
                <w:rFonts w:ascii="Calibri" w:hAnsi="Calibri"/>
                <w:color w:val="000000"/>
                <w:sz w:val="18"/>
              </w:rPr>
              <w:t>No ROI threshold</w:t>
            </w:r>
          </w:p>
        </w:tc>
      </w:tr>
      <w:tr>
        <w:trPr>
          <w:cantSplit/>
        </w:trPr>
        <w:tc>
          <w:tcPr>
            <w:tcW w:type="dxa" w:w="2160"/>
          </w:tcPr>
          <w:p>
            <w:r>
              <w:rPr>
                <w:rFonts w:ascii="Calibri" w:hAnsi="Calibri"/>
                <w:color w:val="000000"/>
                <w:sz w:val="18"/>
              </w:rPr>
            </w:r>
            <w:r>
              <w:rPr>
                <w:rFonts w:ascii="Calibri" w:hAnsi="Calibri"/>
                <w:b w:val="0"/>
                <w:color w:val="000000"/>
                <w:sz w:val="18"/>
              </w:rPr>
              <w:t>3 . Sustain Engineering &amp; Hygiene</w:t>
            </w:r>
          </w:p>
        </w:tc>
        <w:tc>
          <w:tcPr>
            <w:tcW w:type="dxa" w:w="2160"/>
          </w:tcPr>
          <w:p>
            <w:r>
              <w:rPr>
                <w:rFonts w:ascii="Calibri" w:hAnsi="Calibri"/>
                <w:color w:val="000000"/>
                <w:sz w:val="18"/>
              </w:rPr>
            </w:r>
            <w:r>
              <w:rPr>
                <w:rFonts w:ascii="Calibri" w:hAnsi="Calibri"/>
                <w:b w:val="0"/>
                <w:color w:val="000000"/>
                <w:sz w:val="18"/>
              </w:rPr>
              <w:t>P3</w:t>
            </w:r>
          </w:p>
        </w:tc>
        <w:tc>
          <w:tcPr>
            <w:tcW w:type="dxa" w:w="2160"/>
          </w:tcPr>
          <w:p>
            <w:r>
              <w:rPr>
                <w:rFonts w:ascii="Calibri" w:hAnsi="Calibri"/>
                <w:color w:val="000000"/>
                <w:sz w:val="18"/>
              </w:rPr>
            </w:r>
            <w:r>
              <w:rPr>
                <w:rFonts w:ascii="Calibri" w:hAnsi="Calibri"/>
                <w:b w:val="0"/>
                <w:color w:val="000000"/>
                <w:sz w:val="18"/>
              </w:rPr>
              <w:t>% of bucket / % of Total AOP / M€ allocation</w:t>
            </w:r>
          </w:p>
        </w:tc>
        <w:tc>
          <w:tcPr>
            <w:tcW w:type="dxa" w:w="2160"/>
          </w:tcPr>
          <w:p>
            <w:r>
              <w:rPr>
                <w:rFonts w:ascii="Calibri" w:hAnsi="Calibri"/>
                <w:color w:val="000000"/>
                <w:sz w:val="18"/>
              </w:rPr>
            </w:r>
            <w:r>
              <w:rPr>
                <w:rFonts w:ascii="Calibri" w:hAnsi="Calibri"/>
                <w:b w:val="0"/>
                <w:color w:val="000000"/>
                <w:sz w:val="18"/>
              </w:rPr>
              <w:t>60% of bucket</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4 . Value Based Portfolio</w:t>
            </w:r>
          </w:p>
        </w:tc>
        <w:tc>
          <w:tcPr>
            <w:tcW w:type="dxa" w:w="2160"/>
            <w:shd w:val="clear" w:color="auto" w:fill="F0F4F8"/>
          </w:tcPr>
          <w:p>
            <w:r>
              <w:rPr>
                <w:rFonts w:ascii="Calibri" w:hAnsi="Calibri"/>
                <w:color w:val="000000"/>
                <w:sz w:val="18"/>
              </w:rPr>
            </w:r>
            <w:r>
              <w:rPr>
                <w:rFonts w:ascii="Calibri" w:hAnsi="Calibri"/>
                <w:b w:val="0"/>
                <w:color w:val="000000"/>
                <w:sz w:val="18"/>
              </w:rPr>
              <w:t>P4</w:t>
            </w:r>
          </w:p>
        </w:tc>
        <w:tc>
          <w:tcPr>
            <w:tcW w:type="dxa" w:w="2160"/>
            <w:shd w:val="clear" w:color="auto" w:fill="F0F4F8"/>
          </w:tcPr>
          <w:p>
            <w:r>
              <w:rPr>
                <w:rFonts w:ascii="Calibri" w:hAnsi="Calibri"/>
                <w:color w:val="000000"/>
                <w:sz w:val="18"/>
              </w:rPr>
            </w:r>
            <w:r>
              <w:rPr>
                <w:rFonts w:ascii="Calibri" w:hAnsi="Calibri"/>
                <w:b w:val="0"/>
                <w:color w:val="000000"/>
                <w:sz w:val="18"/>
              </w:rPr>
              <w:t>% of bucket / % of Total AOP / M€ allocation</w:t>
            </w:r>
          </w:p>
        </w:tc>
        <w:tc>
          <w:tcPr>
            <w:tcW w:type="dxa" w:w="2160"/>
            <w:shd w:val="clear" w:color="auto" w:fill="F0F4F8"/>
          </w:tcPr>
          <w:p>
            <w:r>
              <w:rPr>
                <w:rFonts w:ascii="Calibri" w:hAnsi="Calibri"/>
                <w:color w:val="000000"/>
                <w:sz w:val="18"/>
              </w:rPr>
            </w:r>
            <w:r>
              <w:rPr>
                <w:rFonts w:ascii="Calibri" w:hAnsi="Calibri"/>
                <w:b w:val="0"/>
                <w:color w:val="000000"/>
                <w:sz w:val="18"/>
              </w:rPr>
              <w:t>100% of bucket</w:t>
            </w:r>
          </w:p>
        </w:tc>
      </w:tr>
    </w:tbl>
    <w:p/>
    <w:p>
      <w:pPr>
        <w:pStyle w:val="Heading2"/>
      </w:pPr>
      <w:r>
        <w:rPr>
          <w:rFonts w:ascii="Calibri" w:hAnsi="Calibri"/>
          <w:color w:val="000000"/>
        </w:rPr>
        <w:t>10.6 Four Scenario Presets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cantSplit/>
          <w:tblHeader/>
        </w:trPr>
        <w:tc>
          <w:tcPr>
            <w:tcW w:type="dxa" w:w="1728"/>
            <w:shd w:val="clear" w:color="auto" w:fill="0B5ED7"/>
          </w:tcPr>
          <w:p>
            <w:r>
              <w:rPr>
                <w:rFonts w:ascii="Calibri" w:hAnsi="Calibri"/>
                <w:color w:val="FFFFFF"/>
                <w:sz w:val="18"/>
              </w:rPr>
            </w:r>
            <w:r>
              <w:rPr>
                <w:rFonts w:ascii="Calibri" w:hAnsi="Calibri"/>
                <w:b/>
                <w:color w:val="FFFFFF"/>
                <w:sz w:val="18"/>
              </w:rPr>
              <w:t>Preset</w:t>
            </w:r>
          </w:p>
        </w:tc>
        <w:tc>
          <w:tcPr>
            <w:tcW w:type="dxa" w:w="1728"/>
            <w:shd w:val="clear" w:color="auto" w:fill="0B5ED7"/>
          </w:tcPr>
          <w:p>
            <w:r>
              <w:rPr>
                <w:rFonts w:ascii="Calibri" w:hAnsi="Calibri"/>
                <w:color w:val="FFFFFF"/>
                <w:sz w:val="18"/>
              </w:rPr>
            </w:r>
            <w:r>
              <w:rPr>
                <w:rFonts w:ascii="Calibri" w:hAnsi="Calibri"/>
                <w:b/>
                <w:color w:val="FFFFFF"/>
                <w:sz w:val="18"/>
              </w:rPr>
              <w:t>P1: LFR</w:t>
            </w:r>
          </w:p>
        </w:tc>
        <w:tc>
          <w:tcPr>
            <w:tcW w:type="dxa" w:w="1728"/>
            <w:shd w:val="clear" w:color="auto" w:fill="0B5ED7"/>
          </w:tcPr>
          <w:p>
            <w:r>
              <w:rPr>
                <w:rFonts w:ascii="Calibri" w:hAnsi="Calibri"/>
                <w:color w:val="FFFFFF"/>
                <w:sz w:val="18"/>
              </w:rPr>
              <w:t>P2: Carry Over</w:t>
            </w:r>
          </w:p>
        </w:tc>
        <w:tc>
          <w:tcPr>
            <w:tcW w:type="dxa" w:w="1728"/>
            <w:shd w:val="clear" w:color="auto" w:fill="0B5ED7"/>
          </w:tcPr>
          <w:p>
            <w:r>
              <w:rPr>
                <w:rFonts w:ascii="Calibri" w:hAnsi="Calibri"/>
                <w:color w:val="FFFFFF"/>
                <w:sz w:val="18"/>
              </w:rPr>
            </w:r>
            <w:r>
              <w:rPr>
                <w:rFonts w:ascii="Calibri" w:hAnsi="Calibri"/>
                <w:b/>
                <w:color w:val="FFFFFF"/>
                <w:sz w:val="18"/>
              </w:rPr>
              <w:t>P3: Sustain</w:t>
            </w:r>
          </w:p>
        </w:tc>
        <w:tc>
          <w:tcPr>
            <w:tcW w:type="dxa" w:w="1728"/>
            <w:shd w:val="clear" w:color="auto" w:fill="0B5ED7"/>
          </w:tcPr>
          <w:p>
            <w:r>
              <w:rPr>
                <w:rFonts w:ascii="Calibri" w:hAnsi="Calibri"/>
                <w:color w:val="FFFFFF"/>
                <w:sz w:val="18"/>
              </w:rPr>
            </w:r>
            <w:r>
              <w:rPr>
                <w:rFonts w:ascii="Calibri" w:hAnsi="Calibri"/>
                <w:b/>
                <w:color w:val="FFFFFF"/>
                <w:sz w:val="18"/>
              </w:rPr>
              <w:t>P4: Value</w:t>
            </w:r>
          </w:p>
        </w:tc>
      </w:tr>
      <w:tr>
        <w:trPr>
          <w:cantSplit/>
        </w:trPr>
        <w:tc>
          <w:tcPr>
            <w:tcW w:type="dxa" w:w="1728"/>
          </w:tcPr>
          <w:p>
            <w:r>
              <w:rPr>
                <w:rFonts w:ascii="Calibri" w:hAnsi="Calibri"/>
                <w:color w:val="000000"/>
                <w:sz w:val="18"/>
              </w:rPr>
            </w:r>
            <w:r>
              <w:rPr>
                <w:rFonts w:ascii="Calibri" w:hAnsi="Calibri"/>
                <w:b w:val="0"/>
                <w:color w:val="000000"/>
                <w:sz w:val="18"/>
              </w:rPr>
              <w:t>Optimal Segmentation (Recommended)</w:t>
            </w:r>
          </w:p>
        </w:tc>
        <w:tc>
          <w:tcPr>
            <w:tcW w:type="dxa" w:w="1728"/>
          </w:tcPr>
          <w:p>
            <w:r>
              <w:rPr>
                <w:rFonts w:ascii="Calibri" w:hAnsi="Calibri"/>
                <w:color w:val="000000"/>
                <w:sz w:val="18"/>
              </w:rPr>
            </w:r>
            <w:r>
              <w:rPr>
                <w:rFonts w:ascii="Calibri" w:hAnsi="Calibri"/>
                <w:b w:val="0"/>
                <w:color w:val="000000"/>
                <w:sz w:val="18"/>
              </w:rPr>
              <w:t>Verified LFR</w:t>
            </w:r>
          </w:p>
        </w:tc>
        <w:tc>
          <w:tcPr>
            <w:tcW w:type="dxa" w:w="1728"/>
          </w:tcPr>
          <w:p>
            <w:r>
              <w:rPr>
                <w:rFonts w:ascii="Calibri" w:hAnsi="Calibri"/>
                <w:color w:val="000000"/>
                <w:sz w:val="18"/>
              </w:rPr>
              <w:t>Confirmed baseline cap</w:t>
            </w:r>
          </w:p>
        </w:tc>
        <w:tc>
          <w:tcPr>
            <w:tcW w:type="dxa" w:w="1728"/>
          </w:tcPr>
          <w:p>
            <w:r>
              <w:rPr>
                <w:rFonts w:ascii="Calibri" w:hAnsi="Calibri"/>
                <w:color w:val="000000"/>
                <w:sz w:val="18"/>
              </w:rPr>
            </w:r>
            <w:r>
              <w:rPr>
                <w:rFonts w:ascii="Calibri" w:hAnsi="Calibri"/>
                <w:b w:val="0"/>
                <w:color w:val="000000"/>
                <w:sz w:val="18"/>
              </w:rPr>
              <w:t>60% bucket</w:t>
            </w:r>
          </w:p>
        </w:tc>
        <w:tc>
          <w:tcPr>
            <w:tcW w:type="dxa" w:w="1728"/>
          </w:tcPr>
          <w:p>
            <w:r>
              <w:rPr>
                <w:rFonts w:ascii="Calibri" w:hAnsi="Calibri"/>
                <w:color w:val="000000"/>
                <w:sz w:val="18"/>
              </w:rPr>
            </w:r>
            <w:r>
              <w:rPr>
                <w:rFonts w:ascii="Calibri" w:hAnsi="Calibri"/>
                <w:b w:val="0"/>
                <w:color w:val="000000"/>
                <w:sz w:val="18"/>
              </w:rPr>
              <w:t>100% bucket</w:t>
            </w:r>
          </w:p>
        </w:tc>
      </w:tr>
      <w:tr>
        <w:trPr>
          <w:cantSplit/>
        </w:trPr>
        <w:tc>
          <w:tcPr>
            <w:tcW w:type="dxa" w:w="1728"/>
            <w:shd w:val="clear" w:color="auto" w:fill="F0F4F8"/>
          </w:tcPr>
          <w:p>
            <w:r>
              <w:rPr>
                <w:rFonts w:ascii="Calibri" w:hAnsi="Calibri"/>
                <w:color w:val="000000"/>
                <w:sz w:val="18"/>
              </w:rPr>
            </w:r>
            <w:r>
              <w:rPr>
                <w:rFonts w:ascii="Calibri" w:hAnsi="Calibri"/>
                <w:b w:val="0"/>
                <w:color w:val="000000"/>
                <w:sz w:val="18"/>
              </w:rPr>
              <w:t>Protect Commitments</w:t>
            </w:r>
          </w:p>
        </w:tc>
        <w:tc>
          <w:tcPr>
            <w:tcW w:type="dxa" w:w="1728"/>
            <w:shd w:val="clear" w:color="auto" w:fill="F0F4F8"/>
          </w:tcPr>
          <w:p>
            <w:r>
              <w:rPr>
                <w:rFonts w:ascii="Calibri" w:hAnsi="Calibri"/>
                <w:color w:val="000000"/>
                <w:sz w:val="18"/>
              </w:rPr>
            </w:r>
            <w:r>
              <w:rPr>
                <w:rFonts w:ascii="Calibri" w:hAnsi="Calibri"/>
                <w:b w:val="0"/>
                <w:color w:val="000000"/>
                <w:sz w:val="18"/>
              </w:rPr>
              <w:t>100% bucket</w:t>
            </w:r>
          </w:p>
        </w:tc>
        <w:tc>
          <w:tcPr>
            <w:tcW w:type="dxa" w:w="1728"/>
            <w:shd w:val="clear" w:color="auto" w:fill="F0F4F8"/>
          </w:tcPr>
          <w:p>
            <w:r>
              <w:rPr>
                <w:rFonts w:ascii="Calibri" w:hAnsi="Calibri"/>
                <w:color w:val="000000"/>
                <w:sz w:val="18"/>
              </w:rPr>
              <w:t>Confirmed baseline cap</w:t>
            </w:r>
          </w:p>
        </w:tc>
        <w:tc>
          <w:tcPr>
            <w:tcW w:type="dxa" w:w="1728"/>
            <w:shd w:val="clear" w:color="auto" w:fill="F0F4F8"/>
          </w:tcPr>
          <w:p>
            <w:r>
              <w:rPr>
                <w:rFonts w:ascii="Calibri" w:hAnsi="Calibri"/>
                <w:color w:val="000000"/>
                <w:sz w:val="18"/>
              </w:rPr>
            </w:r>
            <w:r>
              <w:rPr>
                <w:rFonts w:ascii="Calibri" w:hAnsi="Calibri"/>
                <w:b w:val="0"/>
                <w:color w:val="000000"/>
                <w:sz w:val="18"/>
              </w:rPr>
              <w:t>100% bucket</w:t>
            </w:r>
          </w:p>
        </w:tc>
        <w:tc>
          <w:tcPr>
            <w:tcW w:type="dxa" w:w="1728"/>
            <w:shd w:val="clear" w:color="auto" w:fill="F0F4F8"/>
          </w:tcPr>
          <w:p>
            <w:r>
              <w:rPr>
                <w:rFonts w:ascii="Calibri" w:hAnsi="Calibri"/>
                <w:color w:val="000000"/>
                <w:sz w:val="18"/>
              </w:rPr>
            </w:r>
            <w:r>
              <w:rPr>
                <w:rFonts w:ascii="Calibri" w:hAnsi="Calibri"/>
                <w:b w:val="0"/>
                <w:color w:val="000000"/>
                <w:sz w:val="18"/>
              </w:rPr>
              <w:t>10% AOP</w:t>
            </w:r>
          </w:p>
        </w:tc>
      </w:tr>
      <w:tr>
        <w:trPr>
          <w:cantSplit/>
        </w:trPr>
        <w:tc>
          <w:tcPr>
            <w:tcW w:type="dxa" w:w="1728"/>
          </w:tcPr>
          <w:p>
            <w:r>
              <w:rPr>
                <w:rFonts w:ascii="Calibri" w:hAnsi="Calibri"/>
                <w:color w:val="000000"/>
                <w:sz w:val="18"/>
              </w:rPr>
              <w:t>Balance Sustain and Value</w:t>
            </w:r>
            <w:r>
              <w:rPr>
                <w:rFonts w:ascii="Calibri" w:hAnsi="Calibri"/>
                <w:b w:val="0"/>
                <w:color w:val="000000"/>
                <w:sz w:val="18"/>
              </w:rPr>
            </w:r>
          </w:p>
        </w:tc>
        <w:tc>
          <w:tcPr>
            <w:tcW w:type="dxa" w:w="1728"/>
          </w:tcPr>
          <w:p>
            <w:r>
              <w:rPr>
                <w:rFonts w:ascii="Calibri" w:hAnsi="Calibri"/>
                <w:color w:val="000000"/>
                <w:sz w:val="18"/>
              </w:rPr>
            </w:r>
            <w:r>
              <w:rPr>
                <w:rFonts w:ascii="Calibri" w:hAnsi="Calibri"/>
                <w:b w:val="0"/>
                <w:color w:val="000000"/>
                <w:sz w:val="18"/>
              </w:rPr>
              <w:t>100% bucket</w:t>
            </w:r>
          </w:p>
        </w:tc>
        <w:tc>
          <w:tcPr>
            <w:tcW w:type="dxa" w:w="1728"/>
          </w:tcPr>
          <w:p>
            <w:r>
              <w:rPr>
                <w:rFonts w:ascii="Calibri" w:hAnsi="Calibri"/>
                <w:color w:val="000000"/>
                <w:sz w:val="18"/>
              </w:rPr>
              <w:t>Confirmed baseline cap</w:t>
            </w:r>
          </w:p>
        </w:tc>
        <w:tc>
          <w:tcPr>
            <w:tcW w:type="dxa" w:w="1728"/>
          </w:tcPr>
          <w:p>
            <w:r>
              <w:rPr>
                <w:rFonts w:ascii="Calibri" w:hAnsi="Calibri"/>
                <w:color w:val="000000"/>
                <w:sz w:val="18"/>
              </w:rPr>
            </w:r>
            <w:r>
              <w:rPr>
                <w:rFonts w:ascii="Calibri" w:hAnsi="Calibri"/>
                <w:b w:val="0"/>
                <w:color w:val="000000"/>
                <w:sz w:val="18"/>
              </w:rPr>
              <w:t>75% bucket</w:t>
            </w:r>
          </w:p>
        </w:tc>
        <w:tc>
          <w:tcPr>
            <w:tcW w:type="dxa" w:w="1728"/>
          </w:tcPr>
          <w:p>
            <w:r>
              <w:rPr>
                <w:rFonts w:ascii="Calibri" w:hAnsi="Calibri"/>
                <w:color w:val="000000"/>
                <w:sz w:val="18"/>
              </w:rPr>
            </w:r>
            <w:r>
              <w:rPr>
                <w:rFonts w:ascii="Calibri" w:hAnsi="Calibri"/>
                <w:b w:val="0"/>
                <w:color w:val="000000"/>
                <w:sz w:val="18"/>
              </w:rPr>
              <w:t>15% AOP</w:t>
            </w:r>
          </w:p>
        </w:tc>
      </w:tr>
      <w:tr>
        <w:trPr>
          <w:cantSplit/>
        </w:trPr>
        <w:tc>
          <w:tcPr>
            <w:tcW w:type="dxa" w:w="1728"/>
            <w:shd w:val="clear" w:color="auto" w:fill="F0F4F8"/>
          </w:tcPr>
          <w:p>
            <w:r>
              <w:rPr>
                <w:rFonts w:ascii="Calibri" w:hAnsi="Calibri"/>
                <w:color w:val="000000"/>
                <w:sz w:val="18"/>
              </w:rPr>
            </w:r>
            <w:r>
              <w:rPr>
                <w:rFonts w:ascii="Calibri" w:hAnsi="Calibri"/>
                <w:b w:val="0"/>
                <w:color w:val="000000"/>
                <w:sz w:val="18"/>
              </w:rPr>
              <w:t>Release Sustain Capacity</w:t>
            </w:r>
          </w:p>
        </w:tc>
        <w:tc>
          <w:tcPr>
            <w:tcW w:type="dxa" w:w="1728"/>
            <w:shd w:val="clear" w:color="auto" w:fill="F0F4F8"/>
          </w:tcPr>
          <w:p>
            <w:r>
              <w:rPr>
                <w:rFonts w:ascii="Calibri" w:hAnsi="Calibri"/>
                <w:color w:val="000000"/>
                <w:sz w:val="18"/>
              </w:rPr>
            </w:r>
            <w:r>
              <w:rPr>
                <w:rFonts w:ascii="Calibri" w:hAnsi="Calibri"/>
                <w:b w:val="0"/>
                <w:color w:val="000000"/>
                <w:sz w:val="18"/>
              </w:rPr>
              <w:t>44% bucket</w:t>
            </w:r>
          </w:p>
        </w:tc>
        <w:tc>
          <w:tcPr>
            <w:tcW w:type="dxa" w:w="1728"/>
            <w:shd w:val="clear" w:color="auto" w:fill="F0F4F8"/>
          </w:tcPr>
          <w:p>
            <w:r>
              <w:rPr>
                <w:rFonts w:ascii="Calibri" w:hAnsi="Calibri"/>
                <w:color w:val="000000"/>
                <w:sz w:val="18"/>
              </w:rPr>
              <w:t>Confirmed baseline cap</w:t>
            </w:r>
          </w:p>
        </w:tc>
        <w:tc>
          <w:tcPr>
            <w:tcW w:type="dxa" w:w="1728"/>
            <w:shd w:val="clear" w:color="auto" w:fill="F0F4F8"/>
          </w:tcPr>
          <w:p>
            <w:r>
              <w:rPr>
                <w:rFonts w:ascii="Calibri" w:hAnsi="Calibri"/>
                <w:color w:val="000000"/>
                <w:sz w:val="18"/>
              </w:rPr>
            </w:r>
            <w:r>
              <w:rPr>
                <w:rFonts w:ascii="Calibri" w:hAnsi="Calibri"/>
                <w:b w:val="0"/>
                <w:color w:val="000000"/>
                <w:sz w:val="18"/>
              </w:rPr>
              <w:t>75% bucket</w:t>
            </w:r>
          </w:p>
        </w:tc>
        <w:tc>
          <w:tcPr>
            <w:tcW w:type="dxa" w:w="1728"/>
            <w:shd w:val="clear" w:color="auto" w:fill="F0F4F8"/>
          </w:tcPr>
          <w:p>
            <w:r>
              <w:rPr>
                <w:rFonts w:ascii="Calibri" w:hAnsi="Calibri"/>
                <w:color w:val="000000"/>
                <w:sz w:val="18"/>
              </w:rPr>
            </w:r>
            <w:r>
              <w:rPr>
                <w:rFonts w:ascii="Calibri" w:hAnsi="Calibri"/>
                <w:b w:val="0"/>
                <w:color w:val="000000"/>
                <w:sz w:val="18"/>
              </w:rPr>
              <w:t>20% AOP</w:t>
            </w:r>
          </w:p>
        </w:tc>
      </w:tr>
    </w:tbl>
    <w:p/>
    <w:p>
      <w:pPr>
        <w:pStyle w:val="Heading1"/>
      </w:pPr>
      <w:r>
        <w:rPr>
          <w:rFonts w:ascii="Calibri" w:hAnsi="Calibri"/>
          <w:color w:val="000000"/>
        </w:rPr>
        <w:t>11. Session and Reset</w:t>
      </w:r>
    </w:p>
    <w:p>
      <w:pPr>
        <w:pStyle w:val="Heading2"/>
      </w:pPr>
      <w:r>
        <w:rPr>
          <w:rFonts w:ascii="Calibri" w:hAnsi="Calibri"/>
          <w:color w:val="000000"/>
        </w:rPr>
        <w:t>11.1 Default scenario</w:t>
      </w:r>
    </w:p>
    <w:p>
      <w:r>
        <w:rPr>
          <w:rFonts w:ascii="Calibri" w:hAnsi="Calibri"/>
          <w:b w:val="0"/>
          <w:sz w:val="22"/>
        </w:rPr>
        <w:t>Optimal Segmentation is the default scenario applied on page load. The Optimal preset button is blue-highlighted to indicate active state.</w:t>
      </w:r>
    </w:p>
    <w:p>
      <w:pPr>
        <w:pStyle w:val="Heading2"/>
      </w:pPr>
      <w:r>
        <w:rPr>
          <w:rFonts w:ascii="Calibri" w:hAnsi="Calibri"/>
          <w:color w:val="000000"/>
        </w:rPr>
        <w:t>11.2 New Working Version</w:t>
      </w:r>
    </w:p>
    <w:p>
      <w:r>
        <w:rPr>
          <w:rFonts w:ascii="Calibri" w:hAnsi="Calibri"/>
          <w:b w:val="0"/>
          <w:sz w:val="22"/>
        </w:rPr>
        <w:t>New Working Version creates a draft fork with parent lineage, retaining settings, Programs decisions and evidence reviews.</w:t>
      </w:r>
    </w:p>
    <w:p>
      <w:pPr>
        <w:pStyle w:val="ListBullet"/>
      </w:pPr>
      <w:r>
        <w:rPr>
          <w:rFonts w:ascii="Calibri" w:hAnsi="Calibri"/>
          <w:b w:val="0"/>
          <w:sz w:val="21"/>
        </w:rPr>
        <w:t>New Scenario applies Optimal Segmentation; New Working Version retains the current settings.</w:t>
      </w:r>
    </w:p>
    <w:p>
      <w:pPr>
        <w:pStyle w:val="ListBullet"/>
      </w:pPr>
      <w:r>
        <w:rPr>
          <w:rFonts w:ascii="Calibri" w:hAnsi="Calibri"/>
          <w:b w:val="0"/>
          <w:sz w:val="21"/>
        </w:rPr>
        <w:t>New Working Version retains manual include/exclude decisions.</w:t>
      </w:r>
    </w:p>
    <w:p>
      <w:pPr>
        <w:pStyle w:val="ListBullet"/>
      </w:pPr>
      <w:r>
        <w:rPr>
          <w:rFonts w:ascii="Calibri" w:hAnsi="Calibri"/>
          <w:b w:val="0"/>
          <w:sz w:val="21"/>
        </w:rPr>
        <w:t>New Working Version retains evidence reviews and scenario request/merit edits.</w:t>
      </w:r>
    </w:p>
    <w:p>
      <w:pPr>
        <w:pStyle w:val="ListBullet"/>
      </w:pPr>
      <w:r>
        <w:rPr>
          <w:rFonts w:ascii="Calibri" w:hAnsi="Calibri"/>
          <w:b w:val="0"/>
          <w:sz w:val="21"/>
        </w:rPr>
        <w:t>Clears all ExCo trade-off budget values.</w:t>
      </w:r>
    </w:p>
    <w:p>
      <w:pPr>
        <w:pStyle w:val="ListBullet"/>
      </w:pPr>
      <w:r>
        <w:rPr>
          <w:rFonts w:ascii="Calibri" w:hAnsi="Calibri"/>
          <w:b w:val="0"/>
          <w:sz w:val="21"/>
        </w:rPr>
        <w:t>Clears the decision log.</w:t>
      </w:r>
    </w:p>
    <w:p>
      <w:pPr>
        <w:pStyle w:val="ListBullet"/>
      </w:pPr>
      <w:r>
        <w:rPr>
          <w:rFonts w:ascii="Calibri" w:hAnsi="Calibri"/>
          <w:b w:val="0"/>
          <w:sz w:val="21"/>
        </w:rPr>
        <w:t>Resets scenario revision counter.</w:t>
      </w:r>
    </w:p>
    <w:p>
      <w:pPr>
        <w:pStyle w:val="Heading2"/>
      </w:pPr>
      <w:r>
        <w:rPr>
          <w:rFonts w:ascii="Calibri" w:hAnsi="Calibri"/>
          <w:color w:val="000000"/>
        </w:rPr>
        <w:t>11.3 Filter auto-close</w:t>
      </w:r>
    </w:p>
    <w:p>
      <w:r>
        <w:rPr>
          <w:rFonts w:ascii="Calibri" w:hAnsi="Calibri"/>
          <w:b w:val="0"/>
          <w:sz w:val="22"/>
        </w:rPr>
        <w:t>All filter dropdowns across all tabs auto-close immediately after a selection is made. This applies to ExCo, Organisation, Platform, Funding Status, Type, Investment Area, and all other multi-select filter dropdowns.</w:t>
      </w:r>
    </w:p>
    <w:p>
      <w:pPr>
        <w:pStyle w:val="Heading2"/>
      </w:pPr>
      <w:r>
        <w:rPr>
          <w:rFonts w:ascii="Calibri" w:hAnsi="Calibri"/>
          <w:color w:val="000000"/>
        </w:rPr>
        <w:t>11.4 Session schema</w:t>
      </w:r>
    </w:p>
    <w:p>
      <w:r>
        <w:rPr>
          <w:rFonts w:ascii="Calibri" w:hAnsi="Calibri"/>
          <w:b w:val="0"/>
          <w:sz w:val="22"/>
        </w:rPr>
        <w:t>Session schema 4 (5 weights). Sessions saved with schema 3 (4 weights [50,25,15,10]) auto-migrate to schema 4 ([40,25,15,10,10]) on load.</w:t>
      </w:r>
    </w:p>
    <w:p>
      <w:pPr>
        <w:pStyle w:val="Heading1"/>
      </w:pPr>
      <w:r>
        <w:rPr>
          <w:rFonts w:ascii="Calibri" w:hAnsi="Calibri"/>
          <w:color w:val="000000"/>
        </w:rPr>
        <w:t>12. QA and Acceptance Criteria</w:t>
      </w:r>
    </w:p>
    <w:p>
      <w:pPr>
        <w:pStyle w:val="Heading2"/>
      </w:pPr>
      <w:r>
        <w:rPr>
          <w:rFonts w:ascii="Calibri" w:hAnsi="Calibri"/>
          <w:color w:val="000000"/>
        </w:rPr>
        <w:t>12.1 Core rendering checks</w:t>
      </w:r>
    </w:p>
    <w:p>
      <w:pPr>
        <w:pStyle w:val="ListBullet"/>
      </w:pPr>
      <w:r>
        <w:rPr>
          <w:rFonts w:ascii="Calibri" w:hAnsi="Calibri"/>
          <w:b w:val="0"/>
          <w:sz w:val="21"/>
        </w:rPr>
        <w:t>All 6 tabs render with zero console errors.</w:t>
      </w:r>
    </w:p>
    <w:p>
      <w:pPr>
        <w:pStyle w:val="ListBullet"/>
      </w:pPr>
      <w:r>
        <w:rPr>
          <w:rFonts w:ascii="Calibri" w:hAnsi="Calibri"/>
          <w:b w:val="0"/>
          <w:sz w:val="21"/>
        </w:rPr>
        <w:t>433 active Programs processed, no duplicate IDs.</w:t>
      </w:r>
    </w:p>
    <w:p>
      <w:pPr>
        <w:pStyle w:val="ListBullet"/>
      </w:pPr>
      <w:r>
        <w:rPr>
          <w:rFonts w:ascii="Calibri" w:hAnsi="Calibri"/>
          <w:b w:val="0"/>
          <w:sz w:val="21"/>
        </w:rPr>
        <w:t>Benefits consistently split as Hard/Soft across all displays (Tabs 1, 2, 3, 4, 6). Blue Hard / black Soft format verified.</w:t>
      </w:r>
    </w:p>
    <w:p>
      <w:pPr>
        <w:pStyle w:val="ListBullet"/>
      </w:pPr>
      <w:r>
        <w:rPr>
          <w:rFonts w:ascii="Calibri" w:hAnsi="Calibri"/>
          <w:b w:val="0"/>
          <w:sz w:val="21"/>
        </w:rPr>
        <w:t>ExCo filter cascading works on all Programs tabs.</w:t>
      </w:r>
    </w:p>
    <w:p>
      <w:pPr>
        <w:pStyle w:val="ListBullet"/>
      </w:pPr>
      <w:r>
        <w:rPr>
          <w:rFonts w:ascii="Calibri" w:hAnsi="Calibri"/>
          <w:b w:val="0"/>
          <w:sz w:val="21"/>
        </w:rPr>
        <w:t>ExCo Trade-off Cockpit Apply does not modify Total AOP.</w:t>
      </w:r>
    </w:p>
    <w:p>
      <w:pPr>
        <w:pStyle w:val="ListBullet"/>
      </w:pPr>
      <w:r>
        <w:rPr>
          <w:rFonts w:ascii="Calibri" w:hAnsi="Calibri"/>
          <w:b w:val="0"/>
          <w:sz w:val="21"/>
        </w:rPr>
        <w:t>Demand in Scenario table shows collapsible BURF groups.</w:t>
      </w:r>
    </w:p>
    <w:p>
      <w:pPr>
        <w:pStyle w:val="ListBullet"/>
      </w:pPr>
      <w:r>
        <w:rPr>
          <w:rFonts w:ascii="Calibri" w:hAnsi="Calibri"/>
          <w:b w:val="0"/>
          <w:sz w:val="21"/>
        </w:rPr>
        <w:t>Bubble chart Y-axis toggle functional on Tabs 3, 4, 6.</w:t>
      </w:r>
    </w:p>
    <w:p>
      <w:pPr>
        <w:pStyle w:val="ListBullet"/>
      </w:pPr>
      <w:r>
        <w:rPr>
          <w:rFonts w:ascii="Calibri" w:hAnsi="Calibri"/>
          <w:b w:val="0"/>
          <w:sz w:val="21"/>
        </w:rPr>
        <w:t>Filter dropdowns auto-close after selection.</w:t>
      </w:r>
    </w:p>
    <w:p>
      <w:pPr>
        <w:pStyle w:val="Heading2"/>
      </w:pPr>
      <w:r>
        <w:rPr>
          <w:rFonts w:ascii="Calibri" w:hAnsi="Calibri"/>
          <w:color w:val="000000"/>
        </w:rPr>
        <w:t>12.2 Financial reconciliation</w:t>
      </w:r>
    </w:p>
    <w:p>
      <w:pPr>
        <w:pStyle w:val="ListBullet"/>
      </w:pPr>
      <w:r>
        <w:rPr>
          <w:rFonts w:ascii="Calibri" w:hAnsi="Calibri"/>
          <w:b w:val="0"/>
          <w:sz w:val="21"/>
        </w:rPr>
        <w:t>Requested = Final + Unfunded (per Programs, per stream, portfolio total; within +/-0.01 M€).</w:t>
      </w:r>
    </w:p>
    <w:p>
      <w:pPr>
        <w:pStyle w:val="ListBullet"/>
      </w:pPr>
      <w:r>
        <w:rPr>
          <w:rFonts w:ascii="Calibri" w:hAnsi="Calibri"/>
          <w:b w:val="0"/>
          <w:sz w:val="21"/>
        </w:rPr>
        <w:t>EW Final + BU Final = Portfolio Final.</w:t>
      </w:r>
    </w:p>
    <w:p>
      <w:pPr>
        <w:pStyle w:val="ListBullet"/>
      </w:pPr>
      <w:r>
        <w:rPr>
          <w:rFonts w:ascii="Calibri" w:hAnsi="Calibri"/>
          <w:b w:val="0"/>
          <w:sz w:val="21"/>
        </w:rPr>
        <w:t>Sum of stage allocations = Portfolio Total Allocation.</w:t>
      </w:r>
    </w:p>
    <w:p>
      <w:pPr>
        <w:pStyle w:val="ListBullet"/>
      </w:pPr>
      <w:r>
        <w:rPr>
          <w:rFonts w:ascii="Calibri" w:hAnsi="Calibri"/>
          <w:b w:val="0"/>
          <w:sz w:val="21"/>
        </w:rPr>
        <w:t>Allocated AOP &lt;= Total AOP x (1 + tolerance%).</w:t>
      </w:r>
    </w:p>
    <w:p>
      <w:pPr>
        <w:pStyle w:val="ListBullet"/>
      </w:pPr>
      <w:r>
        <w:rPr>
          <w:rFonts w:ascii="Calibri" w:hAnsi="Calibri"/>
          <w:b w:val="0"/>
          <w:sz w:val="21"/>
        </w:rPr>
        <w:t>Total IT AOP = Programs Final Allocation + Operations AOP (470.314463 M€).</w:t>
      </w:r>
    </w:p>
    <w:p>
      <w:pPr>
        <w:pStyle w:val="ListBullet"/>
      </w:pPr>
      <w:r>
        <w:rPr>
          <w:rFonts w:ascii="Calibri" w:hAnsi="Calibri"/>
          <w:b w:val="0"/>
          <w:sz w:val="21"/>
        </w:rPr>
        <w:t>Operations AOP is constant across Tabs 1, 5, and 6.</w:t>
      </w:r>
    </w:p>
    <w:p>
      <w:pPr>
        <w:pStyle w:val="Heading2"/>
      </w:pPr>
      <w:r>
        <w:rPr>
          <w:rFonts w:ascii="Calibri" w:hAnsi="Calibri"/>
          <w:color w:val="000000"/>
        </w:rPr>
        <w:t>12.3 Benefit classification checks</w:t>
      </w:r>
    </w:p>
    <w:p>
      <w:pPr>
        <w:pStyle w:val="ListBullet"/>
      </w:pPr>
      <w:r>
        <w:rPr>
          <w:rFonts w:ascii="Calibri" w:hAnsi="Calibri"/>
          <w:b w:val="0"/>
          <w:sz w:val="21"/>
        </w:rPr>
        <w:t>Every funded Programs has a benefitClass field (hard/soft/qualitative/none).</w:t>
      </w:r>
    </w:p>
    <w:p>
      <w:pPr>
        <w:pStyle w:val="ListBullet"/>
      </w:pPr>
      <w:r>
        <w:rPr>
          <w:rFonts w:ascii="Calibri" w:hAnsi="Calibri"/>
          <w:b w:val="0"/>
          <w:sz w:val="21"/>
        </w:rPr>
        <w:t>Hard benefit sum matches across Tab 1, Tabs 3/4, and Tab 6.</w:t>
      </w:r>
    </w:p>
    <w:p>
      <w:pPr>
        <w:pStyle w:val="ListBullet"/>
      </w:pPr>
      <w:r>
        <w:rPr>
          <w:rFonts w:ascii="Calibri" w:hAnsi="Calibri"/>
          <w:b w:val="0"/>
          <w:sz w:val="21"/>
        </w:rPr>
        <w:t>Soft benefit sum matches across all displays.</w:t>
      </w:r>
    </w:p>
    <w:p>
      <w:pPr>
        <w:pStyle w:val="ListBullet"/>
      </w:pPr>
      <w:r>
        <w:rPr>
          <w:rFonts w:ascii="Calibri" w:hAnsi="Calibri"/>
          <w:b w:val="0"/>
          <w:sz w:val="21"/>
        </w:rPr>
        <w:t>"Committed: X Hard . Y Soft" summary line present on Tabs 3, 4, 6 charts.</w:t>
      </w:r>
    </w:p>
    <w:p>
      <w:pPr>
        <w:pStyle w:val="ListBullet"/>
      </w:pPr>
      <w:r>
        <w:rPr>
          <w:rFonts w:ascii="Calibri" w:hAnsi="Calibri"/>
          <w:b w:val="0"/>
          <w:sz w:val="21"/>
        </w:rPr>
        <w:t>Bubble tooltip shows correct benefit classification label.</w:t>
      </w:r>
    </w:p>
    <w:p>
      <w:pPr>
        <w:pStyle w:val="Heading2"/>
      </w:pPr>
      <w:r>
        <w:rPr>
          <w:rFonts w:ascii="Calibri" w:hAnsi="Calibri"/>
          <w:color w:val="000000"/>
        </w:rPr>
        <w:t>12.4 ExCo checks</w:t>
      </w:r>
    </w:p>
    <w:p>
      <w:pPr>
        <w:pStyle w:val="ListBullet"/>
      </w:pPr>
      <w:r>
        <w:rPr>
          <w:rFonts w:ascii="Calibri" w:hAnsi="Calibri"/>
          <w:b w:val="0"/>
          <w:sz w:val="21"/>
        </w:rPr>
        <w:t>16 ExCo leaders mapped to 35 organisations.</w:t>
      </w:r>
    </w:p>
    <w:p>
      <w:pPr>
        <w:pStyle w:val="ListBullet"/>
      </w:pPr>
      <w:r>
        <w:rPr>
          <w:rFonts w:ascii="Calibri" w:hAnsi="Calibri"/>
          <w:b w:val="0"/>
          <w:sz w:val="21"/>
        </w:rPr>
        <w:t>ExCo filter on Tabs 2, 3, 4, 6 cascades to Org filter.</w:t>
      </w:r>
    </w:p>
    <w:p>
      <w:pPr>
        <w:pStyle w:val="ListBullet"/>
      </w:pPr>
      <w:r>
        <w:rPr>
          <w:rFonts w:ascii="Calibri" w:hAnsi="Calibri"/>
          <w:b w:val="0"/>
          <w:sz w:val="21"/>
        </w:rPr>
        <w:t>Trade-off cockpit shows correct per-leader totals.</w:t>
      </w:r>
    </w:p>
    <w:p>
      <w:pPr>
        <w:pStyle w:val="ListBullet"/>
      </w:pPr>
      <w:r>
        <w:rPr>
          <w:rFonts w:ascii="Calibri" w:hAnsi="Calibri"/>
          <w:b w:val="0"/>
          <w:sz w:val="21"/>
        </w:rPr>
        <w:t>Trade-off Apply creates decision log entries without modifying Total AOP.</w:t>
      </w:r>
    </w:p>
    <w:p>
      <w:pPr>
        <w:pStyle w:val="ListBullet"/>
      </w:pPr>
      <w:r>
        <w:rPr>
          <w:rFonts w:ascii="Calibri" w:hAnsi="Calibri"/>
          <w:b w:val="0"/>
          <w:sz w:val="21"/>
        </w:rPr>
        <w:t>Trade-off Reset clears all entered budget values.</w:t>
      </w:r>
    </w:p>
    <w:p>
      <w:pPr>
        <w:pStyle w:val="Heading1"/>
      </w:pPr>
      <w:r>
        <w:rPr>
          <w:rFonts w:ascii="Calibri" w:hAnsi="Calibri"/>
          <w:color w:val="000000"/>
        </w:rPr>
        <w:t>Appendix A: Requirement Delta v5.0 to v5.2</w:t>
      </w:r>
    </w:p>
    <w:p>
      <w:pPr>
        <w:pStyle w:val="Heading2"/>
      </w:pPr>
      <w:r>
        <w:rPr>
          <w:rFonts w:ascii="Calibri" w:hAnsi="Calibri"/>
          <w:color w:val="000000"/>
        </w:rPr>
        <w:t>A.1 New requirements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ID</w:t>
            </w:r>
          </w:p>
        </w:tc>
        <w:tc>
          <w:tcPr>
            <w:tcW w:type="dxa" w:w="2880"/>
            <w:shd w:val="clear" w:color="auto" w:fill="0B5ED7"/>
          </w:tcPr>
          <w:p>
            <w:r>
              <w:rPr>
                <w:rFonts w:ascii="Calibri" w:hAnsi="Calibri"/>
                <w:color w:val="FFFFFF"/>
                <w:sz w:val="18"/>
              </w:rPr>
            </w:r>
            <w:r>
              <w:rPr>
                <w:rFonts w:ascii="Calibri" w:hAnsi="Calibri"/>
                <w:b/>
                <w:color w:val="FFFFFF"/>
                <w:sz w:val="18"/>
              </w:rPr>
              <w:t>Title</w:t>
            </w:r>
          </w:p>
        </w:tc>
        <w:tc>
          <w:tcPr>
            <w:tcW w:type="dxa" w:w="2880"/>
            <w:shd w:val="clear" w:color="auto" w:fill="0B5ED7"/>
          </w:tcPr>
          <w:p>
            <w:r>
              <w:rPr>
                <w:rFonts w:ascii="Calibri" w:hAnsi="Calibri"/>
                <w:color w:val="FFFFFF"/>
                <w:sz w:val="18"/>
              </w:rPr>
            </w:r>
            <w:r>
              <w:rPr>
                <w:rFonts w:ascii="Calibri" w:hAnsi="Calibri"/>
                <w:b/>
                <w:color w:val="FFFFFF"/>
                <w:sz w:val="18"/>
              </w:rPr>
              <w:t>Summary</w:t>
            </w:r>
          </w:p>
        </w:tc>
      </w:tr>
      <w:tr>
        <w:trPr>
          <w:cantSplit/>
        </w:trPr>
        <w:tc>
          <w:tcPr>
            <w:tcW w:type="dxa" w:w="2880"/>
          </w:tcPr>
          <w:p>
            <w:r>
              <w:rPr>
                <w:rFonts w:ascii="Calibri" w:hAnsi="Calibri"/>
                <w:color w:val="000000"/>
                <w:sz w:val="18"/>
              </w:rPr>
            </w:r>
            <w:r>
              <w:rPr>
                <w:rFonts w:ascii="Calibri" w:hAnsi="Calibri"/>
                <w:b w:val="0"/>
                <w:color w:val="000000"/>
                <w:sz w:val="18"/>
              </w:rPr>
              <w:t>EXCO-01</w:t>
            </w:r>
          </w:p>
        </w:tc>
        <w:tc>
          <w:tcPr>
            <w:tcW w:type="dxa" w:w="2880"/>
          </w:tcPr>
          <w:p>
            <w:r>
              <w:rPr>
                <w:rFonts w:ascii="Calibri" w:hAnsi="Calibri"/>
                <w:color w:val="000000"/>
                <w:sz w:val="18"/>
              </w:rPr>
            </w:r>
            <w:r>
              <w:rPr>
                <w:rFonts w:ascii="Calibri" w:hAnsi="Calibri"/>
                <w:b w:val="0"/>
                <w:color w:val="000000"/>
                <w:sz w:val="18"/>
              </w:rPr>
              <w:t>ExCo Accountability Hierarchy</w:t>
            </w:r>
          </w:p>
        </w:tc>
        <w:tc>
          <w:tcPr>
            <w:tcW w:type="dxa" w:w="2880"/>
          </w:tcPr>
          <w:p>
            <w:r>
              <w:rPr>
                <w:rFonts w:ascii="Calibri" w:hAnsi="Calibri"/>
                <w:color w:val="000000"/>
                <w:sz w:val="18"/>
              </w:rPr>
            </w:r>
            <w:r>
              <w:rPr>
                <w:rFonts w:ascii="Calibri" w:hAnsi="Calibri"/>
                <w:b w:val="0"/>
                <w:color w:val="000000"/>
                <w:sz w:val="18"/>
              </w:rPr>
              <w:t>16 leaders mapped to 35 orgs. EXCO_HIERARCHY, ORG_TO_EXCO, excoOf().</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EXCO-02</w:t>
            </w:r>
          </w:p>
        </w:tc>
        <w:tc>
          <w:tcPr>
            <w:tcW w:type="dxa" w:w="2880"/>
            <w:shd w:val="clear" w:color="auto" w:fill="F0F4F8"/>
          </w:tcPr>
          <w:p>
            <w:r>
              <w:rPr>
                <w:rFonts w:ascii="Calibri" w:hAnsi="Calibri"/>
                <w:color w:val="000000"/>
                <w:sz w:val="18"/>
              </w:rPr>
            </w:r>
            <w:r>
              <w:rPr>
                <w:rFonts w:ascii="Calibri" w:hAnsi="Calibri"/>
                <w:b w:val="0"/>
                <w:color w:val="000000"/>
                <w:sz w:val="18"/>
              </w:rPr>
              <w:t>Global ExCo Filter</w:t>
            </w:r>
          </w:p>
        </w:tc>
        <w:tc>
          <w:tcPr>
            <w:tcW w:type="dxa" w:w="2880"/>
            <w:shd w:val="clear" w:color="auto" w:fill="F0F4F8"/>
          </w:tcPr>
          <w:p>
            <w:r>
              <w:rPr>
                <w:rFonts w:ascii="Calibri" w:hAnsi="Calibri"/>
                <w:color w:val="000000"/>
                <w:sz w:val="18"/>
              </w:rPr>
              <w:t>First filter dropdown on all Programs tabs. Cascading ExCo-&gt;Org-&gt;Platform.</w:t>
            </w:r>
            <w:r>
              <w:rPr>
                <w:rFonts w:ascii="Calibri" w:hAnsi="Calibri"/>
                <w:b w:val="0"/>
                <w:color w:val="000000"/>
                <w:sz w:val="18"/>
              </w:rPr>
            </w:r>
          </w:p>
        </w:tc>
      </w:tr>
      <w:tr>
        <w:trPr>
          <w:cantSplit/>
        </w:trPr>
        <w:tc>
          <w:tcPr>
            <w:tcW w:type="dxa" w:w="2880"/>
          </w:tcPr>
          <w:p>
            <w:r>
              <w:rPr>
                <w:rFonts w:ascii="Calibri" w:hAnsi="Calibri"/>
                <w:color w:val="000000"/>
                <w:sz w:val="18"/>
              </w:rPr>
            </w:r>
            <w:r>
              <w:rPr>
                <w:rFonts w:ascii="Calibri" w:hAnsi="Calibri"/>
                <w:b w:val="0"/>
                <w:color w:val="000000"/>
                <w:sz w:val="18"/>
              </w:rPr>
              <w:t>EXCO-03</w:t>
            </w:r>
          </w:p>
        </w:tc>
        <w:tc>
          <w:tcPr>
            <w:tcW w:type="dxa" w:w="2880"/>
          </w:tcPr>
          <w:p>
            <w:r>
              <w:rPr>
                <w:rFonts w:ascii="Calibri" w:hAnsi="Calibri"/>
                <w:color w:val="000000"/>
                <w:sz w:val="18"/>
              </w:rPr>
            </w:r>
            <w:r>
              <w:rPr>
                <w:rFonts w:ascii="Calibri" w:hAnsi="Calibri"/>
                <w:b w:val="0"/>
                <w:color w:val="000000"/>
                <w:sz w:val="18"/>
              </w:rPr>
              <w:t>Demand Split by ExCo</w:t>
            </w:r>
          </w:p>
        </w:tc>
        <w:tc>
          <w:tcPr>
            <w:tcW w:type="dxa" w:w="2880"/>
          </w:tcPr>
          <w:p>
            <w:r>
              <w:rPr>
                <w:rFonts w:ascii="Calibri" w:hAnsi="Calibri"/>
                <w:color w:val="000000"/>
                <w:sz w:val="18"/>
              </w:rPr>
            </w:r>
            <w:r>
              <w:rPr>
                <w:rFonts w:ascii="Calibri" w:hAnsi="Calibri"/>
                <w:b w:val="0"/>
                <w:color w:val="000000"/>
                <w:sz w:val="18"/>
              </w:rPr>
              <w:t>Tab 1 collapsible ExCo groups replacing flat org list.</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EXCO-04</w:t>
            </w:r>
          </w:p>
        </w:tc>
        <w:tc>
          <w:tcPr>
            <w:tcW w:type="dxa" w:w="2880"/>
            <w:shd w:val="clear" w:color="auto" w:fill="F0F4F8"/>
          </w:tcPr>
          <w:p>
            <w:r>
              <w:rPr>
                <w:rFonts w:ascii="Calibri" w:hAnsi="Calibri"/>
                <w:color w:val="000000"/>
                <w:sz w:val="18"/>
              </w:rPr>
            </w:r>
            <w:r>
              <w:rPr>
                <w:rFonts w:ascii="Calibri" w:hAnsi="Calibri"/>
                <w:b w:val="0"/>
                <w:color w:val="000000"/>
                <w:sz w:val="18"/>
              </w:rPr>
              <w:t>ExCo Trade-off Cockpit</w:t>
            </w:r>
          </w:p>
        </w:tc>
        <w:tc>
          <w:tcPr>
            <w:tcW w:type="dxa" w:w="2880"/>
            <w:shd w:val="clear" w:color="auto" w:fill="F0F4F8"/>
          </w:tcPr>
          <w:p>
            <w:r>
              <w:rPr>
                <w:rFonts w:ascii="Calibri" w:hAnsi="Calibri"/>
                <w:color w:val="000000"/>
                <w:sz w:val="18"/>
              </w:rPr>
            </w:r>
            <w:r>
              <w:rPr>
                <w:rFonts w:ascii="Calibri" w:hAnsi="Calibri"/>
                <w:b w:val="0"/>
                <w:color w:val="000000"/>
                <w:sz w:val="18"/>
              </w:rPr>
              <w:t>Per-leader budget negotiation on Tabs 3 &amp; 4. Apply/Reset. Negative trade-offs.</w:t>
            </w:r>
          </w:p>
        </w:tc>
      </w:tr>
      <w:tr>
        <w:trPr>
          <w:cantSplit/>
        </w:trPr>
        <w:tc>
          <w:tcPr>
            <w:tcW w:type="dxa" w:w="2880"/>
          </w:tcPr>
          <w:p>
            <w:r>
              <w:rPr>
                <w:rFonts w:ascii="Calibri" w:hAnsi="Calibri"/>
                <w:color w:val="000000"/>
                <w:sz w:val="18"/>
              </w:rPr>
            </w:r>
            <w:r>
              <w:rPr>
                <w:rFonts w:ascii="Calibri" w:hAnsi="Calibri"/>
                <w:b w:val="0"/>
                <w:color w:val="000000"/>
                <w:sz w:val="18"/>
              </w:rPr>
              <w:t>EXCO-05</w:t>
            </w:r>
          </w:p>
        </w:tc>
        <w:tc>
          <w:tcPr>
            <w:tcW w:type="dxa" w:w="2880"/>
          </w:tcPr>
          <w:p>
            <w:r>
              <w:rPr>
                <w:rFonts w:ascii="Calibri" w:hAnsi="Calibri"/>
                <w:color w:val="000000"/>
                <w:sz w:val="18"/>
              </w:rPr>
            </w:r>
            <w:r>
              <w:rPr>
                <w:rFonts w:ascii="Calibri" w:hAnsi="Calibri"/>
                <w:b w:val="0"/>
                <w:color w:val="000000"/>
                <w:sz w:val="18"/>
              </w:rPr>
              <w:t>Total AOP Protection</w:t>
            </w:r>
          </w:p>
        </w:tc>
        <w:tc>
          <w:tcPr>
            <w:tcW w:type="dxa" w:w="2880"/>
          </w:tcPr>
          <w:p>
            <w:r>
              <w:rPr>
                <w:rFonts w:ascii="Calibri" w:hAnsi="Calibri"/>
                <w:color w:val="000000"/>
                <w:sz w:val="18"/>
              </w:rPr>
            </w:r>
            <w:r>
              <w:rPr>
                <w:rFonts w:ascii="Calibri" w:hAnsi="Calibri"/>
                <w:b w:val="0"/>
                <w:color w:val="000000"/>
                <w:sz w:val="18"/>
              </w:rPr>
              <w:t>Apply does not modify budget. "On top off AOP" KPI.</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BEN-01</w:t>
            </w:r>
          </w:p>
        </w:tc>
        <w:tc>
          <w:tcPr>
            <w:tcW w:type="dxa" w:w="2880"/>
            <w:shd w:val="clear" w:color="auto" w:fill="F0F4F8"/>
          </w:tcPr>
          <w:p>
            <w:r>
              <w:rPr>
                <w:rFonts w:ascii="Calibri" w:hAnsi="Calibri"/>
                <w:color w:val="000000"/>
                <w:sz w:val="18"/>
              </w:rPr>
            </w:r>
            <w:r>
              <w:rPr>
                <w:rFonts w:ascii="Calibri" w:hAnsi="Calibri"/>
                <w:b w:val="0"/>
                <w:color w:val="000000"/>
                <w:sz w:val="18"/>
              </w:rPr>
              <w:t>Benefit Classification</w:t>
            </w:r>
          </w:p>
        </w:tc>
        <w:tc>
          <w:tcPr>
            <w:tcW w:type="dxa" w:w="2880"/>
            <w:shd w:val="clear" w:color="auto" w:fill="F0F4F8"/>
          </w:tcPr>
          <w:p>
            <w:r>
              <w:rPr>
                <w:rFonts w:ascii="Calibri" w:hAnsi="Calibri"/>
                <w:color w:val="000000"/>
                <w:sz w:val="18"/>
              </w:rPr>
            </w:r>
            <w:r>
              <w:rPr>
                <w:rFonts w:ascii="Calibri" w:hAnsi="Calibri"/>
                <w:b w:val="0"/>
                <w:color w:val="000000"/>
                <w:sz w:val="18"/>
              </w:rPr>
              <w:t>classifyBenefit() -&gt; Hard/Soft/Qualitative/None. Data quality flags.</w:t>
            </w:r>
          </w:p>
        </w:tc>
      </w:tr>
      <w:tr>
        <w:trPr>
          <w:cantSplit/>
        </w:trPr>
        <w:tc>
          <w:tcPr>
            <w:tcW w:type="dxa" w:w="2880"/>
          </w:tcPr>
          <w:p>
            <w:r>
              <w:rPr>
                <w:rFonts w:ascii="Calibri" w:hAnsi="Calibri"/>
                <w:color w:val="000000"/>
                <w:sz w:val="18"/>
              </w:rPr>
            </w:r>
            <w:r>
              <w:rPr>
                <w:rFonts w:ascii="Calibri" w:hAnsi="Calibri"/>
                <w:b w:val="0"/>
                <w:color w:val="000000"/>
                <w:sz w:val="18"/>
              </w:rPr>
              <w:t>BEN-02</w:t>
            </w:r>
          </w:p>
        </w:tc>
        <w:tc>
          <w:tcPr>
            <w:tcW w:type="dxa" w:w="2880"/>
          </w:tcPr>
          <w:p>
            <w:r>
              <w:rPr>
                <w:rFonts w:ascii="Calibri" w:hAnsi="Calibri"/>
                <w:color w:val="000000"/>
                <w:sz w:val="18"/>
              </w:rPr>
            </w:r>
            <w:r>
              <w:rPr>
                <w:rFonts w:ascii="Calibri" w:hAnsi="Calibri"/>
                <w:b w:val="0"/>
                <w:color w:val="000000"/>
                <w:sz w:val="18"/>
              </w:rPr>
              <w:t>Hard/Soft Display</w:t>
            </w:r>
          </w:p>
        </w:tc>
        <w:tc>
          <w:tcPr>
            <w:tcW w:type="dxa" w:w="2880"/>
          </w:tcPr>
          <w:p>
            <w:r>
              <w:rPr>
                <w:rFonts w:ascii="Calibri" w:hAnsi="Calibri"/>
                <w:color w:val="000000"/>
                <w:sz w:val="18"/>
              </w:rPr>
            </w:r>
            <w:r>
              <w:rPr>
                <w:rFonts w:ascii="Calibri" w:hAnsi="Calibri"/>
                <w:b w:val="0"/>
                <w:color w:val="000000"/>
                <w:sz w:val="18"/>
              </w:rPr>
              <w:t>Consistent Hard/Soft split across all tabs, charts, tooltips.</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BEN-03</w:t>
            </w:r>
          </w:p>
        </w:tc>
        <w:tc>
          <w:tcPr>
            <w:tcW w:type="dxa" w:w="2880"/>
            <w:shd w:val="clear" w:color="auto" w:fill="F0F4F8"/>
          </w:tcPr>
          <w:p>
            <w:r>
              <w:rPr>
                <w:rFonts w:ascii="Calibri" w:hAnsi="Calibri"/>
                <w:color w:val="000000"/>
                <w:sz w:val="18"/>
              </w:rPr>
            </w:r>
            <w:r>
              <w:rPr>
                <w:rFonts w:ascii="Calibri" w:hAnsi="Calibri"/>
                <w:b w:val="0"/>
                <w:color w:val="000000"/>
                <w:sz w:val="18"/>
              </w:rPr>
              <w:t>Data Quality Flags</w:t>
            </w:r>
          </w:p>
        </w:tc>
        <w:tc>
          <w:tcPr>
            <w:tcW w:type="dxa" w:w="2880"/>
            <w:shd w:val="clear" w:color="auto" w:fill="F0F4F8"/>
          </w:tcPr>
          <w:p>
            <w:r>
              <w:rPr>
                <w:rFonts w:ascii="Calibri" w:hAnsi="Calibri"/>
                <w:color w:val="000000"/>
                <w:sz w:val="18"/>
              </w:rPr>
            </w:r>
            <w:r>
              <w:rPr>
                <w:rFonts w:ascii="Calibri" w:hAnsi="Calibri"/>
                <w:b w:val="0"/>
                <w:color w:val="000000"/>
                <w:sz w:val="18"/>
              </w:rPr>
              <w:t>K EUR suspect, outlier, high ratio, no business case.</w:t>
            </w:r>
          </w:p>
        </w:tc>
      </w:tr>
      <w:tr>
        <w:trPr>
          <w:cantSplit/>
        </w:trPr>
        <w:tc>
          <w:tcPr>
            <w:tcW w:type="dxa" w:w="2880"/>
          </w:tcPr>
          <w:p>
            <w:r>
              <w:rPr>
                <w:rFonts w:ascii="Calibri" w:hAnsi="Calibri"/>
                <w:color w:val="000000"/>
                <w:sz w:val="18"/>
              </w:rPr>
            </w:r>
            <w:r>
              <w:rPr>
                <w:rFonts w:ascii="Calibri" w:hAnsi="Calibri"/>
                <w:b w:val="0"/>
                <w:color w:val="000000"/>
                <w:sz w:val="18"/>
              </w:rPr>
              <w:t>UI-01</w:t>
            </w:r>
          </w:p>
        </w:tc>
        <w:tc>
          <w:tcPr>
            <w:tcW w:type="dxa" w:w="2880"/>
          </w:tcPr>
          <w:p>
            <w:r>
              <w:rPr>
                <w:rFonts w:ascii="Calibri" w:hAnsi="Calibri"/>
                <w:color w:val="000000"/>
                <w:sz w:val="18"/>
              </w:rPr>
            </w:r>
            <w:r>
              <w:rPr>
                <w:rFonts w:ascii="Calibri" w:hAnsi="Calibri"/>
                <w:b w:val="0"/>
                <w:color w:val="000000"/>
                <w:sz w:val="18"/>
              </w:rPr>
              <w:t>Y-axis Pill Toggle</w:t>
            </w:r>
          </w:p>
        </w:tc>
        <w:tc>
          <w:tcPr>
            <w:tcW w:type="dxa" w:w="2880"/>
          </w:tcPr>
          <w:p>
            <w:r>
              <w:rPr>
                <w:rFonts w:ascii="Calibri" w:hAnsi="Calibri"/>
                <w:color w:val="000000"/>
                <w:sz w:val="18"/>
              </w:rPr>
            </w:r>
            <w:r>
              <w:rPr>
                <w:rFonts w:ascii="Calibri" w:hAnsi="Calibri"/>
                <w:b w:val="0"/>
                <w:color w:val="000000"/>
                <w:sz w:val="18"/>
              </w:rPr>
              <w:t>Bubble chart toggle: Requested/Prioritised vs Hard Benefits.</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UI-02</w:t>
            </w:r>
          </w:p>
        </w:tc>
        <w:tc>
          <w:tcPr>
            <w:tcW w:type="dxa" w:w="2880"/>
            <w:shd w:val="clear" w:color="auto" w:fill="F0F4F8"/>
          </w:tcPr>
          <w:p>
            <w:r>
              <w:rPr>
                <w:rFonts w:ascii="Calibri" w:hAnsi="Calibri"/>
                <w:color w:val="000000"/>
                <w:sz w:val="18"/>
              </w:rPr>
            </w:r>
            <w:r>
              <w:rPr>
                <w:rFonts w:ascii="Calibri" w:hAnsi="Calibri"/>
                <w:b w:val="0"/>
                <w:color w:val="000000"/>
                <w:sz w:val="18"/>
              </w:rPr>
              <w:t>Legend Redesign</w:t>
            </w:r>
          </w:p>
        </w:tc>
        <w:tc>
          <w:tcPr>
            <w:tcW w:type="dxa" w:w="2880"/>
            <w:shd w:val="clear" w:color="auto" w:fill="F0F4F8"/>
          </w:tcPr>
          <w:p>
            <w:r>
              <w:rPr>
                <w:rFonts w:ascii="Calibri" w:hAnsi="Calibri"/>
                <w:color w:val="000000"/>
                <w:sz w:val="18"/>
              </w:rPr>
            </w:r>
            <w:r>
              <w:rPr>
                <w:rFonts w:ascii="Calibri" w:hAnsi="Calibri"/>
                <w:b w:val="0"/>
                <w:color w:val="000000"/>
                <w:sz w:val="18"/>
              </w:rPr>
              <w:t>Right-side panel with per-category M€ table.</w:t>
            </w:r>
          </w:p>
        </w:tc>
      </w:tr>
      <w:tr>
        <w:trPr>
          <w:cantSplit/>
        </w:trPr>
        <w:tc>
          <w:tcPr>
            <w:tcW w:type="dxa" w:w="2880"/>
          </w:tcPr>
          <w:p>
            <w:r>
              <w:rPr>
                <w:rFonts w:ascii="Calibri" w:hAnsi="Calibri"/>
                <w:color w:val="000000"/>
                <w:sz w:val="18"/>
              </w:rPr>
            </w:r>
            <w:r>
              <w:rPr>
                <w:rFonts w:ascii="Calibri" w:hAnsi="Calibri"/>
                <w:b w:val="0"/>
                <w:color w:val="000000"/>
                <w:sz w:val="18"/>
              </w:rPr>
              <w:t>UI-03</w:t>
            </w:r>
          </w:p>
        </w:tc>
        <w:tc>
          <w:tcPr>
            <w:tcW w:type="dxa" w:w="2880"/>
          </w:tcPr>
          <w:p>
            <w:r>
              <w:rPr>
                <w:rFonts w:ascii="Calibri" w:hAnsi="Calibri"/>
                <w:color w:val="000000"/>
                <w:sz w:val="18"/>
              </w:rPr>
            </w:r>
            <w:r>
              <w:rPr>
                <w:rFonts w:ascii="Calibri" w:hAnsi="Calibri"/>
                <w:b w:val="0"/>
                <w:color w:val="000000"/>
                <w:sz w:val="18"/>
              </w:rPr>
              <w:t>Chart Summary Line</w:t>
            </w:r>
          </w:p>
        </w:tc>
        <w:tc>
          <w:tcPr>
            <w:tcW w:type="dxa" w:w="2880"/>
          </w:tcPr>
          <w:p>
            <w:r>
              <w:rPr>
                <w:rFonts w:ascii="Calibri" w:hAnsi="Calibri"/>
                <w:color w:val="000000"/>
                <w:sz w:val="18"/>
              </w:rPr>
            </w:r>
            <w:r>
              <w:rPr>
                <w:rFonts w:ascii="Calibri" w:hAnsi="Calibri"/>
                <w:b w:val="0"/>
                <w:color w:val="000000"/>
                <w:sz w:val="18"/>
              </w:rPr>
              <w:t>Tabs 3/4/6: funded count, total, committed Hard/Soft.</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UI-04</w:t>
            </w:r>
          </w:p>
        </w:tc>
        <w:tc>
          <w:tcPr>
            <w:tcW w:type="dxa" w:w="2880"/>
            <w:shd w:val="clear" w:color="auto" w:fill="F0F4F8"/>
          </w:tcPr>
          <w:p>
            <w:r>
              <w:rPr>
                <w:rFonts w:ascii="Calibri" w:hAnsi="Calibri"/>
                <w:color w:val="000000"/>
                <w:sz w:val="18"/>
              </w:rPr>
            </w:r>
            <w:r>
              <w:rPr>
                <w:rFonts w:ascii="Calibri" w:hAnsi="Calibri"/>
                <w:b w:val="0"/>
                <w:color w:val="000000"/>
                <w:sz w:val="18"/>
              </w:rPr>
              <w:t>Median/Merit Removal</w:t>
            </w:r>
          </w:p>
        </w:tc>
        <w:tc>
          <w:tcPr>
            <w:tcW w:type="dxa" w:w="2880"/>
            <w:shd w:val="clear" w:color="auto" w:fill="F0F4F8"/>
          </w:tcPr>
          <w:p>
            <w:r>
              <w:rPr>
                <w:rFonts w:ascii="Calibri" w:hAnsi="Calibri"/>
                <w:color w:val="000000"/>
                <w:sz w:val="18"/>
              </w:rPr>
            </w:r>
            <w:r>
              <w:rPr>
                <w:rFonts w:ascii="Calibri" w:hAnsi="Calibri"/>
                <w:b w:val="0"/>
                <w:color w:val="000000"/>
                <w:sz w:val="18"/>
              </w:rPr>
              <w:t>Removed from Tabs 3/4/6; kept on Tab 2.</w:t>
            </w:r>
          </w:p>
        </w:tc>
      </w:tr>
      <w:tr>
        <w:trPr>
          <w:cantSplit/>
        </w:trPr>
        <w:tc>
          <w:tcPr>
            <w:tcW w:type="dxa" w:w="2880"/>
          </w:tcPr>
          <w:p>
            <w:r>
              <w:rPr>
                <w:rFonts w:ascii="Calibri" w:hAnsi="Calibri"/>
                <w:color w:val="000000"/>
                <w:sz w:val="18"/>
              </w:rPr>
            </w:r>
            <w:r>
              <w:rPr>
                <w:rFonts w:ascii="Calibri" w:hAnsi="Calibri"/>
                <w:b w:val="0"/>
                <w:color w:val="000000"/>
                <w:sz w:val="18"/>
              </w:rPr>
              <w:t>UI-05</w:t>
            </w:r>
          </w:p>
        </w:tc>
        <w:tc>
          <w:tcPr>
            <w:tcW w:type="dxa" w:w="2880"/>
          </w:tcPr>
          <w:p>
            <w:r>
              <w:rPr>
                <w:rFonts w:ascii="Calibri" w:hAnsi="Calibri"/>
                <w:color w:val="000000"/>
                <w:sz w:val="18"/>
              </w:rPr>
            </w:r>
            <w:r>
              <w:rPr>
                <w:rFonts w:ascii="Calibri" w:hAnsi="Calibri"/>
                <w:b w:val="0"/>
                <w:color w:val="000000"/>
                <w:sz w:val="18"/>
              </w:rPr>
              <w:t>Demand in Scenario Rebuild</w:t>
            </w:r>
          </w:p>
        </w:tc>
        <w:tc>
          <w:tcPr>
            <w:tcW w:type="dxa" w:w="2880"/>
          </w:tcPr>
          <w:p>
            <w:r>
              <w:rPr>
                <w:rFonts w:ascii="Calibri" w:hAnsi="Calibri"/>
                <w:color w:val="000000"/>
                <w:sz w:val="18"/>
              </w:rPr>
            </w:r>
            <w:r>
              <w:rPr>
                <w:rFonts w:ascii="Calibri" w:hAnsi="Calibri"/>
                <w:b w:val="0"/>
                <w:color w:val="000000"/>
                <w:sz w:val="18"/>
              </w:rPr>
              <w:t>Collapsible BURF groups, pill toggle, cascading ExCo filters.</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UI-06</w:t>
            </w:r>
          </w:p>
        </w:tc>
        <w:tc>
          <w:tcPr>
            <w:tcW w:type="dxa" w:w="2880"/>
            <w:shd w:val="clear" w:color="auto" w:fill="F0F4F8"/>
          </w:tcPr>
          <w:p>
            <w:r>
              <w:rPr>
                <w:rFonts w:ascii="Calibri" w:hAnsi="Calibri"/>
                <w:color w:val="000000"/>
                <w:sz w:val="18"/>
              </w:rPr>
            </w:r>
            <w:r>
              <w:rPr>
                <w:rFonts w:ascii="Calibri" w:hAnsi="Calibri"/>
                <w:b w:val="0"/>
                <w:color w:val="000000"/>
                <w:sz w:val="18"/>
              </w:rPr>
              <w:t>Tab 1 KPI Redesign</w:t>
            </w:r>
          </w:p>
        </w:tc>
        <w:tc>
          <w:tcPr>
            <w:tcW w:type="dxa" w:w="2880"/>
            <w:shd w:val="clear" w:color="auto" w:fill="F0F4F8"/>
          </w:tcPr>
          <w:p>
            <w:r>
              <w:rPr>
                <w:rFonts w:ascii="Calibri" w:hAnsi="Calibri"/>
                <w:color w:val="000000"/>
                <w:sz w:val="18"/>
              </w:rPr>
              <w:t>Single row of 5 tiles. Hard (blue) / Soft (black) benefits format. Removed 2026 Programs AOP and 2026 Operations AOP tiles.</w:t>
            </w:r>
            <w:r>
              <w:rPr>
                <w:rFonts w:ascii="Calibri" w:hAnsi="Calibri"/>
                <w:b w:val="0"/>
                <w:color w:val="000000"/>
                <w:sz w:val="18"/>
              </w:rPr>
            </w:r>
          </w:p>
        </w:tc>
      </w:tr>
      <w:tr>
        <w:trPr>
          <w:cantSplit/>
        </w:trPr>
        <w:tc>
          <w:tcPr>
            <w:tcW w:type="dxa" w:w="2880"/>
          </w:tcPr>
          <w:p>
            <w:r>
              <w:rPr>
                <w:rFonts w:ascii="Calibri" w:hAnsi="Calibri"/>
                <w:color w:val="000000"/>
                <w:sz w:val="18"/>
              </w:rPr>
            </w:r>
            <w:r>
              <w:rPr>
                <w:rFonts w:ascii="Calibri" w:hAnsi="Calibri"/>
                <w:b w:val="0"/>
                <w:color w:val="000000"/>
                <w:sz w:val="18"/>
              </w:rPr>
              <w:t>UI-07</w:t>
            </w:r>
          </w:p>
        </w:tc>
        <w:tc>
          <w:tcPr>
            <w:tcW w:type="dxa" w:w="2880"/>
          </w:tcPr>
          <w:p>
            <w:r>
              <w:rPr>
                <w:rFonts w:ascii="Calibri" w:hAnsi="Calibri"/>
                <w:color w:val="000000"/>
                <w:sz w:val="18"/>
              </w:rPr>
            </w:r>
            <w:r>
              <w:rPr>
                <w:rFonts w:ascii="Calibri" w:hAnsi="Calibri"/>
                <w:b w:val="0"/>
                <w:color w:val="000000"/>
                <w:sz w:val="18"/>
              </w:rPr>
              <w:t>Tab 2 KPI Styling</w:t>
            </w:r>
          </w:p>
        </w:tc>
        <w:tc>
          <w:tcPr>
            <w:tcW w:type="dxa" w:w="2880"/>
          </w:tcPr>
          <w:p>
            <w:r>
              <w:rPr>
                <w:rFonts w:ascii="Calibri" w:hAnsi="Calibri"/>
                <w:color w:val="000000"/>
                <w:sz w:val="18"/>
              </w:rPr>
            </w:r>
            <w:r>
              <w:rPr>
                <w:rFonts w:ascii="Calibri" w:hAnsi="Calibri"/>
                <w:b w:val="0"/>
                <w:color w:val="000000"/>
                <w:sz w:val="18"/>
              </w:rPr>
              <w:t>Allocated AOP dark blue; others white. On top off indicator.</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UI-08</w:t>
            </w:r>
          </w:p>
        </w:tc>
        <w:tc>
          <w:tcPr>
            <w:tcW w:type="dxa" w:w="2880"/>
            <w:shd w:val="clear" w:color="auto" w:fill="F0F4F8"/>
          </w:tcPr>
          <w:p>
            <w:r>
              <w:rPr>
                <w:rFonts w:ascii="Calibri" w:hAnsi="Calibri"/>
                <w:color w:val="000000"/>
                <w:sz w:val="18"/>
              </w:rPr>
            </w:r>
            <w:r>
              <w:rPr>
                <w:rFonts w:ascii="Calibri" w:hAnsi="Calibri"/>
                <w:b w:val="0"/>
                <w:color w:val="000000"/>
                <w:sz w:val="18"/>
              </w:rPr>
              <w:t>Tab 6 Redesign</w:t>
            </w:r>
          </w:p>
        </w:tc>
        <w:tc>
          <w:tcPr>
            <w:tcW w:type="dxa" w:w="2880"/>
            <w:shd w:val="clear" w:color="auto" w:fill="F0F4F8"/>
          </w:tcPr>
          <w:p>
            <w:r>
              <w:rPr>
                <w:rFonts w:ascii="Calibri" w:hAnsi="Calibri"/>
                <w:color w:val="000000"/>
                <w:sz w:val="18"/>
              </w:rPr>
            </w:r>
            <w:r>
              <w:rPr>
                <w:rFonts w:ascii="Calibri" w:hAnsi="Calibri"/>
                <w:b w:val="0"/>
                <w:color w:val="000000"/>
                <w:sz w:val="18"/>
              </w:rPr>
              <w:t>5-tile 1fr grid. F&amp;R|BU single-line. Removed export buttons. Download Excel button removed from filter toolbar.</w:t>
            </w:r>
          </w:p>
        </w:tc>
      </w:tr>
      <w:tr>
        <w:trPr>
          <w:cantSplit/>
        </w:trPr>
        <w:tc>
          <w:tcPr>
            <w:tcW w:type="dxa" w:w="2880"/>
          </w:tcPr>
          <w:p>
            <w:r>
              <w:rPr>
                <w:rFonts w:ascii="Calibri" w:hAnsi="Calibri"/>
                <w:color w:val="000000"/>
                <w:sz w:val="18"/>
              </w:rPr>
            </w:r>
            <w:r>
              <w:rPr>
                <w:rFonts w:ascii="Calibri" w:hAnsi="Calibri"/>
                <w:b w:val="0"/>
                <w:color w:val="000000"/>
                <w:sz w:val="18"/>
              </w:rPr>
              <w:t>UI-09</w:t>
            </w:r>
          </w:p>
        </w:tc>
        <w:tc>
          <w:tcPr>
            <w:tcW w:type="dxa" w:w="2880"/>
          </w:tcPr>
          <w:p>
            <w:r>
              <w:rPr>
                <w:rFonts w:ascii="Calibri" w:hAnsi="Calibri"/>
                <w:color w:val="000000"/>
                <w:sz w:val="18"/>
              </w:rPr>
            </w:r>
            <w:r>
              <w:rPr>
                <w:rFonts w:ascii="Calibri" w:hAnsi="Calibri"/>
                <w:b w:val="0"/>
                <w:color w:val="000000"/>
                <w:sz w:val="18"/>
              </w:rPr>
              <w:t>Filter Auto-Close</w:t>
            </w:r>
          </w:p>
        </w:tc>
        <w:tc>
          <w:tcPr>
            <w:tcW w:type="dxa" w:w="2880"/>
          </w:tcPr>
          <w:p>
            <w:r>
              <w:rPr>
                <w:rFonts w:ascii="Calibri" w:hAnsi="Calibri"/>
                <w:color w:val="000000"/>
                <w:sz w:val="18"/>
              </w:rPr>
            </w:r>
            <w:r>
              <w:rPr>
                <w:rFonts w:ascii="Calibri" w:hAnsi="Calibri"/>
                <w:b w:val="0"/>
                <w:color w:val="000000"/>
                <w:sz w:val="18"/>
              </w:rPr>
              <w:t>All dropdowns auto-close after selection.</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UI-10</w:t>
            </w:r>
          </w:p>
        </w:tc>
        <w:tc>
          <w:tcPr>
            <w:tcW w:type="dxa" w:w="2880"/>
            <w:shd w:val="clear" w:color="auto" w:fill="F0F4F8"/>
          </w:tcPr>
          <w:p>
            <w:r>
              <w:rPr>
                <w:rFonts w:ascii="Calibri" w:hAnsi="Calibri"/>
                <w:color w:val="000000"/>
                <w:sz w:val="18"/>
              </w:rPr>
            </w:r>
            <w:r>
              <w:rPr>
                <w:rFonts w:ascii="Calibri" w:hAnsi="Calibri"/>
                <w:b w:val="0"/>
                <w:color w:val="000000"/>
                <w:sz w:val="18"/>
              </w:rPr>
              <w:t>New Working Version Reset</w:t>
            </w:r>
          </w:p>
        </w:tc>
        <w:tc>
          <w:tcPr>
            <w:tcW w:type="dxa" w:w="2880"/>
            <w:shd w:val="clear" w:color="auto" w:fill="F0F4F8"/>
          </w:tcPr>
          <w:p>
            <w:r>
              <w:rPr>
                <w:rFonts w:ascii="Calibri" w:hAnsi="Calibri"/>
                <w:color w:val="000000"/>
                <w:sz w:val="18"/>
              </w:rPr>
              <w:t>New Working Version creates a draft fork with parent lineage, retaining settings, Programs decisions and evidence reviews.</w:t>
            </w:r>
            <w:r>
              <w:rPr>
                <w:rFonts w:ascii="Calibri" w:hAnsi="Calibri"/>
                <w:b w:val="0"/>
                <w:color w:val="000000"/>
                <w:sz w:val="18"/>
              </w:rPr>
            </w:r>
          </w:p>
        </w:tc>
      </w:tr>
      <w:tr>
        <w:trPr>
          <w:cantSplit/>
        </w:trPr>
        <w:tc>
          <w:tcPr>
            <w:tcW w:type="dxa" w:w="2880"/>
          </w:tcPr>
          <w:p>
            <w:r>
              <w:rPr>
                <w:rFonts w:ascii="Calibri" w:hAnsi="Calibri"/>
                <w:color w:val="000000"/>
                <w:sz w:val="18"/>
              </w:rPr>
            </w:r>
            <w:r>
              <w:rPr>
                <w:rFonts w:ascii="Calibri" w:hAnsi="Calibri"/>
                <w:b w:val="0"/>
                <w:color w:val="000000"/>
                <w:sz w:val="18"/>
              </w:rPr>
              <w:t>UI-11</w:t>
            </w:r>
          </w:p>
        </w:tc>
        <w:tc>
          <w:tcPr>
            <w:tcW w:type="dxa" w:w="2880"/>
          </w:tcPr>
          <w:p>
            <w:r>
              <w:rPr>
                <w:rFonts w:ascii="Calibri" w:hAnsi="Calibri"/>
                <w:color w:val="000000"/>
                <w:sz w:val="18"/>
              </w:rPr>
              <w:t>Programs Detail Popup Redesign</w:t>
            </w:r>
            <w:r>
              <w:rPr>
                <w:rFonts w:ascii="Calibri" w:hAnsi="Calibri"/>
                <w:b w:val="0"/>
                <w:color w:val="000000"/>
                <w:sz w:val="18"/>
              </w:rPr>
            </w:r>
          </w:p>
        </w:tc>
        <w:tc>
          <w:tcPr>
            <w:tcW w:type="dxa" w:w="2880"/>
          </w:tcPr>
          <w:p>
            <w:r>
              <w:rPr>
                <w:rFonts w:ascii="Calibri" w:hAnsi="Calibri"/>
                <w:color w:val="000000"/>
                <w:sz w:val="18"/>
              </w:rPr>
            </w:r>
            <w:r>
              <w:rPr>
                <w:rFonts w:ascii="Calibri" w:hAnsi="Calibri"/>
                <w:b w:val="0"/>
                <w:color w:val="000000"/>
                <w:sz w:val="18"/>
              </w:rPr>
              <w:t>New layout: Name header, Demand/Prioritised Demand, 7-field Details table, Merit Score breakdown, Funding Rationale type indicator.</w:t>
            </w:r>
          </w:p>
        </w:tc>
      </w:tr>
    </w:tbl>
    <w:p/>
    <w:p>
      <w:pPr>
        <w:pStyle w:val="Heading2"/>
      </w:pPr>
      <w:r>
        <w:rPr>
          <w:rFonts w:ascii="Calibri" w:hAnsi="Calibri"/>
          <w:color w:val="000000"/>
        </w:rPr>
        <w:t>A.2 Unchanged from v5.0</w:t>
      </w:r>
    </w:p>
    <w:p>
      <w:r>
        <w:rPr>
          <w:rFonts w:ascii="Calibri" w:hAnsi="Calibri"/>
          <w:b w:val="0"/>
          <w:sz w:val="22"/>
        </w:rPr>
        <w:t>The following requirement groups from PRD v5.0 and v4.0 remain unchanged:</w:t>
      </w:r>
    </w:p>
    <w:p>
      <w:pPr>
        <w:pStyle w:val="ListBullet"/>
      </w:pPr>
      <w:r>
        <w:rPr>
          <w:rFonts w:ascii="Calibri" w:hAnsi="Calibri"/>
          <w:b w:val="0"/>
          <w:sz w:val="21"/>
        </w:rPr>
        <w:t>FIN-01 through FIN-04: EW charging exclusion, BU cluster allocation, EW charge calculation, Finance QA harness.</w:t>
      </w:r>
    </w:p>
    <w:p>
      <w:pPr>
        <w:pStyle w:val="ListBullet"/>
      </w:pPr>
      <w:r>
        <w:rPr>
          <w:rFonts w:ascii="Calibri" w:hAnsi="Calibri"/>
          <w:b w:val="0"/>
          <w:sz w:val="21"/>
        </w:rPr>
        <w:t>Prioritization logic (4-priority structure, merit scoring, 5 components).</w:t>
      </w:r>
    </w:p>
    <w:p>
      <w:pPr>
        <w:pStyle w:val="ListBullet"/>
      </w:pPr>
      <w:r>
        <w:rPr>
          <w:rFonts w:ascii="Calibri" w:hAnsi="Calibri"/>
          <w:b w:val="0"/>
          <w:sz w:val="21"/>
        </w:rPr>
        <w:t>Operations tab specification (Tab 5).</w:t>
      </w:r>
    </w:p>
    <w:p>
      <w:pPr>
        <w:pStyle w:val="ListBullet"/>
      </w:pPr>
      <w:r>
        <w:rPr>
          <w:rFonts w:ascii="Calibri" w:hAnsi="Calibri"/>
          <w:b w:val="0"/>
          <w:sz w:val="21"/>
        </w:rPr>
        <w:t>Source workbook contract and normalised record fields.</w:t>
      </w:r>
    </w:p>
    <w:p>
      <w:pPr>
        <w:pStyle w:val="ListBullet"/>
      </w:pPr>
      <w:r>
        <w:rPr>
          <w:rFonts w:ascii="Calibri" w:hAnsi="Calibri"/>
          <w:b w:val="0"/>
          <w:sz w:val="21"/>
        </w:rPr>
        <w:t>Scenario persistence and decision history.</w:t>
      </w:r>
    </w:p>
    <w:p>
      <w:pPr>
        <w:pStyle w:val="ListBullet"/>
      </w:pPr>
      <w:r>
        <w:rPr>
          <w:rFonts w:ascii="Calibri" w:hAnsi="Calibri"/>
          <w:b w:val="0"/>
          <w:sz w:val="21"/>
        </w:rPr>
        <w:t>Excel downloads and traceability.</w:t>
      </w:r>
    </w:p>
    <w:p>
      <w:pPr>
        <w:pStyle w:val="ListBullet"/>
      </w:pPr>
      <w:r>
        <w:rPr>
          <w:rFonts w:ascii="Calibri" w:hAnsi="Calibri"/>
          <w:b w:val="0"/>
          <w:sz w:val="21"/>
        </w:rPr>
        <w:t>Platform mapping (normalizePlatform, DEPT_PLATFORM, SVC_PLATFORM_MAP).</w:t>
      </w:r>
    </w:p>
    <w:p>
      <w:r>
        <w:br w:type="page"/>
      </w:r>
    </w:p>
    <w:p>
      <w:pPr>
        <w:pStyle w:val="Title"/>
      </w:pPr>
      <w:r>
        <w:t>Finance calculation module — v5.7.0</w:t>
      </w:r>
    </w:p>
    <w:p>
      <w:r>
        <w:t>The finance module is the calculation authority for Programs allocation and combined Programs + Operations recipient cost. The source-accountability view and the receiving-BU view represent the same cost and must never be added together.</w:t>
      </w:r>
    </w:p>
    <w:p>
      <w:pPr>
        <w:pStyle w:val="Heading1"/>
      </w:pPr>
      <w:r>
        <w:t>Confirmed default and charging key</w:t>
      </w:r>
    </w:p>
    <w:p>
      <w:r>
        <w:t>The Optimal default budget is 100 M€. LFR retains the verified share; Carry Over uses approved baseline caps without an ROI threshold; Sustain is 60% of its bucket; Value uses the remaining available budget; IT Simplification is optional and inactive by default. Manual changes retain any overspend visibly. PMI is on top.</w:t>
      </w:r>
    </w:p>
    <w:p>
      <w:r>
        <w:t>EW charge to recipient b = funded EW Programs × charging fraction b. The BU row 276 percentage formulas sum to 0.001 because recipient values totaling 40 are divided by 40,000. The confirmed correction multiplies each source fraction by 1,000. It preserves the exact 22.63033175355452% unallocated share. Display rounding does not change the calculation.</w:t>
      </w:r>
    </w:p>
    <w:p>
      <w:pPr>
        <w:pStyle w:val="Heading2"/>
      </w:pPr>
      <w:r>
        <w:t>FIN-01</w:t>
      </w:r>
    </w:p>
    <w:p>
      <w:r>
        <w:t>One exact financial ledger feeds all six tabs, Portfolio Inclusion Table, both ExCo Trade-off Cockpits, AOP2027: Programs Demand Overview, Organisation IT Cost Allocation: Programs + Operations, and exports.</w:t>
      </w:r>
    </w:p>
    <w:p>
      <w:pPr>
        <w:pStyle w:val="Heading2"/>
      </w:pPr>
      <w:r>
        <w:t>FIN-02</w:t>
      </w:r>
    </w:p>
    <w:p>
      <w:r>
        <w:t>Separate demand selection from allocation. First compute requested, automatic, manual, final and unfunded for every active Programs record. Then allocate final funding using the appropriate source key. Allocation never changes merit or funding.</w:t>
      </w:r>
    </w:p>
    <w:p>
      <w:pPr>
        <w:pStyle w:val="Heading2"/>
      </w:pPr>
      <w:r>
        <w:t>FIN-03</w:t>
      </w:r>
    </w:p>
    <w:p>
      <w:r>
        <w:t>Single BU: use the row’s exact spend-allocation percentages, including sub-BU recipients. A confirmed sole recipient can receive 100% only when the source establishes that recipient; never substitute the requesting organisation for a missing charge key.</w:t>
      </w:r>
    </w:p>
    <w:p>
      <w:pPr>
        <w:pStyle w:val="Heading2"/>
      </w:pPr>
      <w:r>
        <w:t>FIN-04</w:t>
      </w:r>
    </w:p>
    <w:p>
      <w:r>
        <w:t>Cross BU: allocate final amount using the record’s exact percentages from SPEND ALLOCATION BY BUSINESS UNIT. Validate each recipient and row total. Do not redistribute an incomplete key automatically.</w:t>
      </w:r>
    </w:p>
    <w:p>
      <w:pPr>
        <w:pStyle w:val="Heading2"/>
      </w:pPr>
      <w:r>
        <w:t>FIN-05</w:t>
      </w:r>
    </w:p>
    <w:p>
      <w:r>
        <w:t>Indirect Cross BU follows its own source allocation, including Not allocated to BU. The requesting Function/Region remains the accountable origin. No fallback to the EW key is applied.</w:t>
      </w:r>
    </w:p>
    <w:p>
      <w:pPr>
        <w:pStyle w:val="Heading2"/>
      </w:pPr>
      <w:r>
        <w:t>FIN-06</w:t>
      </w:r>
    </w:p>
    <w:p>
      <w:r>
        <w:t>Enterprise-wide: isolate the Enterprise-wide charging row and apply its validated percentage vector to funded EW amounts. Retain both source Function/Region and recipient BU for drill-down.</w:t>
      </w:r>
    </w:p>
    <w:p>
      <w:pPr>
        <w:pStyle w:val="Heading2"/>
      </w:pPr>
      <w:r>
        <w:t>FIN-07</w:t>
      </w:r>
    </w:p>
    <w:p>
      <w:r>
        <w:t>PMI remains funded on top of the 100 M€ envelope, separately identified and not charged to BUs. Unknown types remain explicitly unmapped until a valid source routing exists.</w:t>
      </w:r>
    </w:p>
    <w:p>
      <w:pPr>
        <w:pStyle w:val="Heading2"/>
      </w:pPr>
      <w:r>
        <w:t>FIN-08</w:t>
      </w:r>
    </w:p>
    <w:p>
      <w:r>
        <w:t>Retain exact source percentage precision. Apply the confirmed 1,000× correction only to an EW vector totaling 0.001; accept a fraction vector totaling 1 directly. Other EW totals are exceptions. BU row percentages are never silently normalized. Missing balances remain Unallocated.</w:t>
      </w:r>
    </w:p>
    <w:p>
      <w:pPr>
        <w:pStyle w:val="Heading2"/>
      </w:pPr>
      <w:r>
        <w:t>FIN-09</w:t>
      </w:r>
    </w:p>
    <w:p>
      <w:r>
        <w:t>Programs total uses investment spend, not operating-expense-only cost. Source capitalization and expense splits may be shown separately; spend = capitalization + expense. Do not substitute COST ALLOCATION columns for total investment allocation.</w:t>
      </w:r>
    </w:p>
    <w:p>
      <w:pPr>
        <w:pStyle w:val="Heading2"/>
      </w:pPr>
      <w:r>
        <w:t>FIN-10</w:t>
      </w:r>
    </w:p>
    <w:p>
      <w:r>
        <w:t>Operations follows its independent Bill of IT allocation, not the Programs EW key. Each service ID has one cost and many traceable allocations. Keep own consumption, Region allocation and Function allocation separate before summing recipient cost.</w:t>
      </w:r>
    </w:p>
    <w:p>
      <w:pPr>
        <w:pStyle w:val="Heading2"/>
      </w:pPr>
      <w:r>
        <w:t>FIN-11</w:t>
      </w:r>
    </w:p>
    <w:p>
      <w:r>
        <w:t>Show accountability/consumption and receiving-BU charge as two views of the same cost. Never add Functions/Regions sender totals to their already allocated BU recipients. Seven top-level Operations recipient clusters reconcile to all 182 service costs.</w:t>
      </w:r>
    </w:p>
    <w:p>
      <w:pPr>
        <w:pStyle w:val="Heading2"/>
      </w:pPr>
      <w:r>
        <w:t>FIN-12</w:t>
      </w:r>
    </w:p>
    <w:p>
      <w:r>
        <w:t>Charge[b] = Single BU[b] + Cross BU[b] + Indirect Cross BU[b] + EW[b] + Operations own[b] + Operations Region[b] + Operations Function[b]. Group total also includes explicit pending allocation and separately retained PMI.</w:t>
      </w:r>
    </w:p>
    <w:p>
      <w:pPr>
        <w:pStyle w:val="Heading2"/>
      </w:pPr>
      <w:r>
        <w:t>FIN-13</w:t>
      </w:r>
    </w:p>
    <w:p>
      <w:r>
        <w:t>Confirmed carry-over baseline cap; no ROI threshold.</w:t>
      </w:r>
    </w:p>
    <w:p>
      <w:pPr>
        <w:pStyle w:val="Heading2"/>
      </w:pPr>
      <w:r>
        <w:t>FIN-14</w:t>
      </w:r>
    </w:p>
    <w:p>
      <w:r>
        <w:t>Benefits accepted for prioritization; no benefit-only hold.</w:t>
      </w:r>
    </w:p>
    <w:p>
      <w:pPr>
        <w:pStyle w:val="Heading2"/>
      </w:pPr>
      <w:r>
        <w:t>FIN-15</w:t>
      </w:r>
    </w:p>
    <w:p>
      <w:r>
        <w:t>Exclude missing-request records from active Programs overviews, prioritization and exports. Nine such records remain in the refreshed source. Preserve original cells and exclusion reasons. A completed record can return on refresh.</w:t>
      </w:r>
    </w:p>
    <w:p>
      <w:pPr>
        <w:pStyle w:val="Heading2"/>
      </w:pPr>
      <w:r>
        <w:t>FIN-16</w:t>
      </w:r>
    </w:p>
    <w:p>
      <w:r>
        <w:t>Exclude uninterpretable source decision records such as Excel errors and numeric zero decisions from active scope; list IDs, source cells and amounts in the audit. Blank decisions remain Unassessed; understood Priority TBD remains a visible decision hold.</w:t>
      </w:r>
    </w:p>
    <w:p>
      <w:pPr>
        <w:pStyle w:val="Heading2"/>
      </w:pPr>
      <w:r>
        <w:t>FIN-17</w:t>
      </w:r>
    </w:p>
    <w:p>
      <w:r>
        <w:t>Use Programs consistently in tab labels, tables, tooltips, exports, PRD and requirements. Remove the entire specified 29 September refresh banner and superseded assertions about illustrative budget, missing-request counts, benefit validation and Finance approvals. Keep provenance in the dedicated audit view.</w:t>
      </w:r>
    </w:p>
    <w:p>
      <w:pPr>
        <w:pStyle w:val="Heading2"/>
      </w:pPr>
      <w:r>
        <w:t>FIN-18</w:t>
      </w:r>
    </w:p>
    <w:p>
      <w:r>
        <w:t>Manual inclusion/exclusion/partial scope, request edits and reviewed merit changes are explicit logged scenario overlays. Preserve original cells and before/after values. ExCo trade-offs cannot change Total AOP; exclusions cannot silently refill the portfolio.</w:t>
      </w:r>
    </w:p>
    <w:p>
      <w:pPr>
        <w:pStyle w:val="Heading2"/>
      </w:pPr>
      <w:r>
        <w:t>FIN-19</w:t>
      </w:r>
    </w:p>
    <w:p>
      <w:r>
        <w:t>The allocation ledger records source file hash, sheet, row, request/baseline cells, key cell, Programs ID, source and scenario requests, funded amount, recipient fraction and charge. Key cells link to original formulas preserved in the complete source snapshot. The workbook overview identifies scenario and revision. These joins provide an independent manual-style replay.</w:t>
      </w:r>
    </w:p>
    <w:p>
      <w:pPr>
        <w:pStyle w:val="Heading2"/>
      </w:pPr>
      <w:r>
        <w:t>FIN-20</w:t>
      </w:r>
    </w:p>
    <w:p>
      <w:r>
        <w:t>No external handoff or Planisware load is required for this deliverable. Model finalization means a tested scenario artifact; external submission would be a separate user-requested action.</w:t>
      </w:r>
    </w:p>
    <w:p>
      <w:pPr>
        <w:pStyle w:val="Heading1"/>
      </w:pPr>
      <w:r>
        <w:t>Reconciliation and known source balances</w:t>
      </w:r>
    </w:p>
    <w:p>
      <w:r>
        <w:t>Default funded base Programs = 99.963 M€: EW 49.716 and BU Led 50.247. PMI = 5.190 M€; Operations = 470.3144630385122 M€; total IT = 575.4674630385122 M€. EW unallocated = 11.250895734597165 M€. BU-led unallocated includes 1.357 M€ explicitly assigned to Not allocated and 0.465 M€ missing from Bu-06 percentages. All balances remain included in the total without an invented recipient.</w:t>
      </w:r>
    </w:p>
    <w:p>
      <w:pPr>
        <w:pStyle w:val="Heading1"/>
      </w:pPr>
      <w:r>
        <w:t>Scenario acceptance and traceability</w:t>
      </w:r>
    </w:p>
    <w:p>
      <w:r>
        <w:t>Ten scenarios cover default Optimal, two Sustain variants, AOP-percent limits, absolute limits, the optional fifth lever, inclusion/partial scope, request/merit edits, F&amp;R/BU ExCo trade-offs and combined 80 M€ stress/recovery. Each scenario must match an independent calculation reading the original two workbooks. Validate all Programs costs, stages, scores and funding, recipient totals, PMI separation, Operations invariance, browser views, persistence and exports.</w:t>
      </w:r>
    </w:p>
    <w:p>
      <w:r>
        <w:t>Trace every allocation through Programs/service ID, source file SHA-256, sheet/row, request cell, baseline cell, key cell, funded amount, recipient fraction and final charge. Technical conformance and source completeness are reported separately. A passing arithmetic result does not resolve the source’s remaining unallocated balances.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