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00126E"/>
        </w:rPr>
        <w:t xml:space="preserve">AOP 2027 Modeler — Detailed Requirements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5.7.1  |  1 October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requirements use variable references. No fixed numeric values. Figures update automatically on source data refresh.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126E"/>
        </w:rPr>
        <w:t xml:space="preserve">Requirement Register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6300"/>
      </w:tblGrid>
      <w:tr>
        <w:tc>
          <w:tcPr>
            <w:tcW w:type="dxa" w:w="12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REQ-001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Lever 2 standard slider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Carry Over lever renders as 3-mode slider (% bucket, % AOP, M€) matching Levers 1/3/4. No fixed "Baseline cap" display. switchBasis("carry", basis, demand) succeeds for all three modes.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REQ-002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Carry Over ROI ranking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1 programs sorted by ratio (benefit/cost) descending, ties by score. No special ordering for confirmed baselines. compare() stage 1 branch uses ratio only.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REQ-003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Carry Over eligibility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hold "No confirmed approved baseline for Carry Over funding". All carry-over programs are eligible if they pass Gate 0 evidence checks. Confirmed baselines capped at min(requested, baselined).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REQ-004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 carry default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Optimal preset sets _autoCarry=true. autoCarryAmt() computes confirmed carry demand and sets carry to {basis:"amount", amount:confirmed, pct:confirmed/total*100}. Default funds confirmed baselines only.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REQ-005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ExCo LFR ranking demotion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Opt-out programs: lfrVerified=false regardless of source evidence. They rank below verified in Lever 1. At auto-verified %, they are not funded. At 100%, they are funded. NOT permanently excluded.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REQ-006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ExCo feedback display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Opt-out programs show warning: "ExCo LFR opt-out: {exco} — {feedback}". Detail popup rationaleType shows "ExCo LFR Opt-Out (deprioritised)". Feedback sourced from LFR_EXCO_DECISIONS constant.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REQ-007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fully allocated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Optimal scenario total allocation equals settings.budget (within whole-program granularity). Excluded programs skip the funding loop via continue — do not consume spent[] or automatic accumulator.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REQ-008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Lever cascade — L4 sole absorber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Levers processed strictly 1→2→3→4→5. L4 (Value) is the sole residual absorber. When any upstream lever changes, only L4 adjusts. L1/L2/L3 retain their user-set targets independently. No proportional scaling of intermediate levers. Total always matches budget.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REQ-009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Value lever fills budget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L4 default at 100% bucket. valueTarget() = min(residual - itsimpReserve, target). The solver funds programs up to the residual. Slider shows 0-100% range; the engine is the authority on ceiling.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REQ-010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 Simplification split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When IT Simp OFF, Decomm programs scored in L4 by merit alongside all Value demand. When toggled ON, funded Decomm moves from L4 to L5. L5 pre-populates with the funded Decomm amount. User can increase L5 to fund more Decomm (draws from L4 budget). L4+L5 combined = residual after L1-L3.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REQ-010a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L4 slider range and ceiling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L4 slider shows full 0-100% range. Drag clamped at ceiling via data-ceiling attribute on slider and numeric input. Red tick on grid marks ceiling. Default L4 = ceiling via autoValueCeiling(). Ceiling shifts when upstream levers change. All levers default to "% of bucket demand". IT Simplification renamed, L5 defaults to bucket %. Portfolio Inclusion sorted by Hard Benefits desc.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REQ-011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allocation table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6 table: Organisation, BU Led (M€), Functions &amp; Regions (M€), Operations Cost (M€), Total IT Charge (M€). Sorted by total descending. Grand Total = Programme AOP + Operations AOP.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REQ-012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Header and versioning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Tag shows "One Portfolio Navigator · v{VERSION} · Built {date} {time}". VERSION constant drives all version references. IndexedDB namespace includes version.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REQ-013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 migration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validateSettings() migrates carry:number to carry:{basis,pct,amount}. Old sessions (carry as ROI threshold) auto-convert to bucket 100%. validateSession() applies same migration.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REQ-014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 consistency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user-visible amounts formatted as X.X (one decimal). fmt() and dec() default to 1dp. Internal ledger, export, and finance retain full precision.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REQ-015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6 Excel download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"Download Excel" button in Finalise Scenario toolbar. Calls exportExcel(result.rows, "finalized-scenario"). Full 10-sheet workbook with finance ledger.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REQ-016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Allocation % display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lever allocation selections show actual funded percentage: "{funded} M€ funded of {demand} M€ Demand ({pct}%)". Updates on every solve.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REQ-017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migration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IDB recovery: (1) carry:number → carry:{basis,pct,amount}. (2) Overrides with note starting "ExCo LFR opt-out" removed — stale permanent excludes from prior build. Toast shows migration count. (3) 4-element weights → 5-element.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REQ-018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refresh contract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numeric values are derived from source data at solve time. No embedded fixed values. LFR decisions matched by ID. Auto percentages recomputed on refresh.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0126E"/>
        </w:rPr>
        <w:t xml:space="preserve">Lever Interaction Matrix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row shows the effect of changing the specified lever. Only L4 (Value) adjusts — it absorbs or releases the difference. All other levers retain their settings.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L1 LFR</w:t>
            </w:r>
          </w:p>
        </w:tc>
        <w:tc>
          <w:tcPr>
            <w:tcW w:type="dxa" w:w="20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L2 Carry</w:t>
            </w:r>
          </w:p>
        </w:tc>
        <w:tc>
          <w:tcPr>
            <w:tcW w:type="dxa" w:w="20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L3 Sustain</w:t>
            </w:r>
          </w:p>
        </w:tc>
        <w:tc>
          <w:tcPr>
            <w:tcW w:type="dxa" w:w="2000"/>
            <w:shd w:fill="0012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L4/L5 Value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L1 ↑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More LFR funded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Residual ↓ → less funded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L1 ↓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Less LFR funded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Residual ↑ → more funded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L2 ↑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More carry funded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Residual ↓ → less funded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L2 ↓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Less carry funded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Residual ↑ → more funded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L3 ↑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More sustain funded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Residual ↓ → less funded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L3 ↓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Less sustain funded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Residual ↑ → more funded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L4 ↑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More value funded (up to residual)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L5 toggle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Decomm splits from L4 to L5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End of requirements. All values are computed from source data and settings. No fixed references.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  <w:lvl w:ilvl="1" w:tentative="1">
      <w:start w:val="1"/>
      <w:numFmt w:val="bullet"/>
      <w:lvlText w:val="–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2026-10-01T09:34:44.583Z</dcterms:created>
  <dcterms:modified xsi:type="dcterms:W3CDTF">2026-10-01T09:34:44.584Z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