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00126E"/>
        </w:rPr>
        <w:t xml:space="preserve">AOP 2027 Modeler — Product Requirements Document</w:t>
      </w:r>
    </w:p>
    <w:p>
      <w:pPr>
        <w:spacing w:after="120"/>
      </w:pPr>
      <w:r>
        <w:rPr>
          <w:rFonts w:ascii="Calibri" w:cs="Calibri" w:eastAsia="Calibri" w:hAnsi="Calibri"/>
          <w:b/>
          <w:bCs/>
          <w:sz w:val="22"/>
          <w:szCs w:val="22"/>
        </w:rPr>
        <w:t xml:space="preserve">Version 5.7.1  |  1 October 2026  |  Carry Over ROI Lever + ExCo LFR Decisions + Budget Allocation Fix</w:t>
      </w:r>
    </w:p>
    <w:p>
      <w:pPr>
        <w:spacing w:after="120"/>
      </w:pPr>
      <w:r>
        <w:rPr>
          <w:rFonts w:ascii="Calibri" w:cs="Calibri" w:eastAsia="Calibri" w:hAnsi="Calibri"/>
          <w:sz w:val="22"/>
          <w:szCs w:val="22"/>
        </w:rPr>
        <w:t xml:space="preserve">This PRD supersedes v5.7.0 and its addenda for all prioritization, funding, lever, and cost allocation logic. Source data contract, session schema, and export formats are unchanged. All numeric references below are computed from live source data; no fixed values are embedded.</w:t>
      </w:r>
    </w:p>
    <w:p>
      <w:pPr>
        <w:pStyle w:val="Heading2"/>
      </w:pPr>
      <w:r>
        <w:rPr>
          <w:rFonts w:ascii="Calibri" w:cs="Calibri" w:eastAsia="Calibri" w:hAnsi="Calibri"/>
          <w:b/>
          <w:bCs/>
          <w:color w:val="00126E"/>
        </w:rPr>
        <w:t xml:space="preserve">1. Product Scope</w:t>
      </w:r>
    </w:p>
    <w:p>
      <w:pPr>
        <w:spacing w:after="120"/>
      </w:pPr>
      <w:r>
        <w:rPr>
          <w:rFonts w:ascii="Calibri" w:cs="Calibri" w:eastAsia="Calibri" w:hAnsi="Calibri"/>
          <w:sz w:val="22"/>
          <w:szCs w:val="22"/>
        </w:rPr>
        <w:t xml:space="preserve">Standalone offline HTML. Six tabs. Engine version derived from </w:t>
      </w:r>
      <w:r>
        <w:rPr>
          <w:rFonts w:ascii="Calibri" w:cs="Calibri" w:eastAsia="Calibri" w:hAnsi="Calibri"/>
          <w:b/>
          <w:bCs/>
          <w:sz w:val="22"/>
          <w:szCs w:val="22"/>
        </w:rPr>
        <w:t xml:space="preserve">VERSION</w:t>
      </w:r>
      <w:r>
        <w:rPr>
          <w:rFonts w:ascii="Calibri" w:cs="Calibri" w:eastAsia="Calibri" w:hAnsi="Calibri"/>
          <w:sz w:val="22"/>
          <w:szCs w:val="22"/>
        </w:rPr>
        <w:t xml:space="preserve"> constant. Session schema 4 (5 merit weights). Total AOP budget is user-configurable via the Tab 2 input field; default is the value set in </w:t>
      </w:r>
      <w:r>
        <w:rPr>
          <w:rFonts w:ascii="Calibri" w:cs="Calibri" w:eastAsia="Calibri" w:hAnsi="Calibri"/>
          <w:b/>
          <w:bCs/>
          <w:sz w:val="22"/>
          <w:szCs w:val="22"/>
        </w:rPr>
        <w:t xml:space="preserve">defaults().budget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Source authority: the demand workbook loaded at build time. Record count, demand totals, and Operations snapshot are computed from the embedded data and update on source refresh.</w:t>
      </w:r>
    </w:p>
    <w:p>
      <w:pPr>
        <w:pStyle w:val="Heading2"/>
      </w:pPr>
      <w:r>
        <w:rPr>
          <w:rFonts w:ascii="Calibri" w:cs="Calibri" w:eastAsia="Calibri" w:hAnsi="Calibri"/>
          <w:b/>
          <w:bCs/>
          <w:color w:val="00126E"/>
        </w:rPr>
        <w:t xml:space="preserve">2. Five-Lever Funding Model</w:t>
      </w:r>
    </w:p>
    <w:p>
      <w:pPr>
        <w:spacing w:after="120"/>
      </w:pPr>
      <w:r>
        <w:rPr>
          <w:rFonts w:ascii="Calibri" w:cs="Calibri" w:eastAsia="Calibri" w:hAnsi="Calibri"/>
          <w:sz w:val="22"/>
          <w:szCs w:val="22"/>
        </w:rPr>
        <w:t xml:space="preserve">Every non-PMI demand row is assigned to exactly one of five stages by the </w:t>
      </w:r>
      <w:r>
        <w:rPr>
          <w:rFonts w:ascii="Calibri" w:cs="Calibri" w:eastAsia="Calibri" w:hAnsi="Calibri"/>
          <w:b/>
          <w:bCs/>
          <w:sz w:val="22"/>
          <w:szCs w:val="22"/>
        </w:rPr>
        <w:t xml:space="preserve">stage(r)</w:t>
      </w:r>
      <w:r>
        <w:rPr>
          <w:rFonts w:ascii="Calibri" w:cs="Calibri" w:eastAsia="Calibri" w:hAnsi="Calibri"/>
          <w:sz w:val="22"/>
          <w:szCs w:val="22"/>
        </w:rPr>
        <w:t xml:space="preserve"> function. Funding flows in strict sequential order: Lever 1 → Lever 2 → Lever 3 → Lever 4 → Lever 5. Each lever has a target that caps its stage allocation. Residual budget after a lever passes to the next.</w:t>
      </w:r>
    </w:p>
    <w:p>
      <w:pPr>
        <w:spacing w:after="120"/>
      </w:pPr>
      <w:r>
        <w:rPr>
          <w:rFonts w:ascii="Calibri" w:cs="Calibri" w:eastAsia="Calibri" w:hAnsi="Calibri"/>
          <w:b/>
          <w:bCs/>
          <w:sz w:val="22"/>
          <w:szCs w:val="22"/>
        </w:rPr>
        <w:t xml:space="preserve">Budget constraint: </w:t>
      </w:r>
      <w:r>
        <w:rPr>
          <w:rFonts w:ascii="Calibri" w:cs="Calibri" w:eastAsia="Calibri" w:hAnsi="Calibri"/>
          <w:sz w:val="22"/>
          <w:szCs w:val="22"/>
        </w:rPr>
        <w:t xml:space="preserve">The sum of all lever allocations must equal the Total AOP budget. The solve engine enforces this — programs are funded as whole units in score/ROI order until the budget is consumed. No lever can exceed the residual budget available after prior levers.</w:t>
      </w:r>
    </w:p>
    <w:p>
      <w:pPr>
        <w:pStyle w:val="Heading3"/>
      </w:pPr>
      <w:r>
        <w:rPr>
          <w:rFonts w:ascii="Calibri" w:cs="Calibri" w:eastAsia="Calibri" w:hAnsi="Calibri"/>
          <w:b/>
          <w:bCs/>
          <w:color w:val="00126E"/>
        </w:rPr>
        <w:t xml:space="preserve">2.1 Lever 1 — Legal and Compliance (Must Do)</w:t>
      </w:r>
    </w:p>
    <w:p>
      <w:pPr>
        <w:pStyle w:val="ListParagraph"/>
        <w:numPr>
          <w:ilvl w:val="0"/>
          <w:numId w:val="1"/>
        </w:numPr>
        <w:spacing w:after="80"/>
      </w:pPr>
      <w:r>
        <w:rPr>
          <w:rFonts w:ascii="Calibri" w:cs="Calibri" w:eastAsia="Calibri" w:hAnsi="Calibri"/>
          <w:sz w:val="22"/>
          <w:szCs w:val="22"/>
        </w:rPr>
        <w:t xml:space="preserve">Stage assignment: CCB exceptions (hardcoded IDs), records with LFR evidence (name + year), or overall decision containing "must-do".</w:t>
      </w:r>
    </w:p>
    <w:p>
      <w:pPr>
        <w:pStyle w:val="ListParagraph"/>
        <w:numPr>
          <w:ilvl w:val="0"/>
          <w:numId w:val="1"/>
        </w:numPr>
        <w:spacing w:after="80"/>
      </w:pPr>
      <w:r>
        <w:rPr>
          <w:rFonts w:ascii="Calibri" w:cs="Calibri" w:eastAsia="Calibri" w:hAnsi="Calibri"/>
          <w:sz w:val="22"/>
          <w:szCs w:val="22"/>
        </w:rPr>
        <w:t xml:space="preserve">Ranking: Verified LFR first (evidence present and no ExCo opt-out), then by tier (Immediate &gt; Scheduled &gt; CCB &gt; Other), then by merit score descending.</w:t>
      </w:r>
    </w:p>
    <w:p>
      <w:pPr>
        <w:pStyle w:val="ListParagraph"/>
        <w:numPr>
          <w:ilvl w:val="0"/>
          <w:numId w:val="1"/>
        </w:numPr>
        <w:spacing w:after="80"/>
      </w:pPr>
      <w:r>
        <w:rPr>
          <w:rFonts w:ascii="Calibri" w:cs="Calibri" w:eastAsia="Calibri" w:hAnsi="Calibri"/>
          <w:sz w:val="22"/>
          <w:szCs w:val="22"/>
        </w:rPr>
        <w:t xml:space="preserve">ExCo LFR decisions: Programs with an opt-out decision in </w:t>
      </w:r>
      <w:r>
        <w:rPr>
          <w:rFonts w:ascii="Calibri" w:cs="Calibri" w:eastAsia="Calibri" w:hAnsi="Calibri"/>
          <w:b/>
          <w:bCs/>
          <w:sz w:val="22"/>
          <w:szCs w:val="22"/>
        </w:rPr>
        <w:t xml:space="preserve">LFR_EXCO_DECISIONS</w:t>
      </w:r>
      <w:r>
        <w:rPr>
          <w:rFonts w:ascii="Calibri" w:cs="Calibri" w:eastAsia="Calibri" w:hAnsi="Calibri"/>
          <w:sz w:val="22"/>
          <w:szCs w:val="22"/>
        </w:rPr>
        <w:t xml:space="preserve"> are marked </w:t>
      </w:r>
      <w:r>
        <w:rPr>
          <w:rFonts w:ascii="Calibri" w:cs="Calibri" w:eastAsia="Calibri" w:hAnsi="Calibri"/>
          <w:b/>
          <w:bCs/>
          <w:sz w:val="22"/>
          <w:szCs w:val="22"/>
        </w:rPr>
        <w:t xml:space="preserve">lfrVerified = false</w:t>
      </w:r>
      <w:r>
        <w:rPr>
          <w:rFonts w:ascii="Calibri" w:cs="Calibri" w:eastAsia="Calibri" w:hAnsi="Calibri"/>
          <w:sz w:val="22"/>
          <w:szCs w:val="22"/>
        </w:rPr>
        <w:t xml:space="preserve"> regardless of source evidence. They rank below verified programs. At 100% slider, they are funded. At the auto-verified percentage (default), they are deprioritized.</w:t>
      </w:r>
    </w:p>
    <w:p>
      <w:pPr>
        <w:pStyle w:val="ListParagraph"/>
        <w:numPr>
          <w:ilvl w:val="0"/>
          <w:numId w:val="1"/>
        </w:numPr>
        <w:spacing w:after="80"/>
      </w:pPr>
      <w:r>
        <w:rPr>
          <w:rFonts w:ascii="Calibri" w:cs="Calibri" w:eastAsia="Calibri" w:hAnsi="Calibri"/>
          <w:sz w:val="22"/>
          <w:szCs w:val="22"/>
        </w:rPr>
        <w:t xml:space="preserve">Auto-verified default: </w:t>
      </w:r>
      <w:r>
        <w:rPr>
          <w:rFonts w:ascii="Calibri" w:cs="Calibri" w:eastAsia="Calibri" w:hAnsi="Calibri"/>
          <w:b/>
          <w:bCs/>
          <w:sz w:val="22"/>
          <w:szCs w:val="22"/>
        </w:rPr>
        <w:t xml:space="preserve">autoLfrPct()</w:t>
      </w:r>
      <w:r>
        <w:rPr>
          <w:rFonts w:ascii="Calibri" w:cs="Calibri" w:eastAsia="Calibri" w:hAnsi="Calibri"/>
          <w:sz w:val="22"/>
          <w:szCs w:val="22"/>
        </w:rPr>
        <w:t xml:space="preserve"> computes verified demand / total LFR demand as the default percentage. This excludes opt-out programs from the verified pool.</w:t>
      </w:r>
    </w:p>
    <w:p>
      <w:pPr>
        <w:pStyle w:val="ListParagraph"/>
        <w:numPr>
          <w:ilvl w:val="0"/>
          <w:numId w:val="1"/>
        </w:numPr>
        <w:spacing w:after="80"/>
      </w:pPr>
      <w:r>
        <w:rPr>
          <w:rFonts w:ascii="Calibri" w:cs="Calibri" w:eastAsia="Calibri" w:hAnsi="Calibri"/>
          <w:sz w:val="22"/>
          <w:szCs w:val="22"/>
        </w:rPr>
        <w:t xml:space="preserve">Slider modes: % of bucket demand, % of Total AOP, Allocation (M€). All three are interconvertible via </w:t>
      </w:r>
      <w:r>
        <w:rPr>
          <w:rFonts w:ascii="Calibri" w:cs="Calibri" w:eastAsia="Calibri" w:hAnsi="Calibri"/>
          <w:b/>
          <w:bCs/>
          <w:sz w:val="22"/>
          <w:szCs w:val="22"/>
        </w:rPr>
        <w:t xml:space="preserve">switchBasis()</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sz w:val="22"/>
          <w:szCs w:val="22"/>
        </w:rPr>
        <w:t xml:space="preserve">ExCo feedback is displayed as a warning on each opt-out program: "ExCo LFR opt-out: [leader] — [feedback]". Visible in program detail popup as </w:t>
      </w:r>
      <w:r>
        <w:rPr>
          <w:rFonts w:ascii="Calibri" w:cs="Calibri" w:eastAsia="Calibri" w:hAnsi="Calibri"/>
          <w:b/>
          <w:bCs/>
          <w:sz w:val="22"/>
          <w:szCs w:val="22"/>
        </w:rPr>
        <w:t xml:space="preserve">ExCo LFR Opt-Out (deprioritised)</w:t>
      </w:r>
      <w:r>
        <w:rPr>
          <w:rFonts w:ascii="Calibri" w:cs="Calibri" w:eastAsia="Calibri" w:hAnsi="Calibri"/>
          <w:sz w:val="22"/>
          <w:szCs w:val="22"/>
        </w:rPr>
        <w:t xml:space="preserve"> rationale type.</w:t>
      </w:r>
    </w:p>
    <w:p>
      <w:pPr>
        <w:pStyle w:val="Heading3"/>
      </w:pPr>
      <w:r>
        <w:rPr>
          <w:rFonts w:ascii="Calibri" w:cs="Calibri" w:eastAsia="Calibri" w:hAnsi="Calibri"/>
          <w:b/>
          <w:bCs/>
          <w:color w:val="00126E"/>
        </w:rPr>
        <w:t xml:space="preserve">2.2 Lever 2 — Carry Over Demand</w:t>
      </w:r>
    </w:p>
    <w:p>
      <w:pPr>
        <w:pStyle w:val="ListParagraph"/>
        <w:numPr>
          <w:ilvl w:val="0"/>
          <w:numId w:val="1"/>
        </w:numPr>
        <w:spacing w:after="80"/>
      </w:pPr>
      <w:r>
        <w:rPr>
          <w:rFonts w:ascii="Calibri" w:cs="Calibri" w:eastAsia="Calibri" w:hAnsi="Calibri"/>
          <w:sz w:val="22"/>
          <w:szCs w:val="22"/>
        </w:rPr>
        <w:t xml:space="preserve">Stage assignment: </w:t>
      </w:r>
      <w:r>
        <w:rPr>
          <w:rFonts w:ascii="Calibri" w:cs="Calibri" w:eastAsia="Calibri" w:hAnsi="Calibri"/>
          <w:b/>
          <w:bCs/>
          <w:sz w:val="22"/>
          <w:szCs w:val="22"/>
        </w:rPr>
        <w:t xml:space="preserve">newCarry === "carry over"</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sz w:val="22"/>
          <w:szCs w:val="22"/>
        </w:rPr>
        <w:t xml:space="preserve">Ranking: All carry-over programs ranked by </w:t>
      </w:r>
      <w:r>
        <w:rPr>
          <w:rFonts w:ascii="Calibri" w:cs="Calibri" w:eastAsia="Calibri" w:hAnsi="Calibri"/>
          <w:b/>
          <w:bCs/>
          <w:sz w:val="22"/>
          <w:szCs w:val="22"/>
        </w:rPr>
        <w:t xml:space="preserve">ROI (benefit / cost ratio)</w:t>
      </w:r>
      <w:r>
        <w:rPr>
          <w:rFonts w:ascii="Calibri" w:cs="Calibri" w:eastAsia="Calibri" w:hAnsi="Calibri"/>
          <w:sz w:val="22"/>
          <w:szCs w:val="22"/>
        </w:rPr>
        <w:t xml:space="preserve"> descending. Ties broken by merit score. No special treatment for confirmed baselines in ranking order.</w:t>
      </w:r>
    </w:p>
    <w:p>
      <w:pPr>
        <w:pStyle w:val="ListParagraph"/>
        <w:numPr>
          <w:ilvl w:val="0"/>
          <w:numId w:val="1"/>
        </w:numPr>
        <w:spacing w:after="80"/>
      </w:pPr>
      <w:r>
        <w:rPr>
          <w:rFonts w:ascii="Calibri" w:cs="Calibri" w:eastAsia="Calibri" w:hAnsi="Calibri"/>
          <w:sz w:val="22"/>
          <w:szCs w:val="22"/>
        </w:rPr>
        <w:t xml:space="preserve">Funding cap: Confirmed baselines (baselined &gt; 0 and priority is must-do/must-have) are funded at </w:t>
      </w:r>
      <w:r>
        <w:rPr>
          <w:rFonts w:ascii="Calibri" w:cs="Calibri" w:eastAsia="Calibri" w:hAnsi="Calibri"/>
          <w:b/>
          <w:bCs/>
          <w:sz w:val="22"/>
          <w:szCs w:val="22"/>
        </w:rPr>
        <w:t xml:space="preserve">min(requested, approved baseline)</w:t>
      </w:r>
      <w:r>
        <w:rPr>
          <w:rFonts w:ascii="Calibri" w:cs="Calibri" w:eastAsia="Calibri" w:hAnsi="Calibri"/>
          <w:sz w:val="22"/>
          <w:szCs w:val="22"/>
        </w:rPr>
        <w:t xml:space="preserve">. Non-baseline carry-overs use full requested amount.</w:t>
      </w:r>
    </w:p>
    <w:p>
      <w:pPr>
        <w:pStyle w:val="ListParagraph"/>
        <w:numPr>
          <w:ilvl w:val="0"/>
          <w:numId w:val="1"/>
        </w:numPr>
        <w:spacing w:after="80"/>
      </w:pPr>
      <w:r>
        <w:rPr>
          <w:rFonts w:ascii="Calibri" w:cs="Calibri" w:eastAsia="Calibri" w:hAnsi="Calibri"/>
          <w:sz w:val="22"/>
          <w:szCs w:val="22"/>
        </w:rPr>
        <w:t xml:space="preserve">All carry-over programs are eligible — no hold for "unconfirmed baseline".</w:t>
      </w:r>
    </w:p>
    <w:p>
      <w:pPr>
        <w:pStyle w:val="ListParagraph"/>
        <w:numPr>
          <w:ilvl w:val="0"/>
          <w:numId w:val="1"/>
        </w:numPr>
        <w:spacing w:after="80"/>
      </w:pPr>
      <w:r>
        <w:rPr>
          <w:rFonts w:ascii="Calibri" w:cs="Calibri" w:eastAsia="Calibri" w:hAnsi="Calibri"/>
          <w:sz w:val="22"/>
          <w:szCs w:val="22"/>
        </w:rPr>
        <w:t xml:space="preserve">Auto-carry default: </w:t>
      </w:r>
      <w:r>
        <w:rPr>
          <w:rFonts w:ascii="Calibri" w:cs="Calibri" w:eastAsia="Calibri" w:hAnsi="Calibri"/>
          <w:b/>
          <w:bCs/>
          <w:sz w:val="22"/>
          <w:szCs w:val="22"/>
        </w:rPr>
        <w:t xml:space="preserve">autoCarryAmt()</w:t>
      </w:r>
      <w:r>
        <w:rPr>
          <w:rFonts w:ascii="Calibri" w:cs="Calibri" w:eastAsia="Calibri" w:hAnsi="Calibri"/>
          <w:sz w:val="22"/>
          <w:szCs w:val="22"/>
        </w:rPr>
        <w:t xml:space="preserve"> computes the total confirmed carry demand and sets the lever to that amount. This funds baseline carry-overs by default.</w:t>
      </w:r>
    </w:p>
    <w:p>
      <w:pPr>
        <w:pStyle w:val="ListParagraph"/>
        <w:numPr>
          <w:ilvl w:val="0"/>
          <w:numId w:val="1"/>
        </w:numPr>
        <w:spacing w:after="80"/>
      </w:pPr>
      <w:r>
        <w:rPr>
          <w:rFonts w:ascii="Calibri" w:cs="Calibri" w:eastAsia="Calibri" w:hAnsi="Calibri"/>
          <w:sz w:val="22"/>
          <w:szCs w:val="22"/>
        </w:rPr>
        <w:t xml:space="preserve">Slider modes: % of bucket demand, % of Total AOP, Allocation (M€).</w:t>
      </w:r>
    </w:p>
    <w:p>
      <w:pPr>
        <w:pStyle w:val="Heading3"/>
      </w:pPr>
      <w:r>
        <w:rPr>
          <w:rFonts w:ascii="Calibri" w:cs="Calibri" w:eastAsia="Calibri" w:hAnsi="Calibri"/>
          <w:b/>
          <w:bCs/>
          <w:color w:val="00126E"/>
        </w:rPr>
        <w:t xml:space="preserve">2.3 Lever 3 — Sustain Engineering and Hygiene</w:t>
      </w:r>
    </w:p>
    <w:p>
      <w:pPr>
        <w:pStyle w:val="ListParagraph"/>
        <w:numPr>
          <w:ilvl w:val="0"/>
          <w:numId w:val="1"/>
        </w:numPr>
        <w:spacing w:after="80"/>
      </w:pPr>
      <w:r>
        <w:rPr>
          <w:rFonts w:ascii="Calibri" w:cs="Calibri" w:eastAsia="Calibri" w:hAnsi="Calibri"/>
          <w:sz w:val="22"/>
          <w:szCs w:val="22"/>
        </w:rPr>
        <w:t xml:space="preserve">Stage assignment: </w:t>
      </w:r>
      <w:r>
        <w:rPr>
          <w:rFonts w:ascii="Calibri" w:cs="Calibri" w:eastAsia="Calibri" w:hAnsi="Calibri"/>
          <w:b/>
          <w:bCs/>
          <w:sz w:val="22"/>
          <w:szCs w:val="22"/>
        </w:rPr>
        <w:t xml:space="preserve">newCarry === "change &amp; sustain"</w:t>
      </w:r>
      <w:r>
        <w:rPr>
          <w:rFonts w:ascii="Calibri" w:cs="Calibri" w:eastAsia="Calibri" w:hAnsi="Calibri"/>
          <w:sz w:val="22"/>
          <w:szCs w:val="22"/>
        </w:rPr>
        <w:t xml:space="preserve"> or category is Continuous Improvement / Upgrades &amp; Enhancements.</w:t>
      </w:r>
    </w:p>
    <w:p>
      <w:pPr>
        <w:pStyle w:val="ListParagraph"/>
        <w:numPr>
          <w:ilvl w:val="0"/>
          <w:numId w:val="1"/>
        </w:numPr>
        <w:spacing w:after="80"/>
      </w:pPr>
      <w:r>
        <w:rPr>
          <w:rFonts w:ascii="Calibri" w:cs="Calibri" w:eastAsia="Calibri" w:hAnsi="Calibri"/>
          <w:sz w:val="22"/>
          <w:szCs w:val="22"/>
        </w:rPr>
        <w:t xml:space="preserve">Ranking: Change &amp; Sustain programs first, then CI/Upgrades; within each group by merit score descending.</w:t>
      </w:r>
    </w:p>
    <w:p>
      <w:pPr>
        <w:pStyle w:val="ListParagraph"/>
        <w:numPr>
          <w:ilvl w:val="0"/>
          <w:numId w:val="1"/>
        </w:numPr>
        <w:spacing w:after="80"/>
      </w:pPr>
      <w:r>
        <w:rPr>
          <w:rFonts w:ascii="Calibri" w:cs="Calibri" w:eastAsia="Calibri" w:hAnsi="Calibri"/>
          <w:sz w:val="22"/>
          <w:szCs w:val="22"/>
        </w:rPr>
        <w:t xml:space="preserve">Default: 60% of bucket demand (Optimal preset).</w:t>
      </w:r>
    </w:p>
    <w:p>
      <w:pPr>
        <w:pStyle w:val="ListParagraph"/>
        <w:numPr>
          <w:ilvl w:val="0"/>
          <w:numId w:val="1"/>
        </w:numPr>
        <w:spacing w:after="80"/>
      </w:pPr>
      <w:r>
        <w:rPr>
          <w:rFonts w:ascii="Calibri" w:cs="Calibri" w:eastAsia="Calibri" w:hAnsi="Calibri"/>
          <w:sz w:val="22"/>
          <w:szCs w:val="22"/>
        </w:rPr>
        <w:t xml:space="preserve">Slider modes: % of bucket demand, % of Total AOP, Allocation (M€).</w:t>
      </w:r>
    </w:p>
    <w:p>
      <w:pPr>
        <w:pStyle w:val="Heading3"/>
      </w:pPr>
      <w:r>
        <w:rPr>
          <w:rFonts w:ascii="Calibri" w:cs="Calibri" w:eastAsia="Calibri" w:hAnsi="Calibri"/>
          <w:b/>
          <w:bCs/>
          <w:color w:val="00126E"/>
        </w:rPr>
        <w:t xml:space="preserve">2.4 Lever 4 — Value Based Portfolio</w:t>
      </w:r>
    </w:p>
    <w:p>
      <w:pPr>
        <w:pStyle w:val="ListParagraph"/>
        <w:numPr>
          <w:ilvl w:val="0"/>
          <w:numId w:val="1"/>
        </w:numPr>
        <w:spacing w:after="80"/>
      </w:pPr>
      <w:r>
        <w:rPr>
          <w:rFonts w:ascii="Calibri" w:cs="Calibri" w:eastAsia="Calibri" w:hAnsi="Calibri"/>
          <w:sz w:val="22"/>
          <w:szCs w:val="22"/>
        </w:rPr>
        <w:t xml:space="preserve">Stage assignment: All remaining programs not assigned to Levers 1–3 or 5.</w:t>
      </w:r>
    </w:p>
    <w:p>
      <w:pPr>
        <w:pStyle w:val="ListParagraph"/>
        <w:numPr>
          <w:ilvl w:val="0"/>
          <w:numId w:val="1"/>
        </w:numPr>
        <w:spacing w:after="80"/>
      </w:pPr>
      <w:r>
        <w:rPr>
          <w:rFonts w:ascii="Calibri" w:cs="Calibri" w:eastAsia="Calibri" w:hAnsi="Calibri"/>
          <w:sz w:val="22"/>
          <w:szCs w:val="22"/>
        </w:rPr>
        <w:t xml:space="preserve">Ranking: Merit score descending. Programs below the merit floor setting receive a hold and are not auto-funded.</w:t>
      </w:r>
    </w:p>
    <w:p>
      <w:pPr>
        <w:pStyle w:val="ListParagraph"/>
        <w:numPr>
          <w:ilvl w:val="0"/>
          <w:numId w:val="1"/>
        </w:numPr>
        <w:spacing w:after="80"/>
      </w:pPr>
      <w:r>
        <w:rPr>
          <w:rFonts w:ascii="Calibri" w:cs="Calibri" w:eastAsia="Calibri" w:hAnsi="Calibri"/>
          <w:sz w:val="22"/>
          <w:szCs w:val="22"/>
        </w:rPr>
        <w:t xml:space="preserve">Budget: Residual after Levers 1–3 minus any IT Simplification reserve. </w:t>
      </w:r>
      <w:r>
        <w:rPr>
          <w:rFonts w:ascii="Calibri" w:cs="Calibri" w:eastAsia="Calibri" w:hAnsi="Calibri"/>
          <w:b/>
          <w:bCs/>
          <w:sz w:val="22"/>
          <w:szCs w:val="22"/>
        </w:rPr>
        <w:t xml:space="preserve">valueTarget()</w:t>
      </w:r>
      <w:r>
        <w:rPr>
          <w:rFonts w:ascii="Calibri" w:cs="Calibri" w:eastAsia="Calibri" w:hAnsi="Calibri"/>
          <w:sz w:val="22"/>
          <w:szCs w:val="22"/>
        </w:rPr>
        <w:t xml:space="preserve"> = min(residual − itsimpReserve, target × (1 + tolerance)).</w:t>
      </w:r>
    </w:p>
    <w:p>
      <w:pPr>
        <w:pStyle w:val="ListParagraph"/>
        <w:numPr>
          <w:ilvl w:val="0"/>
          <w:numId w:val="1"/>
        </w:numPr>
        <w:spacing w:after="80"/>
      </w:pPr>
      <w:r>
        <w:rPr>
          <w:rFonts w:ascii="Calibri" w:cs="Calibri" w:eastAsia="Calibri" w:hAnsi="Calibri"/>
          <w:sz w:val="22"/>
          <w:szCs w:val="22"/>
        </w:rPr>
        <w:t xml:space="preserve">Default: 100% of bucket demand. The solver naturally caps allocation at the available residual.</w:t>
      </w:r>
    </w:p>
    <w:p>
      <w:pPr>
        <w:pStyle w:val="ListParagraph"/>
        <w:numPr>
          <w:ilvl w:val="0"/>
          <w:numId w:val="1"/>
        </w:numPr>
        <w:spacing w:after="80"/>
      </w:pPr>
      <w:r>
        <w:rPr>
          <w:rFonts w:ascii="Calibri" w:cs="Calibri" w:eastAsia="Calibri" w:hAnsi="Calibri"/>
          <w:sz w:val="22"/>
          <w:szCs w:val="22"/>
        </w:rPr>
        <w:t xml:space="preserve">Decomm/Replatform programs: Programs with category containing "decomm" or "replatform" are flagged </w:t>
      </w:r>
      <w:r>
        <w:rPr>
          <w:rFonts w:ascii="Calibri" w:cs="Calibri" w:eastAsia="Calibri" w:hAnsi="Calibri"/>
          <w:b/>
          <w:bCs/>
          <w:sz w:val="22"/>
          <w:szCs w:val="22"/>
        </w:rPr>
        <w:t xml:space="preserve">isItSimp = true</w:t>
      </w:r>
      <w:r>
        <w:rPr>
          <w:rFonts w:ascii="Calibri" w:cs="Calibri" w:eastAsia="Calibri" w:hAnsi="Calibri"/>
          <w:sz w:val="22"/>
          <w:szCs w:val="22"/>
        </w:rPr>
        <w:t xml:space="preserve"> and scored alongside all Value demand. They participate in normal merit-based prioritization.</w:t>
      </w:r>
    </w:p>
    <w:p>
      <w:pPr>
        <w:pStyle w:val="ListParagraph"/>
        <w:numPr>
          <w:ilvl w:val="0"/>
          <w:numId w:val="1"/>
        </w:numPr>
        <w:spacing w:after="80"/>
      </w:pPr>
      <w:r>
        <w:rPr>
          <w:rFonts w:ascii="Calibri" w:cs="Calibri" w:eastAsia="Calibri" w:hAnsi="Calibri"/>
          <w:sz w:val="22"/>
          <w:szCs w:val="22"/>
        </w:rPr>
        <w:t xml:space="preserve">Slider modes: % of bucket demand, % of Total AOP, Allocation (M€). The slider range shows 0–100% but the actual funding is constrained by the residual budget.</w:t>
      </w:r>
    </w:p>
    <w:p>
      <w:pPr>
        <w:pStyle w:val="Heading3"/>
      </w:pPr>
      <w:r>
        <w:rPr>
          <w:rFonts w:ascii="Calibri" w:cs="Calibri" w:eastAsia="Calibri" w:hAnsi="Calibri"/>
          <w:b/>
          <w:bCs/>
          <w:color w:val="00126E"/>
        </w:rPr>
        <w:t xml:space="preserve">2.5 Lever 5 — IT Simplification</w:t>
      </w:r>
    </w:p>
    <w:p>
      <w:pPr>
        <w:pStyle w:val="ListParagraph"/>
        <w:numPr>
          <w:ilvl w:val="0"/>
          <w:numId w:val="1"/>
        </w:numPr>
        <w:spacing w:after="80"/>
      </w:pPr>
      <w:r>
        <w:rPr>
          <w:rFonts w:ascii="Calibri" w:cs="Calibri" w:eastAsia="Calibri" w:hAnsi="Calibri"/>
          <w:sz w:val="22"/>
          <w:szCs w:val="22"/>
        </w:rPr>
        <w:t xml:space="preserve">Activation: Toggled via the IT Simplification checkbox. Disabled by default.</w:t>
      </w:r>
    </w:p>
    <w:p>
      <w:pPr>
        <w:pStyle w:val="ListParagraph"/>
        <w:numPr>
          <w:ilvl w:val="0"/>
          <w:numId w:val="1"/>
        </w:numPr>
        <w:spacing w:after="80"/>
      </w:pPr>
      <w:r>
        <w:rPr>
          <w:rFonts w:ascii="Calibri" w:cs="Calibri" w:eastAsia="Calibri" w:hAnsi="Calibri"/>
          <w:sz w:val="22"/>
          <w:szCs w:val="22"/>
        </w:rPr>
        <w:t xml:space="preserve">Stage assignment: When enabled, programs in Value stage (stage 3) with </w:t>
      </w:r>
      <w:r>
        <w:rPr>
          <w:rFonts w:ascii="Calibri" w:cs="Calibri" w:eastAsia="Calibri" w:hAnsi="Calibri"/>
          <w:b/>
          <w:bCs/>
          <w:sz w:val="22"/>
          <w:szCs w:val="22"/>
        </w:rPr>
        <w:t xml:space="preserve">isITSimpProgram(r) === true</w:t>
      </w:r>
      <w:r>
        <w:rPr>
          <w:rFonts w:ascii="Calibri" w:cs="Calibri" w:eastAsia="Calibri" w:hAnsi="Calibri"/>
          <w:sz w:val="22"/>
          <w:szCs w:val="22"/>
        </w:rPr>
        <w:t xml:space="preserve"> (category contains "decomm" or "replatform") move to stage 4.</w:t>
      </w:r>
    </w:p>
    <w:p>
      <w:pPr>
        <w:pStyle w:val="ListParagraph"/>
        <w:numPr>
          <w:ilvl w:val="0"/>
          <w:numId w:val="1"/>
        </w:numPr>
        <w:spacing w:after="80"/>
      </w:pPr>
      <w:r>
        <w:rPr>
          <w:rFonts w:ascii="Calibri" w:cs="Calibri" w:eastAsia="Calibri" w:hAnsi="Calibri"/>
          <w:b/>
          <w:bCs/>
          <w:sz w:val="22"/>
          <w:szCs w:val="22"/>
        </w:rPr>
        <w:t xml:space="preserve">Decomm scoring in L4</w:t>
      </w:r>
      <w:r>
        <w:rPr>
          <w:rFonts w:ascii="Calibri" w:cs="Calibri" w:eastAsia="Calibri" w:hAnsi="Calibri"/>
          <w:sz w:val="22"/>
          <w:szCs w:val="22"/>
        </w:rPr>
        <w:t xml:space="preserve">: When IT Simp is OFF, Decomm programs participate in L4 merit-based prioritization alongside all Value demand. They compete on the same scoring criteria. If funded, they consume L4 budget.</w:t>
      </w:r>
    </w:p>
    <w:p>
      <w:pPr>
        <w:pStyle w:val="ListParagraph"/>
        <w:numPr>
          <w:ilvl w:val="0"/>
          <w:numId w:val="1"/>
        </w:numPr>
        <w:spacing w:after="80"/>
      </w:pPr>
      <w:r>
        <w:rPr>
          <w:rFonts w:ascii="Calibri" w:cs="Calibri" w:eastAsia="Calibri" w:hAnsi="Calibri"/>
          <w:b/>
          <w:bCs/>
          <w:sz w:val="22"/>
          <w:szCs w:val="22"/>
        </w:rPr>
        <w:t xml:space="preserve">Split on toggle-on</w:t>
      </w:r>
      <w:r>
        <w:rPr>
          <w:rFonts w:ascii="Calibri" w:cs="Calibri" w:eastAsia="Calibri" w:hAnsi="Calibri"/>
          <w:sz w:val="22"/>
          <w:szCs w:val="22"/>
        </w:rPr>
        <w:t xml:space="preserve">: When IT Simp is toggled ON, Decomm demand that was funded in L4 moves to L5. L5 pre-populates with that funded amount. Example: if L4 residual is R and D of that was Decomm, then after split L4 = R−D (non-Decomm), L5 = D (Decomm funded).</w:t>
      </w:r>
    </w:p>
    <w:p>
      <w:pPr>
        <w:pStyle w:val="ListParagraph"/>
        <w:numPr>
          <w:ilvl w:val="0"/>
          <w:numId w:val="1"/>
        </w:numPr>
        <w:spacing w:after="80"/>
      </w:pPr>
      <w:r>
        <w:rPr>
          <w:rFonts w:ascii="Calibri" w:cs="Calibri" w:eastAsia="Calibri" w:hAnsi="Calibri"/>
          <w:b/>
          <w:bCs/>
          <w:sz w:val="22"/>
          <w:szCs w:val="22"/>
        </w:rPr>
        <w:t xml:space="preserve">L5 budget source</w:t>
      </w:r>
      <w:r>
        <w:rPr>
          <w:rFonts w:ascii="Calibri" w:cs="Calibri" w:eastAsia="Calibri" w:hAnsi="Calibri"/>
          <w:sz w:val="22"/>
          <w:szCs w:val="22"/>
        </w:rPr>
        <w:t xml:space="preserve">: L5 draws from the same residual as L4. Increasing L5 reduces L4 available budget. L4 + L5 combined never exceed the residual after L1–L3.</w:t>
      </w:r>
    </w:p>
    <w:p>
      <w:pPr>
        <w:pStyle w:val="ListParagraph"/>
        <w:numPr>
          <w:ilvl w:val="0"/>
          <w:numId w:val="1"/>
        </w:numPr>
        <w:spacing w:after="80"/>
      </w:pPr>
      <w:r>
        <w:rPr>
          <w:rFonts w:ascii="Calibri" w:cs="Calibri" w:eastAsia="Calibri" w:hAnsi="Calibri"/>
          <w:b/>
          <w:bCs/>
          <w:sz w:val="22"/>
          <w:szCs w:val="22"/>
        </w:rPr>
        <w:t xml:space="preserve">User can increase L5</w:t>
      </w:r>
      <w:r>
        <w:rPr>
          <w:rFonts w:ascii="Calibri" w:cs="Calibri" w:eastAsia="Calibri" w:hAnsi="Calibri"/>
          <w:sz w:val="22"/>
          <w:szCs w:val="22"/>
        </w:rPr>
        <w:t xml:space="preserve">: Moving the L5 slider above the pre-populated amount funds additional Decomm programs, reducing L4 proportionally.</w:t>
      </w:r>
    </w:p>
    <w:p>
      <w:pPr>
        <w:pStyle w:val="ListParagraph"/>
        <w:numPr>
          <w:ilvl w:val="0"/>
          <w:numId w:val="1"/>
        </w:numPr>
        <w:spacing w:after="80"/>
      </w:pPr>
      <w:r>
        <w:rPr>
          <w:rFonts w:ascii="Calibri" w:cs="Calibri" w:eastAsia="Calibri" w:hAnsi="Calibri"/>
          <w:sz w:val="22"/>
          <w:szCs w:val="22"/>
        </w:rPr>
        <w:t xml:space="preserve">Slider modes: % of bucket demand, % of Total AOP, Allocation (M€).</w:t>
      </w:r>
    </w:p>
    <w:p>
      <w:pPr>
        <w:pStyle w:val="Heading3"/>
      </w:pPr>
      <w:r>
        <w:rPr>
          <w:rFonts w:ascii="Calibri" w:cs="Calibri" w:eastAsia="Calibri" w:hAnsi="Calibri"/>
          <w:b/>
          <w:bCs/>
          <w:color w:val="00126E"/>
        </w:rPr>
        <w:t xml:space="preserve">2.6 L4 Ceiling and Range</w:t>
      </w:r>
    </w:p>
    <w:p>
      <w:pPr>
        <w:pStyle w:val="ListParagraph"/>
        <w:numPr>
          <w:ilvl w:val="0"/>
          <w:numId w:val="1"/>
        </w:numPr>
        <w:spacing w:after="80"/>
      </w:pPr>
      <w:r>
        <w:rPr>
          <w:rFonts w:ascii="Calibri" w:cs="Calibri" w:eastAsia="Calibri" w:hAnsi="Calibri"/>
          <w:sz w:val="22"/>
          <w:szCs w:val="22"/>
        </w:rPr>
        <w:t xml:space="preserve">The L4 slider shows the full 0–100% range. The user can set any percentage.</w:t>
      </w:r>
    </w:p>
    <w:p>
      <w:pPr>
        <w:pStyle w:val="ListParagraph"/>
        <w:numPr>
          <w:ilvl w:val="0"/>
          <w:numId w:val="1"/>
        </w:numPr>
        <w:spacing w:after="80"/>
      </w:pPr>
      <w:r>
        <w:rPr>
          <w:rFonts w:ascii="Calibri" w:cs="Calibri" w:eastAsia="Calibri" w:hAnsi="Calibri"/>
          <w:sz w:val="22"/>
          <w:szCs w:val="22"/>
        </w:rPr>
        <w:t xml:space="preserve">The solve engine caps L4 at the residual: </w:t>
      </w:r>
      <w:r>
        <w:rPr>
          <w:rFonts w:ascii="Calibri" w:cs="Calibri" w:eastAsia="Calibri" w:hAnsi="Calibri"/>
          <w:b/>
          <w:bCs/>
          <w:sz w:val="22"/>
          <w:szCs w:val="22"/>
        </w:rPr>
        <w:t xml:space="preserve">valueTarget() = min(residual − itsimpReserve, target)</w:t>
      </w:r>
      <w:r>
        <w:rPr>
          <w:rFonts w:ascii="Calibri" w:cs="Calibri" w:eastAsia="Calibri" w:hAnsi="Calibri"/>
          <w:sz w:val="22"/>
          <w:szCs w:val="22"/>
        </w:rPr>
        <w:t xml:space="preserve">. Setting L4 above the residual has no additional effect — the solver funds programs up to what the budget allows.</w:t>
      </w:r>
    </w:p>
    <w:p>
      <w:pPr>
        <w:pStyle w:val="ListParagraph"/>
        <w:numPr>
          <w:ilvl w:val="0"/>
          <w:numId w:val="1"/>
        </w:numPr>
        <w:spacing w:after="80"/>
      </w:pPr>
      <w:r>
        <w:rPr>
          <w:rFonts w:ascii="Calibri" w:cs="Calibri" w:eastAsia="Calibri" w:hAnsi="Calibri"/>
          <w:sz w:val="22"/>
          <w:szCs w:val="22"/>
        </w:rPr>
        <w:t xml:space="preserve">The effective ceiling changes dynamically: reducing L1/L2/L3 increases the L4 ceiling; increasing them reduces it.</w:t>
      </w:r>
    </w:p>
    <w:p>
      <w:pPr>
        <w:pStyle w:val="ListParagraph"/>
        <w:numPr>
          <w:ilvl w:val="0"/>
          <w:numId w:val="1"/>
        </w:numPr>
        <w:spacing w:after="80"/>
      </w:pPr>
      <w:r>
        <w:rPr>
          <w:rFonts w:ascii="Calibri" w:cs="Calibri" w:eastAsia="Calibri" w:hAnsi="Calibri"/>
          <w:sz w:val="22"/>
          <w:szCs w:val="22"/>
        </w:rPr>
        <w:t xml:space="preserve">The allocation selection text shows the actual funded amount and percentage, making the effective ceiling visible.</w:t>
      </w:r>
    </w:p>
    <w:p>
      <w:pPr>
        <w:pStyle w:val="ListParagraph"/>
        <w:numPr>
          <w:ilvl w:val="0"/>
          <w:numId w:val="1"/>
        </w:numPr>
        <w:spacing w:after="80"/>
      </w:pPr>
      <w:r>
        <w:rPr>
          <w:rFonts w:ascii="Calibri" w:cs="Calibri" w:eastAsia="Calibri" w:hAnsi="Calibri"/>
          <w:sz w:val="22"/>
          <w:szCs w:val="22"/>
        </w:rPr>
        <w:t xml:space="preserve">A subtle red tick on the slider grid marks the ceiling position. The slider shows the full 0–100% range but dragging is clamped at the ceiling — the user cannot pull the slider beyond what the budget allows.</w:t>
      </w:r>
    </w:p>
    <w:p>
      <w:pPr>
        <w:pStyle w:val="ListParagraph"/>
        <w:numPr>
          <w:ilvl w:val="0"/>
          <w:numId w:val="1"/>
        </w:numPr>
        <w:spacing w:after="80"/>
      </w:pPr>
      <w:r>
        <w:rPr>
          <w:rFonts w:ascii="Calibri" w:cs="Calibri" w:eastAsia="Calibri" w:hAnsi="Calibri"/>
          <w:sz w:val="22"/>
          <w:szCs w:val="22"/>
        </w:rPr>
        <w:t xml:space="preserve">The ceiling value is stored as </w:t>
      </w:r>
      <w:r>
        <w:rPr>
          <w:rFonts w:ascii="Calibri" w:cs="Calibri" w:eastAsia="Calibri" w:hAnsi="Calibri"/>
          <w:b/>
          <w:bCs/>
          <w:sz w:val="22"/>
          <w:szCs w:val="22"/>
        </w:rPr>
        <w:t xml:space="preserve">data-ceiling</w:t>
      </w:r>
      <w:r>
        <w:rPr>
          <w:rFonts w:ascii="Calibri" w:cs="Calibri" w:eastAsia="Calibri" w:hAnsi="Calibri"/>
          <w:sz w:val="22"/>
          <w:szCs w:val="22"/>
        </w:rPr>
        <w:t xml:space="preserve"> on the slider and numeric input. Both the drag handler and the numeric input enforce the clamp.</w:t>
      </w:r>
    </w:p>
    <w:p>
      <w:pPr>
        <w:pStyle w:val="ListParagraph"/>
        <w:numPr>
          <w:ilvl w:val="0"/>
          <w:numId w:val="1"/>
        </w:numPr>
        <w:spacing w:after="80"/>
      </w:pPr>
      <w:r>
        <w:rPr>
          <w:rFonts w:ascii="Calibri" w:cs="Calibri" w:eastAsia="Calibri" w:hAnsi="Calibri"/>
          <w:sz w:val="22"/>
          <w:szCs w:val="22"/>
        </w:rPr>
        <w:t xml:space="preserve">The default L4 setting equals the ceiling via </w:t>
      </w:r>
      <w:r>
        <w:rPr>
          <w:rFonts w:ascii="Calibri" w:cs="Calibri" w:eastAsia="Calibri" w:hAnsi="Calibri"/>
          <w:b/>
          <w:bCs/>
          <w:sz w:val="22"/>
          <w:szCs w:val="22"/>
        </w:rPr>
        <w:t xml:space="preserve">autoValueCeiling()</w:t>
      </w:r>
      <w:r>
        <w:rPr>
          <w:rFonts w:ascii="Calibri" w:cs="Calibri" w:eastAsia="Calibri" w:hAnsi="Calibri"/>
          <w:sz w:val="22"/>
          <w:szCs w:val="22"/>
        </w:rPr>
        <w:t xml:space="preserve">. On new session or preset, L4 auto-sets to the available budget percentage.</w:t>
      </w:r>
    </w:p>
    <w:p>
      <w:pPr>
        <w:pStyle w:val="ListParagraph"/>
        <w:numPr>
          <w:ilvl w:val="0"/>
          <w:numId w:val="1"/>
        </w:numPr>
        <w:spacing w:after="80"/>
      </w:pPr>
      <w:r>
        <w:rPr>
          <w:rFonts w:ascii="Calibri" w:cs="Calibri" w:eastAsia="Calibri" w:hAnsi="Calibri"/>
          <w:sz w:val="22"/>
          <w:szCs w:val="22"/>
        </w:rPr>
        <w:t xml:space="preserve">All levers default to "% of bucket demand" basis for visual consistency. Carry Over auto-computes its default percentage from confirmed baseline demand.</w:t>
      </w:r>
    </w:p>
    <w:p>
      <w:pPr>
        <w:pStyle w:val="ListParagraph"/>
        <w:numPr>
          <w:ilvl w:val="0"/>
          <w:numId w:val="1"/>
        </w:numPr>
        <w:spacing w:after="80"/>
      </w:pPr>
      <w:r>
        <w:rPr>
          <w:rFonts w:ascii="Calibri" w:cs="Calibri" w:eastAsia="Calibri" w:hAnsi="Calibri"/>
          <w:sz w:val="22"/>
          <w:szCs w:val="22"/>
        </w:rPr>
        <w:t xml:space="preserve">IT Simplification renamed from "IT Simplification Lever" to "IT Simplification". L5 defaults to % of bucket demand basis.</w:t>
      </w:r>
    </w:p>
    <w:p>
      <w:pPr>
        <w:pStyle w:val="ListParagraph"/>
        <w:numPr>
          <w:ilvl w:val="0"/>
          <w:numId w:val="1"/>
        </w:numPr>
        <w:spacing w:after="80"/>
      </w:pPr>
      <w:r>
        <w:rPr>
          <w:rFonts w:ascii="Calibri" w:cs="Calibri" w:eastAsia="Calibri" w:hAnsi="Calibri"/>
          <w:sz w:val="22"/>
          <w:szCs w:val="22"/>
        </w:rPr>
        <w:t xml:space="preserve">Portfolio Inclusion Table sorted by Hard Benefits (high to low) by default.</w:t>
      </w:r>
    </w:p>
    <w:p>
      <w:r>
        <w:br w:type="page"/>
      </w:r>
    </w:p>
    <w:p>
      <w:pPr>
        <w:pStyle w:val="Heading2"/>
      </w:pPr>
      <w:r>
        <w:rPr>
          <w:rFonts w:ascii="Calibri" w:cs="Calibri" w:eastAsia="Calibri" w:hAnsi="Calibri"/>
          <w:b/>
          <w:bCs/>
          <w:color w:val="00126E"/>
        </w:rPr>
        <w:t xml:space="preserve">3. Lever Cascade and Budget Enforcement</w:t>
      </w:r>
    </w:p>
    <w:p>
      <w:pPr>
        <w:spacing w:after="120"/>
      </w:pPr>
      <w:r>
        <w:rPr>
          <w:rFonts w:ascii="Calibri" w:cs="Calibri" w:eastAsia="Calibri" w:hAnsi="Calibri"/>
          <w:b/>
          <w:bCs/>
          <w:sz w:val="22"/>
          <w:szCs w:val="22"/>
        </w:rPr>
        <w:t xml:space="preserve">Rule: </w:t>
      </w:r>
      <w:r>
        <w:rPr>
          <w:rFonts w:ascii="Calibri" w:cs="Calibri" w:eastAsia="Calibri" w:hAnsi="Calibri"/>
          <w:sz w:val="22"/>
          <w:szCs w:val="22"/>
        </w:rPr>
        <w:t xml:space="preserve">Levers are processed in strict order 1 → 2 → 3 → 4 → 5. The total allocation always equals the Total AOP budget (within whole-program granularity). Changing an upstream lever adjusts downstream allocations automatically.</w:t>
      </w:r>
    </w:p>
    <w:p>
      <w:pPr>
        <w:pStyle w:val="Heading3"/>
      </w:pPr>
      <w:r>
        <w:rPr>
          <w:rFonts w:ascii="Calibri" w:cs="Calibri" w:eastAsia="Calibri" w:hAnsi="Calibri"/>
          <w:b/>
          <w:bCs/>
          <w:color w:val="00126E"/>
        </w:rPr>
        <w:t xml:space="preserve">3.1 Residual Budget Flow — L4 as Sole Absorber</w:t>
      </w:r>
    </w:p>
    <w:p>
      <w:pPr>
        <w:spacing w:after="120"/>
      </w:pPr>
      <w:r>
        <w:rPr>
          <w:rFonts w:ascii="Calibri" w:cs="Calibri" w:eastAsia="Calibri" w:hAnsi="Calibri"/>
          <w:b/>
          <w:bCs/>
          <w:sz w:val="22"/>
          <w:szCs w:val="22"/>
        </w:rPr>
        <w:t xml:space="preserve">Core rule: </w:t>
      </w:r>
      <w:r>
        <w:rPr>
          <w:rFonts w:ascii="Calibri" w:cs="Calibri" w:eastAsia="Calibri" w:hAnsi="Calibri"/>
          <w:sz w:val="22"/>
          <w:szCs w:val="22"/>
        </w:rPr>
        <w:t xml:space="preserve">L4 (Value) is the sole residual absorber. When any upstream lever changes, L1/L2/L3 retain their settings. Only L4 adjusts: L4 allocation = budget − L1 funded − L2 funded − L3 funded.</w:t>
      </w:r>
    </w:p>
    <w:p>
      <w:pPr>
        <w:pStyle w:val="ListParagraph"/>
        <w:numPr>
          <w:ilvl w:val="0"/>
          <w:numId w:val="1"/>
        </w:numPr>
        <w:spacing w:after="80"/>
      </w:pPr>
      <w:r>
        <w:rPr>
          <w:rFonts w:ascii="Calibri" w:cs="Calibri" w:eastAsia="Calibri" w:hAnsi="Calibri"/>
          <w:b/>
          <w:bCs/>
          <w:sz w:val="22"/>
          <w:szCs w:val="22"/>
        </w:rPr>
        <w:t xml:space="preserve">residual()</w:t>
      </w:r>
      <w:r>
        <w:rPr>
          <w:rFonts w:ascii="Calibri" w:cs="Calibri" w:eastAsia="Calibri" w:hAnsi="Calibri"/>
          <w:sz w:val="22"/>
          <w:szCs w:val="22"/>
        </w:rPr>
        <w:t xml:space="preserve"> = budget × (1 + tolerance%) − spent[L1] − spent[L2] − spent[L3]</w:t>
      </w:r>
    </w:p>
    <w:p>
      <w:pPr>
        <w:pStyle w:val="ListParagraph"/>
        <w:numPr>
          <w:ilvl w:val="0"/>
          <w:numId w:val="1"/>
        </w:numPr>
        <w:spacing w:after="80"/>
      </w:pPr>
      <w:r>
        <w:rPr>
          <w:rFonts w:ascii="Calibri" w:cs="Calibri" w:eastAsia="Calibri" w:hAnsi="Calibri"/>
          <w:b/>
          <w:bCs/>
          <w:sz w:val="22"/>
          <w:szCs w:val="22"/>
        </w:rPr>
        <w:t xml:space="preserve">valueTarget()</w:t>
      </w:r>
      <w:r>
        <w:rPr>
          <w:rFonts w:ascii="Calibri" w:cs="Calibri" w:eastAsia="Calibri" w:hAnsi="Calibri"/>
          <w:sz w:val="22"/>
          <w:szCs w:val="22"/>
        </w:rPr>
        <w:t xml:space="preserve"> = min(residual − itsimpReserve, L4 target × (1 + tolerance%))</w:t>
      </w:r>
    </w:p>
    <w:p>
      <w:pPr>
        <w:pStyle w:val="ListParagraph"/>
        <w:numPr>
          <w:ilvl w:val="0"/>
          <w:numId w:val="1"/>
        </w:numPr>
        <w:spacing w:after="80"/>
      </w:pPr>
      <w:r>
        <w:rPr>
          <w:rFonts w:ascii="Calibri" w:cs="Calibri" w:eastAsia="Calibri" w:hAnsi="Calibri"/>
          <w:sz w:val="22"/>
          <w:szCs w:val="22"/>
        </w:rPr>
        <w:t xml:space="preserve">L5 reserve = min(L5 target, L5 demand) when IT Simplification is active, else 0.</w:t>
      </w:r>
    </w:p>
    <w:p>
      <w:pPr>
        <w:pStyle w:val="ListParagraph"/>
        <w:numPr>
          <w:ilvl w:val="0"/>
          <w:numId w:val="1"/>
        </w:numPr>
        <w:spacing w:after="80"/>
      </w:pPr>
      <w:r>
        <w:rPr>
          <w:rFonts w:ascii="Calibri" w:cs="Calibri" w:eastAsia="Calibri" w:hAnsi="Calibri"/>
          <w:sz w:val="22"/>
          <w:szCs w:val="22"/>
        </w:rPr>
        <w:t xml:space="preserve">Increasing L1 reduces what L4 receives. L2 and L3 are unaffected.</w:t>
      </w:r>
    </w:p>
    <w:p>
      <w:pPr>
        <w:pStyle w:val="ListParagraph"/>
        <w:numPr>
          <w:ilvl w:val="0"/>
          <w:numId w:val="1"/>
        </w:numPr>
        <w:spacing w:after="80"/>
      </w:pPr>
      <w:r>
        <w:rPr>
          <w:rFonts w:ascii="Calibri" w:cs="Calibri" w:eastAsia="Calibri" w:hAnsi="Calibri"/>
          <w:sz w:val="22"/>
          <w:szCs w:val="22"/>
        </w:rPr>
        <w:t xml:space="preserve">Increasing L2 reduces what L4 receives. L1 and L3 are unaffected.</w:t>
      </w:r>
    </w:p>
    <w:p>
      <w:pPr>
        <w:pStyle w:val="ListParagraph"/>
        <w:numPr>
          <w:ilvl w:val="0"/>
          <w:numId w:val="1"/>
        </w:numPr>
        <w:spacing w:after="80"/>
      </w:pPr>
      <w:r>
        <w:rPr>
          <w:rFonts w:ascii="Calibri" w:cs="Calibri" w:eastAsia="Calibri" w:hAnsi="Calibri"/>
          <w:sz w:val="22"/>
          <w:szCs w:val="22"/>
        </w:rPr>
        <w:t xml:space="preserve">Increasing L3 reduces what L4 receives. L1 and L2 are unaffected.</w:t>
      </w:r>
    </w:p>
    <w:p>
      <w:pPr>
        <w:pStyle w:val="ListParagraph"/>
        <w:numPr>
          <w:ilvl w:val="0"/>
          <w:numId w:val="1"/>
        </w:numPr>
        <w:spacing w:after="80"/>
      </w:pPr>
      <w:r>
        <w:rPr>
          <w:rFonts w:ascii="Calibri" w:cs="Calibri" w:eastAsia="Calibri" w:hAnsi="Calibri"/>
          <w:sz w:val="22"/>
          <w:szCs w:val="22"/>
        </w:rPr>
        <w:t xml:space="preserve">Decreasing any upstream lever releases budget to L4 automatically.</w:t>
      </w:r>
    </w:p>
    <w:p>
      <w:pPr>
        <w:pStyle w:val="ListParagraph"/>
        <w:numPr>
          <w:ilvl w:val="0"/>
          <w:numId w:val="1"/>
        </w:numPr>
        <w:spacing w:after="80"/>
      </w:pPr>
      <w:r>
        <w:rPr>
          <w:rFonts w:ascii="Calibri" w:cs="Calibri" w:eastAsia="Calibri" w:hAnsi="Calibri"/>
          <w:sz w:val="22"/>
          <w:szCs w:val="22"/>
        </w:rPr>
        <w:t xml:space="preserve">No proportional scaling of intermediate levers. Each lever operates independently at its user-set target.</w:t>
      </w:r>
    </w:p>
    <w:p>
      <w:pPr>
        <w:pStyle w:val="Heading3"/>
      </w:pPr>
      <w:r>
        <w:rPr>
          <w:rFonts w:ascii="Calibri" w:cs="Calibri" w:eastAsia="Calibri" w:hAnsi="Calibri"/>
          <w:b/>
          <w:bCs/>
          <w:color w:val="00126E"/>
        </w:rPr>
        <w:t xml:space="preserve">3.2 Excluded Programs</w:t>
      </w:r>
    </w:p>
    <w:p>
      <w:pPr>
        <w:pStyle w:val="ListParagraph"/>
        <w:numPr>
          <w:ilvl w:val="0"/>
          <w:numId w:val="1"/>
        </w:numPr>
        <w:spacing w:after="80"/>
      </w:pPr>
      <w:r>
        <w:rPr>
          <w:rFonts w:ascii="Calibri" w:cs="Calibri" w:eastAsia="Calibri" w:hAnsi="Calibri"/>
          <w:sz w:val="22"/>
          <w:szCs w:val="22"/>
        </w:rPr>
        <w:t xml:space="preserve">Programs with a manual exclude override are skipped at the top of the funding loop (</w:t>
      </w:r>
      <w:r>
        <w:rPr>
          <w:rFonts w:ascii="Calibri" w:cs="Calibri" w:eastAsia="Calibri" w:hAnsi="Calibri"/>
          <w:b/>
          <w:bCs/>
          <w:sz w:val="22"/>
          <w:szCs w:val="22"/>
        </w:rPr>
        <w:t xml:space="preserve">continue</w:t>
      </w:r>
      <w:r>
        <w:rPr>
          <w:rFonts w:ascii="Calibri" w:cs="Calibri" w:eastAsia="Calibri" w:hAnsi="Calibri"/>
          <w:sz w:val="22"/>
          <w:szCs w:val="22"/>
        </w:rPr>
        <w:t xml:space="preserve">). They do not consume budget, do not increment </w:t>
      </w:r>
      <w:r>
        <w:rPr>
          <w:rFonts w:ascii="Calibri" w:cs="Calibri" w:eastAsia="Calibri" w:hAnsi="Calibri"/>
          <w:b/>
          <w:bCs/>
          <w:sz w:val="22"/>
          <w:szCs w:val="22"/>
        </w:rPr>
        <w:t xml:space="preserve">spent[]</w:t>
      </w:r>
      <w:r>
        <w:rPr>
          <w:rFonts w:ascii="Calibri" w:cs="Calibri" w:eastAsia="Calibri" w:hAnsi="Calibri"/>
          <w:sz w:val="22"/>
          <w:szCs w:val="22"/>
        </w:rPr>
        <w:t xml:space="preserve">, and do not appear in the automatic allocation.</w:t>
      </w:r>
    </w:p>
    <w:p>
      <w:pPr>
        <w:pStyle w:val="ListParagraph"/>
        <w:numPr>
          <w:ilvl w:val="0"/>
          <w:numId w:val="1"/>
        </w:numPr>
        <w:spacing w:after="80"/>
      </w:pPr>
      <w:r>
        <w:rPr>
          <w:rFonts w:ascii="Calibri" w:cs="Calibri" w:eastAsia="Calibri" w:hAnsi="Calibri"/>
          <w:sz w:val="22"/>
          <w:szCs w:val="22"/>
        </w:rPr>
        <w:t xml:space="preserve">This ensures excluded programs release their budget for downstream stages.</w:t>
      </w:r>
    </w:p>
    <w:p>
      <w:pPr>
        <w:pStyle w:val="Heading3"/>
      </w:pPr>
      <w:r>
        <w:rPr>
          <w:rFonts w:ascii="Calibri" w:cs="Calibri" w:eastAsia="Calibri" w:hAnsi="Calibri"/>
          <w:b/>
          <w:bCs/>
          <w:color w:val="00126E"/>
        </w:rPr>
        <w:t xml:space="preserve">3.3 Preset Defaults</w:t>
      </w:r>
    </w:p>
    <w:p>
      <w:pPr>
        <w:spacing w:after="120"/>
      </w:pPr>
      <w:r>
        <w:rPr>
          <w:rFonts w:ascii="Calibri" w:cs="Calibri" w:eastAsia="Calibri" w:hAnsi="Calibri"/>
          <w:sz w:val="22"/>
          <w:szCs w:val="22"/>
        </w:rPr>
        <w:t xml:space="preserve">Each preset sets lever percentages. The budget field is unchanged by presets — only manual user edit changes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gridCol w:w="1200"/>
      </w:tblGrid>
      <w:tr>
        <w:tc>
          <w:tcPr>
            <w:tcW w:type="dxa" w:w="2400"/>
            <w:shd w:fill="00126E" w:val="clear"/>
          </w:tcPr>
          <w:p>
            <w:r>
              <w:rPr>
                <w:rFonts w:ascii="Calibri" w:cs="Calibri" w:eastAsia="Calibri" w:hAnsi="Calibri"/>
                <w:b/>
                <w:bCs/>
                <w:color w:val="FFFFFF"/>
                <w:sz w:val="20"/>
                <w:szCs w:val="20"/>
              </w:rPr>
              <w:t xml:space="preserve">Preset</w:t>
            </w:r>
          </w:p>
        </w:tc>
        <w:tc>
          <w:tcPr>
            <w:tcW w:type="dxa" w:w="1600"/>
            <w:shd w:fill="00126E" w:val="clear"/>
          </w:tcPr>
          <w:p>
            <w:r>
              <w:rPr>
                <w:rFonts w:ascii="Calibri" w:cs="Calibri" w:eastAsia="Calibri" w:hAnsi="Calibri"/>
                <w:b/>
                <w:bCs/>
                <w:color w:val="FFFFFF"/>
                <w:sz w:val="20"/>
                <w:szCs w:val="20"/>
              </w:rPr>
              <w:t xml:space="preserve">L1 LFR</w:t>
            </w:r>
          </w:p>
        </w:tc>
        <w:tc>
          <w:tcPr>
            <w:tcW w:type="dxa" w:w="1600"/>
            <w:shd w:fill="00126E" w:val="clear"/>
          </w:tcPr>
          <w:p>
            <w:r>
              <w:rPr>
                <w:rFonts w:ascii="Calibri" w:cs="Calibri" w:eastAsia="Calibri" w:hAnsi="Calibri"/>
                <w:b/>
                <w:bCs/>
                <w:color w:val="FFFFFF"/>
                <w:sz w:val="20"/>
                <w:szCs w:val="20"/>
              </w:rPr>
              <w:t xml:space="preserve">L2 Carry</w:t>
            </w:r>
          </w:p>
        </w:tc>
        <w:tc>
          <w:tcPr>
            <w:tcW w:type="dxa" w:w="1600"/>
            <w:shd w:fill="00126E" w:val="clear"/>
          </w:tcPr>
          <w:p>
            <w:r>
              <w:rPr>
                <w:rFonts w:ascii="Calibri" w:cs="Calibri" w:eastAsia="Calibri" w:hAnsi="Calibri"/>
                <w:b/>
                <w:bCs/>
                <w:color w:val="FFFFFF"/>
                <w:sz w:val="20"/>
                <w:szCs w:val="20"/>
              </w:rPr>
              <w:t xml:space="preserve">L3 Sustain</w:t>
            </w:r>
          </w:p>
        </w:tc>
        <w:tc>
          <w:tcPr>
            <w:tcW w:type="dxa" w:w="1600"/>
            <w:shd w:fill="00126E" w:val="clear"/>
          </w:tcPr>
          <w:p>
            <w:r>
              <w:rPr>
                <w:rFonts w:ascii="Calibri" w:cs="Calibri" w:eastAsia="Calibri" w:hAnsi="Calibri"/>
                <w:b/>
                <w:bCs/>
                <w:color w:val="FFFFFF"/>
                <w:sz w:val="20"/>
                <w:szCs w:val="20"/>
              </w:rPr>
              <w:t xml:space="preserve">L4 Value</w:t>
            </w:r>
          </w:p>
        </w:tc>
        <w:tc>
          <w:tcPr>
            <w:tcW w:type="dxa" w:w="1200"/>
            <w:shd w:fill="00126E" w:val="clear"/>
          </w:tcPr>
          <w:p>
            <w:r>
              <w:rPr>
                <w:rFonts w:ascii="Calibri" w:cs="Calibri" w:eastAsia="Calibri" w:hAnsi="Calibri"/>
                <w:b/>
                <w:bCs/>
                <w:color w:val="FFFFFF"/>
                <w:sz w:val="20"/>
                <w:szCs w:val="20"/>
              </w:rPr>
              <w:t xml:space="preserve">L5 IT Simp</w:t>
            </w:r>
          </w:p>
        </w:tc>
      </w:tr>
      <w:tr>
        <w:tc>
          <w:tcPr>
            <w:tcW w:type="dxa" w:w="2400"/>
          </w:tcPr>
          <w:p>
            <w:r>
              <w:rPr>
                <w:rFonts w:ascii="Calibri" w:cs="Calibri" w:eastAsia="Calibri" w:hAnsi="Calibri"/>
                <w:b/>
                <w:bCs/>
                <w:color w:val="000000"/>
                <w:sz w:val="20"/>
                <w:szCs w:val="20"/>
              </w:rPr>
              <w:t xml:space="preserve">Optimal Segmentation</w:t>
            </w:r>
          </w:p>
        </w:tc>
        <w:tc>
          <w:tcPr>
            <w:tcW w:type="dxa" w:w="1600"/>
          </w:tcPr>
          <w:p>
            <w:r>
              <w:rPr>
                <w:rFonts w:ascii="Calibri" w:cs="Calibri" w:eastAsia="Calibri" w:hAnsi="Calibri"/>
                <w:b w:val="false"/>
                <w:bCs w:val="false"/>
                <w:color w:val="000000"/>
                <w:sz w:val="20"/>
                <w:szCs w:val="20"/>
              </w:rPr>
              <w:t xml:space="preserve">Auto-verified %</w:t>
            </w:r>
          </w:p>
        </w:tc>
        <w:tc>
          <w:tcPr>
            <w:tcW w:type="dxa" w:w="1600"/>
          </w:tcPr>
          <w:p>
            <w:r>
              <w:rPr>
                <w:rFonts w:ascii="Calibri" w:cs="Calibri" w:eastAsia="Calibri" w:hAnsi="Calibri"/>
                <w:b w:val="false"/>
                <w:bCs w:val="false"/>
                <w:color w:val="000000"/>
                <w:sz w:val="20"/>
                <w:szCs w:val="20"/>
              </w:rPr>
              <w:t xml:space="preserve">Auto baseline M€</w:t>
            </w:r>
          </w:p>
        </w:tc>
        <w:tc>
          <w:tcPr>
            <w:tcW w:type="dxa" w:w="1600"/>
          </w:tcPr>
          <w:p>
            <w:r>
              <w:rPr>
                <w:rFonts w:ascii="Calibri" w:cs="Calibri" w:eastAsia="Calibri" w:hAnsi="Calibri"/>
                <w:b w:val="false"/>
                <w:bCs w:val="false"/>
                <w:color w:val="000000"/>
                <w:sz w:val="20"/>
                <w:szCs w:val="20"/>
              </w:rPr>
              <w:t xml:space="preserve">60% bucket</w:t>
            </w:r>
          </w:p>
        </w:tc>
        <w:tc>
          <w:tcPr>
            <w:tcW w:type="dxa" w:w="1600"/>
          </w:tcPr>
          <w:p>
            <w:r>
              <w:rPr>
                <w:rFonts w:ascii="Calibri" w:cs="Calibri" w:eastAsia="Calibri" w:hAnsi="Calibri"/>
                <w:b w:val="false"/>
                <w:bCs w:val="false"/>
                <w:color w:val="000000"/>
                <w:sz w:val="20"/>
                <w:szCs w:val="20"/>
              </w:rPr>
              <w:t xml:space="preserve">100% bucket</w:t>
            </w:r>
          </w:p>
        </w:tc>
        <w:tc>
          <w:tcPr>
            <w:tcW w:type="dxa" w:w="1200"/>
          </w:tcPr>
          <w:p>
            <w:r>
              <w:rPr>
                <w:rFonts w:ascii="Calibri" w:cs="Calibri" w:eastAsia="Calibri" w:hAnsi="Calibri"/>
                <w:b w:val="false"/>
                <w:bCs w:val="false"/>
                <w:color w:val="000000"/>
                <w:sz w:val="20"/>
                <w:szCs w:val="20"/>
              </w:rPr>
              <w:t xml:space="preserve">Off</w:t>
            </w:r>
          </w:p>
        </w:tc>
      </w:tr>
      <w:tr>
        <w:tc>
          <w:tcPr>
            <w:tcW w:type="dxa" w:w="2400"/>
          </w:tcPr>
          <w:p>
            <w:r>
              <w:rPr>
                <w:rFonts w:ascii="Calibri" w:cs="Calibri" w:eastAsia="Calibri" w:hAnsi="Calibri"/>
                <w:b/>
                <w:bCs/>
                <w:color w:val="000000"/>
                <w:sz w:val="20"/>
                <w:szCs w:val="20"/>
              </w:rPr>
              <w:t xml:space="preserve">Protect Commitments</w:t>
            </w:r>
          </w:p>
        </w:tc>
        <w:tc>
          <w:tcPr>
            <w:tcW w:type="dxa" w:w="1600"/>
          </w:tcPr>
          <w:p>
            <w:r>
              <w:rPr>
                <w:rFonts w:ascii="Calibri" w:cs="Calibri" w:eastAsia="Calibri" w:hAnsi="Calibri"/>
                <w:b w:val="false"/>
                <w:bCs w:val="false"/>
                <w:color w:val="000000"/>
                <w:sz w:val="20"/>
                <w:szCs w:val="20"/>
              </w:rPr>
              <w:t xml:space="preserve">100% bucket</w:t>
            </w:r>
          </w:p>
        </w:tc>
        <w:tc>
          <w:tcPr>
            <w:tcW w:type="dxa" w:w="1600"/>
          </w:tcPr>
          <w:p>
            <w:r>
              <w:rPr>
                <w:rFonts w:ascii="Calibri" w:cs="Calibri" w:eastAsia="Calibri" w:hAnsi="Calibri"/>
                <w:b w:val="false"/>
                <w:bCs w:val="false"/>
                <w:color w:val="000000"/>
                <w:sz w:val="20"/>
                <w:szCs w:val="20"/>
              </w:rPr>
              <w:t xml:space="preserve">100% bucket</w:t>
            </w:r>
          </w:p>
        </w:tc>
        <w:tc>
          <w:tcPr>
            <w:tcW w:type="dxa" w:w="1600"/>
          </w:tcPr>
          <w:p>
            <w:r>
              <w:rPr>
                <w:rFonts w:ascii="Calibri" w:cs="Calibri" w:eastAsia="Calibri" w:hAnsi="Calibri"/>
                <w:b w:val="false"/>
                <w:bCs w:val="false"/>
                <w:color w:val="000000"/>
                <w:sz w:val="20"/>
                <w:szCs w:val="20"/>
              </w:rPr>
              <w:t xml:space="preserve">100% bucket</w:t>
            </w:r>
          </w:p>
        </w:tc>
        <w:tc>
          <w:tcPr>
            <w:tcW w:type="dxa" w:w="1600"/>
          </w:tcPr>
          <w:p>
            <w:r>
              <w:rPr>
                <w:rFonts w:ascii="Calibri" w:cs="Calibri" w:eastAsia="Calibri" w:hAnsi="Calibri"/>
                <w:b w:val="false"/>
                <w:bCs w:val="false"/>
                <w:color w:val="000000"/>
                <w:sz w:val="20"/>
                <w:szCs w:val="20"/>
              </w:rPr>
              <w:t xml:space="preserve">10% AOP</w:t>
            </w:r>
          </w:p>
        </w:tc>
        <w:tc>
          <w:tcPr>
            <w:tcW w:type="dxa" w:w="1200"/>
          </w:tcPr>
          <w:p>
            <w:r>
              <w:rPr>
                <w:rFonts w:ascii="Calibri" w:cs="Calibri" w:eastAsia="Calibri" w:hAnsi="Calibri"/>
                <w:b w:val="false"/>
                <w:bCs w:val="false"/>
                <w:color w:val="000000"/>
                <w:sz w:val="20"/>
                <w:szCs w:val="20"/>
              </w:rPr>
              <w:t xml:space="preserve">Off</w:t>
            </w:r>
          </w:p>
        </w:tc>
      </w:tr>
      <w:tr>
        <w:tc>
          <w:tcPr>
            <w:tcW w:type="dxa" w:w="2400"/>
          </w:tcPr>
          <w:p>
            <w:r>
              <w:rPr>
                <w:rFonts w:ascii="Calibri" w:cs="Calibri" w:eastAsia="Calibri" w:hAnsi="Calibri"/>
                <w:b/>
                <w:bCs/>
                <w:color w:val="000000"/>
                <w:sz w:val="20"/>
                <w:szCs w:val="20"/>
              </w:rPr>
              <w:t xml:space="preserve">Balance Sustain &amp; Value</w:t>
            </w:r>
          </w:p>
        </w:tc>
        <w:tc>
          <w:tcPr>
            <w:tcW w:type="dxa" w:w="1600"/>
          </w:tcPr>
          <w:p>
            <w:r>
              <w:rPr>
                <w:rFonts w:ascii="Calibri" w:cs="Calibri" w:eastAsia="Calibri" w:hAnsi="Calibri"/>
                <w:b w:val="false"/>
                <w:bCs w:val="false"/>
                <w:color w:val="000000"/>
                <w:sz w:val="20"/>
                <w:szCs w:val="20"/>
              </w:rPr>
              <w:t xml:space="preserve">100% bucket</w:t>
            </w:r>
          </w:p>
        </w:tc>
        <w:tc>
          <w:tcPr>
            <w:tcW w:type="dxa" w:w="1600"/>
          </w:tcPr>
          <w:p>
            <w:r>
              <w:rPr>
                <w:rFonts w:ascii="Calibri" w:cs="Calibri" w:eastAsia="Calibri" w:hAnsi="Calibri"/>
                <w:b w:val="false"/>
                <w:bCs w:val="false"/>
                <w:color w:val="000000"/>
                <w:sz w:val="20"/>
                <w:szCs w:val="20"/>
              </w:rPr>
              <w:t xml:space="preserve">100% bucket</w:t>
            </w:r>
          </w:p>
        </w:tc>
        <w:tc>
          <w:tcPr>
            <w:tcW w:type="dxa" w:w="1600"/>
          </w:tcPr>
          <w:p>
            <w:r>
              <w:rPr>
                <w:rFonts w:ascii="Calibri" w:cs="Calibri" w:eastAsia="Calibri" w:hAnsi="Calibri"/>
                <w:b w:val="false"/>
                <w:bCs w:val="false"/>
                <w:color w:val="000000"/>
                <w:sz w:val="20"/>
                <w:szCs w:val="20"/>
              </w:rPr>
              <w:t xml:space="preserve">75% bucket</w:t>
            </w:r>
          </w:p>
        </w:tc>
        <w:tc>
          <w:tcPr>
            <w:tcW w:type="dxa" w:w="1600"/>
          </w:tcPr>
          <w:p>
            <w:r>
              <w:rPr>
                <w:rFonts w:ascii="Calibri" w:cs="Calibri" w:eastAsia="Calibri" w:hAnsi="Calibri"/>
                <w:b w:val="false"/>
                <w:bCs w:val="false"/>
                <w:color w:val="000000"/>
                <w:sz w:val="20"/>
                <w:szCs w:val="20"/>
              </w:rPr>
              <w:t xml:space="preserve">15% AOP</w:t>
            </w:r>
          </w:p>
        </w:tc>
        <w:tc>
          <w:tcPr>
            <w:tcW w:type="dxa" w:w="1200"/>
          </w:tcPr>
          <w:p>
            <w:r>
              <w:rPr>
                <w:rFonts w:ascii="Calibri" w:cs="Calibri" w:eastAsia="Calibri" w:hAnsi="Calibri"/>
                <w:b w:val="false"/>
                <w:bCs w:val="false"/>
                <w:color w:val="000000"/>
                <w:sz w:val="20"/>
                <w:szCs w:val="20"/>
              </w:rPr>
              <w:t xml:space="preserve">Off</w:t>
            </w:r>
          </w:p>
        </w:tc>
      </w:tr>
      <w:tr>
        <w:tc>
          <w:tcPr>
            <w:tcW w:type="dxa" w:w="2400"/>
          </w:tcPr>
          <w:p>
            <w:r>
              <w:rPr>
                <w:rFonts w:ascii="Calibri" w:cs="Calibri" w:eastAsia="Calibri" w:hAnsi="Calibri"/>
                <w:b/>
                <w:bCs/>
                <w:color w:val="000000"/>
                <w:sz w:val="20"/>
                <w:szCs w:val="20"/>
              </w:rPr>
              <w:t xml:space="preserve">Release Sustain Capacity</w:t>
            </w:r>
          </w:p>
        </w:tc>
        <w:tc>
          <w:tcPr>
            <w:tcW w:type="dxa" w:w="1600"/>
          </w:tcPr>
          <w:p>
            <w:r>
              <w:rPr>
                <w:rFonts w:ascii="Calibri" w:cs="Calibri" w:eastAsia="Calibri" w:hAnsi="Calibri"/>
                <w:b w:val="false"/>
                <w:bCs w:val="false"/>
                <w:color w:val="000000"/>
                <w:sz w:val="20"/>
                <w:szCs w:val="20"/>
              </w:rPr>
              <w:t xml:space="preserve">44% bucket</w:t>
            </w:r>
          </w:p>
        </w:tc>
        <w:tc>
          <w:tcPr>
            <w:tcW w:type="dxa" w:w="1600"/>
          </w:tcPr>
          <w:p>
            <w:r>
              <w:rPr>
                <w:rFonts w:ascii="Calibri" w:cs="Calibri" w:eastAsia="Calibri" w:hAnsi="Calibri"/>
                <w:b w:val="false"/>
                <w:bCs w:val="false"/>
                <w:color w:val="000000"/>
                <w:sz w:val="20"/>
                <w:szCs w:val="20"/>
              </w:rPr>
              <w:t xml:space="preserve">75% bucket</w:t>
            </w:r>
          </w:p>
        </w:tc>
        <w:tc>
          <w:tcPr>
            <w:tcW w:type="dxa" w:w="1600"/>
          </w:tcPr>
          <w:p>
            <w:r>
              <w:rPr>
                <w:rFonts w:ascii="Calibri" w:cs="Calibri" w:eastAsia="Calibri" w:hAnsi="Calibri"/>
                <w:b w:val="false"/>
                <w:bCs w:val="false"/>
                <w:color w:val="000000"/>
                <w:sz w:val="20"/>
                <w:szCs w:val="20"/>
              </w:rPr>
              <w:t xml:space="preserve">75% bucket</w:t>
            </w:r>
          </w:p>
        </w:tc>
        <w:tc>
          <w:tcPr>
            <w:tcW w:type="dxa" w:w="1600"/>
          </w:tcPr>
          <w:p>
            <w:r>
              <w:rPr>
                <w:rFonts w:ascii="Calibri" w:cs="Calibri" w:eastAsia="Calibri" w:hAnsi="Calibri"/>
                <w:b w:val="false"/>
                <w:bCs w:val="false"/>
                <w:color w:val="000000"/>
                <w:sz w:val="20"/>
                <w:szCs w:val="20"/>
              </w:rPr>
              <w:t xml:space="preserve">20% AOP</w:t>
            </w:r>
          </w:p>
        </w:tc>
        <w:tc>
          <w:tcPr>
            <w:tcW w:type="dxa" w:w="1200"/>
          </w:tcPr>
          <w:p>
            <w:r>
              <w:rPr>
                <w:rFonts w:ascii="Calibri" w:cs="Calibri" w:eastAsia="Calibri" w:hAnsi="Calibri"/>
                <w:b w:val="false"/>
                <w:bCs w:val="false"/>
                <w:color w:val="000000"/>
                <w:sz w:val="20"/>
                <w:szCs w:val="20"/>
              </w:rPr>
              <w:t xml:space="preserve">Off</w:t>
            </w:r>
          </w:p>
        </w:tc>
      </w:tr>
    </w:tbl>
    <w:p>
      <w:r>
        <w:br w:type="page"/>
      </w:r>
    </w:p>
    <w:p>
      <w:pPr>
        <w:pStyle w:val="Heading2"/>
      </w:pPr>
      <w:r>
        <w:rPr>
          <w:rFonts w:ascii="Calibri" w:cs="Calibri" w:eastAsia="Calibri" w:hAnsi="Calibri"/>
          <w:b/>
          <w:bCs/>
          <w:color w:val="00126E"/>
        </w:rPr>
        <w:t xml:space="preserve">4. Merit Scoring Framework</w:t>
      </w:r>
    </w:p>
    <w:p>
      <w:pPr>
        <w:spacing w:after="120"/>
      </w:pPr>
      <w:r>
        <w:rPr>
          <w:rFonts w:ascii="Calibri" w:cs="Calibri" w:eastAsia="Calibri" w:hAnsi="Calibri"/>
          <w:sz w:val="22"/>
          <w:szCs w:val="22"/>
        </w:rPr>
        <w:t xml:space="preserve">Composite 0–100 score. Formula: Score = Σ(raw_i / max_i × weight_i). Weights must sum to 100.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4000"/>
      </w:tblGrid>
      <w:tr>
        <w:tc>
          <w:tcPr>
            <w:tcW w:type="dxa" w:w="3000"/>
            <w:shd w:fill="00126E" w:val="clear"/>
          </w:tcPr>
          <w:p>
            <w:r>
              <w:rPr>
                <w:rFonts w:ascii="Calibri" w:cs="Calibri" w:eastAsia="Calibri" w:hAnsi="Calibri"/>
                <w:b/>
                <w:bCs/>
                <w:color w:val="FFFFFF"/>
                <w:sz w:val="20"/>
                <w:szCs w:val="20"/>
              </w:rPr>
              <w:t xml:space="preserve">Component</w:t>
            </w:r>
          </w:p>
        </w:tc>
        <w:tc>
          <w:tcPr>
            <w:tcW w:type="dxa" w:w="1500"/>
            <w:shd w:fill="00126E" w:val="clear"/>
          </w:tcPr>
          <w:p>
            <w:r>
              <w:rPr>
                <w:rFonts w:ascii="Calibri" w:cs="Calibri" w:eastAsia="Calibri" w:hAnsi="Calibri"/>
                <w:b/>
                <w:bCs/>
                <w:color w:val="FFFFFF"/>
                <w:sz w:val="20"/>
                <w:szCs w:val="20"/>
              </w:rPr>
              <w:t xml:space="preserve">Max Raw</w:t>
            </w:r>
          </w:p>
        </w:tc>
        <w:tc>
          <w:tcPr>
            <w:tcW w:type="dxa" w:w="1500"/>
            <w:shd w:fill="00126E" w:val="clear"/>
          </w:tcPr>
          <w:p>
            <w:r>
              <w:rPr>
                <w:rFonts w:ascii="Calibri" w:cs="Calibri" w:eastAsia="Calibri" w:hAnsi="Calibri"/>
                <w:b/>
                <w:bCs/>
                <w:color w:val="FFFFFF"/>
                <w:sz w:val="20"/>
                <w:szCs w:val="20"/>
              </w:rPr>
              <w:t xml:space="preserve">Default Weight</w:t>
            </w:r>
          </w:p>
        </w:tc>
        <w:tc>
          <w:tcPr>
            <w:tcW w:type="dxa" w:w="4000"/>
            <w:shd w:fill="00126E" w:val="clear"/>
          </w:tcPr>
          <w:p>
            <w:r>
              <w:rPr>
                <w:rFonts w:ascii="Calibri" w:cs="Calibri" w:eastAsia="Calibri" w:hAnsi="Calibri"/>
                <w:b/>
                <w:bCs/>
                <w:color w:val="FFFFFF"/>
                <w:sz w:val="20"/>
                <w:szCs w:val="20"/>
              </w:rPr>
              <w:t xml:space="preserve">Scoring Rule</w:t>
            </w:r>
          </w:p>
        </w:tc>
      </w:tr>
      <w:tr>
        <w:tc>
          <w:tcPr>
            <w:tcW w:type="dxa" w:w="3000"/>
          </w:tcPr>
          <w:p>
            <w:r>
              <w:rPr>
                <w:rFonts w:ascii="Calibri" w:cs="Calibri" w:eastAsia="Calibri" w:hAnsi="Calibri"/>
                <w:b w:val="false"/>
                <w:bCs w:val="false"/>
                <w:color w:val="000000"/>
                <w:sz w:val="20"/>
                <w:szCs w:val="20"/>
              </w:rPr>
              <w:t xml:space="preserve">Benefit Strength</w:t>
            </w:r>
          </w:p>
        </w:tc>
        <w:tc>
          <w:tcPr>
            <w:tcW w:type="dxa" w:w="1500"/>
          </w:tcPr>
          <w:p>
            <w:r>
              <w:rPr>
                <w:rFonts w:ascii="Calibri" w:cs="Calibri" w:eastAsia="Calibri" w:hAnsi="Calibri"/>
                <w:b w:val="false"/>
                <w:bCs w:val="false"/>
                <w:color w:val="000000"/>
                <w:sz w:val="20"/>
                <w:szCs w:val="20"/>
              </w:rPr>
              <w:t xml:space="preserve">50</w:t>
            </w:r>
          </w:p>
        </w:tc>
        <w:tc>
          <w:tcPr>
            <w:tcW w:type="dxa" w:w="1500"/>
          </w:tcPr>
          <w:p>
            <w:r>
              <w:rPr>
                <w:rFonts w:ascii="Calibri" w:cs="Calibri" w:eastAsia="Calibri" w:hAnsi="Calibri"/>
                <w:b w:val="false"/>
                <w:bCs w:val="false"/>
                <w:color w:val="000000"/>
                <w:sz w:val="20"/>
                <w:szCs w:val="20"/>
              </w:rPr>
              <w:t xml:space="preserve">40%</w:t>
            </w:r>
          </w:p>
        </w:tc>
        <w:tc>
          <w:tcPr>
            <w:tcW w:type="dxa" w:w="4000"/>
          </w:tcPr>
          <w:p>
            <w:r>
              <w:rPr>
                <w:rFonts w:ascii="Calibri" w:cs="Calibri" w:eastAsia="Calibri" w:hAnsi="Calibri"/>
                <w:b w:val="false"/>
                <w:bCs w:val="false"/>
                <w:color w:val="000000"/>
                <w:sz w:val="20"/>
                <w:szCs w:val="20"/>
              </w:rPr>
              <w:t xml:space="preserve">Quantitative: ratio tiers (0/15/25/35/50). Qualitative fallback from text analysis.</w:t>
            </w:r>
          </w:p>
        </w:tc>
      </w:tr>
      <w:tr>
        <w:tc>
          <w:tcPr>
            <w:tcW w:type="dxa" w:w="3000"/>
          </w:tcPr>
          <w:p>
            <w:r>
              <w:rPr>
                <w:rFonts w:ascii="Calibri" w:cs="Calibri" w:eastAsia="Calibri" w:hAnsi="Calibri"/>
                <w:b w:val="false"/>
                <w:bCs w:val="false"/>
                <w:color w:val="000000"/>
                <w:sz w:val="20"/>
                <w:szCs w:val="20"/>
              </w:rPr>
              <w:t xml:space="preserve">Submitted Priority</w:t>
            </w:r>
          </w:p>
        </w:tc>
        <w:tc>
          <w:tcPr>
            <w:tcW w:type="dxa" w:w="1500"/>
          </w:tcPr>
          <w:p>
            <w:r>
              <w:rPr>
                <w:rFonts w:ascii="Calibri" w:cs="Calibri" w:eastAsia="Calibri" w:hAnsi="Calibri"/>
                <w:b w:val="false"/>
                <w:bCs w:val="false"/>
                <w:color w:val="000000"/>
                <w:sz w:val="20"/>
                <w:szCs w:val="20"/>
              </w:rPr>
              <w:t xml:space="preserve">25</w:t>
            </w:r>
          </w:p>
        </w:tc>
        <w:tc>
          <w:tcPr>
            <w:tcW w:type="dxa" w:w="1500"/>
          </w:tcPr>
          <w:p>
            <w:r>
              <w:rPr>
                <w:rFonts w:ascii="Calibri" w:cs="Calibri" w:eastAsia="Calibri" w:hAnsi="Calibri"/>
                <w:b w:val="false"/>
                <w:bCs w:val="false"/>
                <w:color w:val="000000"/>
                <w:sz w:val="20"/>
                <w:szCs w:val="20"/>
              </w:rPr>
              <w:t xml:space="preserve">25%</w:t>
            </w:r>
          </w:p>
        </w:tc>
        <w:tc>
          <w:tcPr>
            <w:tcW w:type="dxa" w:w="4000"/>
          </w:tcPr>
          <w:p>
            <w:r>
              <w:rPr>
                <w:rFonts w:ascii="Calibri" w:cs="Calibri" w:eastAsia="Calibri" w:hAnsi="Calibri"/>
                <w:b w:val="false"/>
                <w:bCs w:val="false"/>
                <w:color w:val="000000"/>
                <w:sz w:val="20"/>
                <w:szCs w:val="20"/>
              </w:rPr>
              <w:t xml:space="preserve">Must Do=25, Must Have=18, Deprioritised=5, else 0.</w:t>
            </w:r>
          </w:p>
        </w:tc>
      </w:tr>
      <w:tr>
        <w:tc>
          <w:tcPr>
            <w:tcW w:type="dxa" w:w="3000"/>
          </w:tcPr>
          <w:p>
            <w:r>
              <w:rPr>
                <w:rFonts w:ascii="Calibri" w:cs="Calibri" w:eastAsia="Calibri" w:hAnsi="Calibri"/>
                <w:b w:val="false"/>
                <w:bCs w:val="false"/>
                <w:color w:val="000000"/>
                <w:sz w:val="20"/>
                <w:szCs w:val="20"/>
              </w:rPr>
              <w:t xml:space="preserve">Captured Consequence</w:t>
            </w:r>
          </w:p>
        </w:tc>
        <w:tc>
          <w:tcPr>
            <w:tcW w:type="dxa" w:w="1500"/>
          </w:tcPr>
          <w:p>
            <w:r>
              <w:rPr>
                <w:rFonts w:ascii="Calibri" w:cs="Calibri" w:eastAsia="Calibri" w:hAnsi="Calibri"/>
                <w:b w:val="false"/>
                <w:bCs w:val="false"/>
                <w:color w:val="000000"/>
                <w:sz w:val="20"/>
                <w:szCs w:val="20"/>
              </w:rPr>
              <w:t xml:space="preserve">15</w:t>
            </w:r>
          </w:p>
        </w:tc>
        <w:tc>
          <w:tcPr>
            <w:tcW w:type="dxa" w:w="1500"/>
          </w:tcPr>
          <w:p>
            <w:r>
              <w:rPr>
                <w:rFonts w:ascii="Calibri" w:cs="Calibri" w:eastAsia="Calibri" w:hAnsi="Calibri"/>
                <w:b w:val="false"/>
                <w:bCs w:val="false"/>
                <w:color w:val="000000"/>
                <w:sz w:val="20"/>
                <w:szCs w:val="20"/>
              </w:rPr>
              <w:t xml:space="preserve">15%</w:t>
            </w:r>
          </w:p>
        </w:tc>
        <w:tc>
          <w:tcPr>
            <w:tcW w:type="dxa" w:w="4000"/>
          </w:tcPr>
          <w:p>
            <w:r>
              <w:rPr>
                <w:rFonts w:ascii="Calibri" w:cs="Calibri" w:eastAsia="Calibri" w:hAnsi="Calibri"/>
                <w:b w:val="false"/>
                <w:bCs w:val="false"/>
                <w:color w:val="000000"/>
                <w:sz w:val="20"/>
                <w:szCs w:val="20"/>
              </w:rPr>
              <w:t xml:space="preserve">NLP from Impact/Problem/Scope. Explicit+affected+reach/quant = 15/10/5.</w:t>
            </w:r>
          </w:p>
        </w:tc>
      </w:tr>
      <w:tr>
        <w:tc>
          <w:tcPr>
            <w:tcW w:type="dxa" w:w="3000"/>
          </w:tcPr>
          <w:p>
            <w:r>
              <w:rPr>
                <w:rFonts w:ascii="Calibri" w:cs="Calibri" w:eastAsia="Calibri" w:hAnsi="Calibri"/>
                <w:b w:val="false"/>
                <w:bCs w:val="false"/>
                <w:color w:val="000000"/>
                <w:sz w:val="20"/>
                <w:szCs w:val="20"/>
              </w:rPr>
              <w:t xml:space="preserve">Decision Band</w:t>
            </w:r>
          </w:p>
        </w:tc>
        <w:tc>
          <w:tcPr>
            <w:tcW w:type="dxa" w:w="1500"/>
          </w:tcPr>
          <w:p>
            <w:r>
              <w:rPr>
                <w:rFonts w:ascii="Calibri" w:cs="Calibri" w:eastAsia="Calibri" w:hAnsi="Calibri"/>
                <w:b w:val="false"/>
                <w:bCs w:val="false"/>
                <w:color w:val="000000"/>
                <w:sz w:val="20"/>
                <w:szCs w:val="20"/>
              </w:rPr>
              <w:t xml:space="preserve">10</w:t>
            </w:r>
          </w:p>
        </w:tc>
        <w:tc>
          <w:tcPr>
            <w:tcW w:type="dxa" w:w="1500"/>
          </w:tcPr>
          <w:p>
            <w:r>
              <w:rPr>
                <w:rFonts w:ascii="Calibri" w:cs="Calibri" w:eastAsia="Calibri" w:hAnsi="Calibri"/>
                <w:b w:val="false"/>
                <w:bCs w:val="false"/>
                <w:color w:val="000000"/>
                <w:sz w:val="20"/>
                <w:szCs w:val="20"/>
              </w:rPr>
              <w:t xml:space="preserve">10%</w:t>
            </w:r>
          </w:p>
        </w:tc>
        <w:tc>
          <w:tcPr>
            <w:tcW w:type="dxa" w:w="4000"/>
          </w:tcPr>
          <w:p>
            <w:r>
              <w:rPr>
                <w:rFonts w:ascii="Calibri" w:cs="Calibri" w:eastAsia="Calibri" w:hAnsi="Calibri"/>
                <w:b w:val="false"/>
                <w:bCs w:val="false"/>
                <w:color w:val="000000"/>
                <w:sz w:val="20"/>
                <w:szCs w:val="20"/>
              </w:rPr>
              <w:t xml:space="preserve">Healthy=10, Contain=6, else 0.</w:t>
            </w:r>
          </w:p>
        </w:tc>
      </w:tr>
      <w:tr>
        <w:tc>
          <w:tcPr>
            <w:tcW w:type="dxa" w:w="3000"/>
          </w:tcPr>
          <w:p>
            <w:r>
              <w:rPr>
                <w:rFonts w:ascii="Calibri" w:cs="Calibri" w:eastAsia="Calibri" w:hAnsi="Calibri"/>
                <w:b w:val="false"/>
                <w:bCs w:val="false"/>
                <w:color w:val="000000"/>
                <w:sz w:val="20"/>
                <w:szCs w:val="20"/>
              </w:rPr>
              <w:t xml:space="preserve">Payback Period</w:t>
            </w:r>
          </w:p>
        </w:tc>
        <w:tc>
          <w:tcPr>
            <w:tcW w:type="dxa" w:w="1500"/>
          </w:tcPr>
          <w:p>
            <w:r>
              <w:rPr>
                <w:rFonts w:ascii="Calibri" w:cs="Calibri" w:eastAsia="Calibri" w:hAnsi="Calibri"/>
                <w:b w:val="false"/>
                <w:bCs w:val="false"/>
                <w:color w:val="000000"/>
                <w:sz w:val="20"/>
                <w:szCs w:val="20"/>
              </w:rPr>
              <w:t xml:space="preserve">10</w:t>
            </w:r>
          </w:p>
        </w:tc>
        <w:tc>
          <w:tcPr>
            <w:tcW w:type="dxa" w:w="1500"/>
          </w:tcPr>
          <w:p>
            <w:r>
              <w:rPr>
                <w:rFonts w:ascii="Calibri" w:cs="Calibri" w:eastAsia="Calibri" w:hAnsi="Calibri"/>
                <w:b w:val="false"/>
                <w:bCs w:val="false"/>
                <w:color w:val="000000"/>
                <w:sz w:val="20"/>
                <w:szCs w:val="20"/>
              </w:rPr>
              <w:t xml:space="preserve">10%</w:t>
            </w:r>
          </w:p>
        </w:tc>
        <w:tc>
          <w:tcPr>
            <w:tcW w:type="dxa" w:w="4000"/>
          </w:tcPr>
          <w:p>
            <w:r>
              <w:rPr>
                <w:rFonts w:ascii="Calibri" w:cs="Calibri" w:eastAsia="Calibri" w:hAnsi="Calibri"/>
                <w:b w:val="false"/>
                <w:bCs w:val="false"/>
                <w:color w:val="000000"/>
                <w:sz w:val="20"/>
                <w:szCs w:val="20"/>
              </w:rPr>
              <w:t xml:space="preserve">≤1yr=10, ≤2yr=8, ≤3yr=6, ≤5yr=4, else 0.</w:t>
            </w:r>
          </w:p>
        </w:tc>
      </w:tr>
    </w:tbl>
    <w:p>
      <w:pPr>
        <w:spacing w:after="120"/>
      </w:pPr>
      <w:r>
        <w:rPr>
          <w:rFonts w:ascii="Calibri" w:cs="Calibri" w:eastAsia="Calibri" w:hAnsi="Calibri"/>
          <w:i/>
          <w:iCs/>
          <w:color w:val="4A5568"/>
          <w:sz w:val="22"/>
          <w:szCs w:val="22"/>
        </w:rPr>
        <w:t xml:space="preserve">Merit floor: programs in Lever 4 below the floor setting receive a hold and are not auto-funded.</w:t>
      </w:r>
    </w:p>
    <w:p>
      <w:pPr>
        <w:pStyle w:val="Heading2"/>
      </w:pPr>
      <w:r>
        <w:rPr>
          <w:rFonts w:ascii="Calibri" w:cs="Calibri" w:eastAsia="Calibri" w:hAnsi="Calibri"/>
          <w:b/>
          <w:bCs/>
          <w:color w:val="00126E"/>
        </w:rPr>
        <w:t xml:space="preserve">5. Cost Allocation and Finance Reconciliation</w:t>
      </w:r>
    </w:p>
    <w:p>
      <w:pPr>
        <w:spacing w:after="120"/>
      </w:pPr>
      <w:r>
        <w:rPr>
          <w:rFonts w:ascii="Calibri" w:cs="Calibri" w:eastAsia="Calibri" w:hAnsi="Calibri"/>
          <w:sz w:val="22"/>
          <w:szCs w:val="22"/>
        </w:rPr>
        <w:t xml:space="preserve">The </w:t>
      </w:r>
      <w:r>
        <w:rPr>
          <w:rFonts w:ascii="Calibri" w:cs="Calibri" w:eastAsia="Calibri" w:hAnsi="Calibri"/>
          <w:b/>
          <w:bCs/>
          <w:sz w:val="22"/>
          <w:szCs w:val="22"/>
        </w:rPr>
        <w:t xml:space="preserve">finance()</w:t>
      </w:r>
      <w:r>
        <w:rPr>
          <w:rFonts w:ascii="Calibri" w:cs="Calibri" w:eastAsia="Calibri" w:hAnsi="Calibri"/>
          <w:sz w:val="22"/>
          <w:szCs w:val="22"/>
        </w:rPr>
        <w:t xml:space="preserve"> function produces the Organisation IT Cost Allocation table (Tab 6). It is shared by UI, export, and QA.</w:t>
      </w:r>
    </w:p>
    <w:p>
      <w:pPr>
        <w:pStyle w:val="Heading3"/>
      </w:pPr>
      <w:r>
        <w:rPr>
          <w:rFonts w:ascii="Calibri" w:cs="Calibri" w:eastAsia="Calibri" w:hAnsi="Calibri"/>
          <w:b/>
          <w:bCs/>
          <w:color w:val="00126E"/>
        </w:rPr>
        <w:t xml:space="preserve">5.1 Program Allocation</w:t>
      </w:r>
    </w:p>
    <w:p>
      <w:pPr>
        <w:pStyle w:val="ListParagraph"/>
        <w:numPr>
          <w:ilvl w:val="0"/>
          <w:numId w:val="1"/>
        </w:numPr>
        <w:spacing w:after="80"/>
      </w:pPr>
      <w:r>
        <w:rPr>
          <w:rFonts w:ascii="Calibri" w:cs="Calibri" w:eastAsia="Calibri" w:hAnsi="Calibri"/>
          <w:b/>
          <w:bCs/>
          <w:sz w:val="22"/>
          <w:szCs w:val="22"/>
        </w:rPr>
        <w:t xml:space="preserve">BU Led</w:t>
      </w:r>
      <w:r>
        <w:rPr>
          <w:rFonts w:ascii="Calibri" w:cs="Calibri" w:eastAsia="Calibri" w:hAnsi="Calibri"/>
          <w:sz w:val="22"/>
          <w:szCs w:val="22"/>
        </w:rPr>
        <w:t xml:space="preserve">: Type I (Single BU) + Type II (Cross BU) allocations. Each funded program is allocated to recipient organisations using its source spend-allocation percentages.</w:t>
      </w:r>
    </w:p>
    <w:p>
      <w:pPr>
        <w:pStyle w:val="ListParagraph"/>
        <w:numPr>
          <w:ilvl w:val="0"/>
          <w:numId w:val="1"/>
        </w:numPr>
        <w:spacing w:after="80"/>
      </w:pPr>
      <w:r>
        <w:rPr>
          <w:rFonts w:ascii="Calibri" w:cs="Calibri" w:eastAsia="Calibri" w:hAnsi="Calibri"/>
          <w:b/>
          <w:bCs/>
          <w:sz w:val="22"/>
          <w:szCs w:val="22"/>
        </w:rPr>
        <w:t xml:space="preserve">Functions &amp; Regions</w:t>
      </w:r>
      <w:r>
        <w:rPr>
          <w:rFonts w:ascii="Calibri" w:cs="Calibri" w:eastAsia="Calibri" w:hAnsi="Calibri"/>
          <w:sz w:val="22"/>
          <w:szCs w:val="22"/>
        </w:rPr>
        <w:t xml:space="preserve">: Type III / Enterprise-wide programs allocated using the confirmed EW charging key. The key is a set of fractions per recipient, corrected by the confirmed scale factor.</w:t>
      </w:r>
    </w:p>
    <w:p>
      <w:pPr>
        <w:pStyle w:val="ListParagraph"/>
        <w:numPr>
          <w:ilvl w:val="0"/>
          <w:numId w:val="1"/>
        </w:numPr>
        <w:spacing w:after="80"/>
      </w:pPr>
      <w:r>
        <w:rPr>
          <w:rFonts w:ascii="Calibri" w:cs="Calibri" w:eastAsia="Calibri" w:hAnsi="Calibri"/>
          <w:sz w:val="22"/>
          <w:szCs w:val="22"/>
        </w:rPr>
        <w:t xml:space="preserve">Unallocated remainder: if source allocation fractions do not sum to 1.0, the remainder is placed in the Unallocated bucket.</w:t>
      </w:r>
    </w:p>
    <w:p>
      <w:pPr>
        <w:pStyle w:val="Heading3"/>
      </w:pPr>
      <w:r>
        <w:rPr>
          <w:rFonts w:ascii="Calibri" w:cs="Calibri" w:eastAsia="Calibri" w:hAnsi="Calibri"/>
          <w:b/>
          <w:bCs/>
          <w:color w:val="00126E"/>
        </w:rPr>
        <w:t xml:space="preserve">5.2 Operations Allocation</w:t>
      </w:r>
    </w:p>
    <w:p>
      <w:pPr>
        <w:pStyle w:val="ListParagraph"/>
        <w:numPr>
          <w:ilvl w:val="0"/>
          <w:numId w:val="1"/>
        </w:numPr>
        <w:spacing w:after="80"/>
      </w:pPr>
      <w:r>
        <w:rPr>
          <w:rFonts w:ascii="Calibri" w:cs="Calibri" w:eastAsia="Calibri" w:hAnsi="Calibri"/>
          <w:b/>
          <w:bCs/>
          <w:sz w:val="22"/>
          <w:szCs w:val="22"/>
        </w:rPr>
        <w:t xml:space="preserve">Operations Cost</w:t>
      </w:r>
      <w:r>
        <w:rPr>
          <w:rFonts w:ascii="Calibri" w:cs="Calibri" w:eastAsia="Calibri" w:hAnsi="Calibri"/>
          <w:sz w:val="22"/>
          <w:szCs w:val="22"/>
        </w:rPr>
        <w:t xml:space="preserve">: Bill of IT TCO per BU cluster. Three sub-buckets: Own Consumption, Region allocation, Functions &amp; CoEs allocation.</w:t>
      </w:r>
    </w:p>
    <w:p>
      <w:pPr>
        <w:pStyle w:val="ListParagraph"/>
        <w:numPr>
          <w:ilvl w:val="0"/>
          <w:numId w:val="1"/>
        </w:numPr>
        <w:spacing w:after="80"/>
      </w:pPr>
      <w:r>
        <w:rPr>
          <w:rFonts w:ascii="Calibri" w:cs="Calibri" w:eastAsia="Calibri" w:hAnsi="Calibri"/>
          <w:sz w:val="22"/>
          <w:szCs w:val="22"/>
        </w:rPr>
        <w:t xml:space="preserve">Operations are fully allocated to BU clusters. Functions, Regions and CoEs are distributed into BU charges.</w:t>
      </w:r>
    </w:p>
    <w:p>
      <w:pPr>
        <w:pStyle w:val="Heading3"/>
      </w:pPr>
      <w:r>
        <w:rPr>
          <w:rFonts w:ascii="Calibri" w:cs="Calibri" w:eastAsia="Calibri" w:hAnsi="Calibri"/>
          <w:b/>
          <w:bCs/>
          <w:color w:val="00126E"/>
        </w:rPr>
        <w:t xml:space="preserve">5.3 Consolidated Table (Tab 6)</w:t>
      </w:r>
    </w:p>
    <w:p>
      <w:pPr>
        <w:pStyle w:val="ListParagraph"/>
        <w:numPr>
          <w:ilvl w:val="0"/>
          <w:numId w:val="1"/>
        </w:numPr>
        <w:spacing w:after="80"/>
      </w:pPr>
      <w:r>
        <w:rPr>
          <w:rFonts w:ascii="Calibri" w:cs="Calibri" w:eastAsia="Calibri" w:hAnsi="Calibri"/>
          <w:sz w:val="22"/>
          <w:szCs w:val="22"/>
        </w:rPr>
        <w:t xml:space="preserve">Five columns: Organisation, BU Led (M€), Functions &amp; Regions (M€), Operations Cost (M€), Total IT Charge (M€).</w:t>
      </w:r>
    </w:p>
    <w:p>
      <w:pPr>
        <w:pStyle w:val="ListParagraph"/>
        <w:numPr>
          <w:ilvl w:val="0"/>
          <w:numId w:val="1"/>
        </w:numPr>
        <w:spacing w:after="80"/>
      </w:pPr>
      <w:r>
        <w:rPr>
          <w:rFonts w:ascii="Calibri" w:cs="Calibri" w:eastAsia="Calibri" w:hAnsi="Calibri"/>
          <w:sz w:val="22"/>
          <w:szCs w:val="22"/>
        </w:rPr>
        <w:t xml:space="preserve">Sorted by total descending. Functions/Regions distributed via Type II keys shown as a separate row.</w:t>
      </w:r>
    </w:p>
    <w:p>
      <w:pPr>
        <w:pStyle w:val="ListParagraph"/>
        <w:numPr>
          <w:ilvl w:val="0"/>
          <w:numId w:val="1"/>
        </w:numPr>
        <w:spacing w:after="80"/>
      </w:pPr>
      <w:r>
        <w:rPr>
          <w:rFonts w:ascii="Calibri" w:cs="Calibri" w:eastAsia="Calibri" w:hAnsi="Calibri"/>
          <w:b/>
          <w:bCs/>
          <w:sz w:val="22"/>
          <w:szCs w:val="22"/>
        </w:rPr>
        <w:t xml:space="preserve">Grand Total</w:t>
      </w:r>
      <w:r>
        <w:rPr>
          <w:rFonts w:ascii="Calibri" w:cs="Calibri" w:eastAsia="Calibri" w:hAnsi="Calibri"/>
          <w:sz w:val="22"/>
          <w:szCs w:val="22"/>
        </w:rPr>
        <w:t xml:space="preserve"> = Prioritised Programme AOP + Operations AOP = Total IT AOP.</w:t>
      </w:r>
    </w:p>
    <w:p>
      <w:pPr>
        <w:pStyle w:val="ListParagraph"/>
        <w:numPr>
          <w:ilvl w:val="0"/>
          <w:numId w:val="1"/>
        </w:numPr>
        <w:spacing w:after="80"/>
      </w:pPr>
      <w:r>
        <w:rPr>
          <w:rFonts w:ascii="Calibri" w:cs="Calibri" w:eastAsia="Calibri" w:hAnsi="Calibri"/>
          <w:sz w:val="22"/>
          <w:szCs w:val="22"/>
        </w:rPr>
        <w:t xml:space="preserve">PMI programs are outside the base budget and tracked separately.</w:t>
      </w:r>
    </w:p>
    <w:p>
      <w:pPr>
        <w:pStyle w:val="Heading3"/>
      </w:pPr>
      <w:r>
        <w:rPr>
          <w:rFonts w:ascii="Calibri" w:cs="Calibri" w:eastAsia="Calibri" w:hAnsi="Calibri"/>
          <w:b/>
          <w:bCs/>
          <w:color w:val="00126E"/>
        </w:rPr>
        <w:t xml:space="preserve">5.4 Reconciliation</w:t>
      </w:r>
    </w:p>
    <w:p>
      <w:pPr>
        <w:pStyle w:val="ListParagraph"/>
        <w:numPr>
          <w:ilvl w:val="0"/>
          <w:numId w:val="1"/>
        </w:numPr>
        <w:spacing w:after="80"/>
      </w:pPr>
      <w:r>
        <w:rPr>
          <w:rFonts w:ascii="Calibri" w:cs="Calibri" w:eastAsia="Calibri" w:hAnsi="Calibri"/>
          <w:sz w:val="22"/>
          <w:szCs w:val="22"/>
        </w:rPr>
        <w:t xml:space="preserve">Expected total = programme allocation + PMI funded + Operations total.</w:t>
      </w:r>
    </w:p>
    <w:p>
      <w:pPr>
        <w:pStyle w:val="ListParagraph"/>
        <w:numPr>
          <w:ilvl w:val="0"/>
          <w:numId w:val="1"/>
        </w:numPr>
        <w:spacing w:after="80"/>
      </w:pPr>
      <w:r>
        <w:rPr>
          <w:rFonts w:ascii="Calibri" w:cs="Calibri" w:eastAsia="Calibri" w:hAnsi="Calibri"/>
          <w:sz w:val="22"/>
          <w:szCs w:val="22"/>
        </w:rPr>
        <w:t xml:space="preserve">The finance ledger retains full source precision. Displayed amounts use one decimal place.</w:t>
      </w:r>
    </w:p>
    <w:p>
      <w:r>
        <w:br w:type="page"/>
      </w:r>
    </w:p>
    <w:p>
      <w:pPr>
        <w:pStyle w:val="Heading2"/>
      </w:pPr>
      <w:r>
        <w:rPr>
          <w:rFonts w:ascii="Calibri" w:cs="Calibri" w:eastAsia="Calibri" w:hAnsi="Calibri"/>
          <w:b/>
          <w:bCs/>
          <w:color w:val="00126E"/>
        </w:rPr>
        <w:t xml:space="preserve">6. ExCo LFR Decisions</w:t>
      </w:r>
    </w:p>
    <w:p>
      <w:pPr>
        <w:spacing w:after="120"/>
      </w:pPr>
      <w:r>
        <w:rPr>
          <w:rFonts w:ascii="Calibri" w:cs="Calibri" w:eastAsia="Calibri" w:hAnsi="Calibri"/>
          <w:sz w:val="22"/>
          <w:szCs w:val="22"/>
        </w:rPr>
        <w:t xml:space="preserve">ExCo members review LFR demand and provide opt-in/opt-out decisions with feedback. These decisions are embedded in </w:t>
      </w:r>
      <w:r>
        <w:rPr>
          <w:rFonts w:ascii="Calibri" w:cs="Calibri" w:eastAsia="Calibri" w:hAnsi="Calibri"/>
          <w:b/>
          <w:bCs/>
          <w:sz w:val="22"/>
          <w:szCs w:val="22"/>
        </w:rPr>
        <w:t xml:space="preserve">LFR_EXCO_DECISIONS</w:t>
      </w:r>
      <w:r>
        <w:rPr>
          <w:rFonts w:ascii="Calibri" w:cs="Calibri" w:eastAsia="Calibri" w:hAnsi="Calibri"/>
          <w:sz w:val="22"/>
          <w:szCs w:val="22"/>
        </w:rPr>
        <w:t xml:space="preserve"> and applied during program enrichment.</w:t>
      </w:r>
    </w:p>
    <w:p>
      <w:pPr>
        <w:pStyle w:val="Heading3"/>
      </w:pPr>
      <w:r>
        <w:rPr>
          <w:rFonts w:ascii="Calibri" w:cs="Calibri" w:eastAsia="Calibri" w:hAnsi="Calibri"/>
          <w:b/>
          <w:bCs/>
          <w:color w:val="00126E"/>
        </w:rPr>
        <w:t xml:space="preserve">6.1 Mechanism</w:t>
      </w:r>
    </w:p>
    <w:p>
      <w:pPr>
        <w:pStyle w:val="ListParagraph"/>
        <w:numPr>
          <w:ilvl w:val="0"/>
          <w:numId w:val="1"/>
        </w:numPr>
        <w:spacing w:after="80"/>
      </w:pPr>
      <w:r>
        <w:rPr>
          <w:rFonts w:ascii="Calibri" w:cs="Calibri" w:eastAsia="Calibri" w:hAnsi="Calibri"/>
          <w:b/>
          <w:bCs/>
          <w:sz w:val="22"/>
          <w:szCs w:val="22"/>
        </w:rPr>
        <w:t xml:space="preserve">Opt-out</w:t>
      </w:r>
      <w:r>
        <w:rPr>
          <w:rFonts w:ascii="Calibri" w:cs="Calibri" w:eastAsia="Calibri" w:hAnsi="Calibri"/>
          <w:sz w:val="22"/>
          <w:szCs w:val="22"/>
        </w:rPr>
        <w:t xml:space="preserve">: Program is marked </w:t>
      </w:r>
      <w:r>
        <w:rPr>
          <w:rFonts w:ascii="Calibri" w:cs="Calibri" w:eastAsia="Calibri" w:hAnsi="Calibri"/>
          <w:b/>
          <w:bCs/>
          <w:sz w:val="22"/>
          <w:szCs w:val="22"/>
        </w:rPr>
        <w:t xml:space="preserve">lfrOptOut = true</w:t>
      </w:r>
      <w:r>
        <w:rPr>
          <w:rFonts w:ascii="Calibri" w:cs="Calibri" w:eastAsia="Calibri" w:hAnsi="Calibri"/>
          <w:sz w:val="22"/>
          <w:szCs w:val="22"/>
        </w:rPr>
        <w:t xml:space="preserve"> and </w:t>
      </w:r>
      <w:r>
        <w:rPr>
          <w:rFonts w:ascii="Calibri" w:cs="Calibri" w:eastAsia="Calibri" w:hAnsi="Calibri"/>
          <w:b/>
          <w:bCs/>
          <w:sz w:val="22"/>
          <w:szCs w:val="22"/>
        </w:rPr>
        <w:t xml:space="preserve">lfrVerified = false</w:t>
      </w:r>
      <w:r>
        <w:rPr>
          <w:rFonts w:ascii="Calibri" w:cs="Calibri" w:eastAsia="Calibri" w:hAnsi="Calibri"/>
          <w:sz w:val="22"/>
          <w:szCs w:val="22"/>
        </w:rPr>
        <w:t xml:space="preserve">. It ranks below verified programs in Lever 1. At the auto-verified default, it is deprioritized (not funded in L1). At 100%, it is funded. The program is NOT excluded from the portfolio — it participates in all stages.</w:t>
      </w:r>
    </w:p>
    <w:p>
      <w:pPr>
        <w:pStyle w:val="ListParagraph"/>
        <w:numPr>
          <w:ilvl w:val="0"/>
          <w:numId w:val="1"/>
        </w:numPr>
        <w:spacing w:after="80"/>
      </w:pPr>
      <w:r>
        <w:rPr>
          <w:rFonts w:ascii="Calibri" w:cs="Calibri" w:eastAsia="Calibri" w:hAnsi="Calibri"/>
          <w:b/>
          <w:bCs/>
          <w:sz w:val="22"/>
          <w:szCs w:val="22"/>
        </w:rPr>
        <w:t xml:space="preserve">Opt-in</w:t>
      </w:r>
      <w:r>
        <w:rPr>
          <w:rFonts w:ascii="Calibri" w:cs="Calibri" w:eastAsia="Calibri" w:hAnsi="Calibri"/>
          <w:sz w:val="22"/>
          <w:szCs w:val="22"/>
        </w:rPr>
        <w:t xml:space="preserve">: No change to program status. Verification is determined by source evidence.</w:t>
      </w:r>
    </w:p>
    <w:p>
      <w:pPr>
        <w:pStyle w:val="ListParagraph"/>
        <w:numPr>
          <w:ilvl w:val="0"/>
          <w:numId w:val="1"/>
        </w:numPr>
        <w:spacing w:after="80"/>
      </w:pPr>
      <w:r>
        <w:rPr>
          <w:rFonts w:ascii="Calibri" w:cs="Calibri" w:eastAsia="Calibri" w:hAnsi="Calibri"/>
          <w:b/>
          <w:bCs/>
          <w:sz w:val="22"/>
          <w:szCs w:val="22"/>
        </w:rPr>
        <w:t xml:space="preserve">Feedback</w:t>
      </w:r>
      <w:r>
        <w:rPr>
          <w:rFonts w:ascii="Calibri" w:cs="Calibri" w:eastAsia="Calibri" w:hAnsi="Calibri"/>
          <w:sz w:val="22"/>
          <w:szCs w:val="22"/>
        </w:rPr>
        <w:t xml:space="preserve">: ExCo feedback text is stored in the decision record and displayed as a warning on the program row and detail popup.</w:t>
      </w:r>
    </w:p>
    <w:p>
      <w:pPr>
        <w:pStyle w:val="Heading3"/>
      </w:pPr>
      <w:r>
        <w:rPr>
          <w:rFonts w:ascii="Calibri" w:cs="Calibri" w:eastAsia="Calibri" w:hAnsi="Calibri"/>
          <w:b/>
          <w:bCs/>
          <w:color w:val="00126E"/>
        </w:rPr>
        <w:t xml:space="preserve">6.2 Impact on Default Scenario</w:t>
      </w:r>
    </w:p>
    <w:p>
      <w:pPr>
        <w:pStyle w:val="ListParagraph"/>
        <w:numPr>
          <w:ilvl w:val="0"/>
          <w:numId w:val="1"/>
        </w:numPr>
        <w:spacing w:after="80"/>
      </w:pPr>
      <w:r>
        <w:rPr>
          <w:rFonts w:ascii="Calibri" w:cs="Calibri" w:eastAsia="Calibri" w:hAnsi="Calibri"/>
          <w:sz w:val="22"/>
          <w:szCs w:val="22"/>
        </w:rPr>
        <w:t xml:space="preserve">The auto-verified LFR percentage decreases because opt-out programs are removed from the verified pool.</w:t>
      </w:r>
    </w:p>
    <w:p>
      <w:pPr>
        <w:pStyle w:val="ListParagraph"/>
        <w:numPr>
          <w:ilvl w:val="0"/>
          <w:numId w:val="1"/>
        </w:numPr>
        <w:spacing w:after="80"/>
      </w:pPr>
      <w:r>
        <w:rPr>
          <w:rFonts w:ascii="Calibri" w:cs="Calibri" w:eastAsia="Calibri" w:hAnsi="Calibri"/>
          <w:sz w:val="22"/>
          <w:szCs w:val="22"/>
        </w:rPr>
        <w:t xml:space="preserve">Deprioritized LFR programs still appear in LFR stage but are not funded at the default slider setting.</w:t>
      </w:r>
    </w:p>
    <w:p>
      <w:pPr>
        <w:pStyle w:val="ListParagraph"/>
        <w:numPr>
          <w:ilvl w:val="0"/>
          <w:numId w:val="1"/>
        </w:numPr>
        <w:spacing w:after="80"/>
      </w:pPr>
      <w:r>
        <w:rPr>
          <w:rFonts w:ascii="Calibri" w:cs="Calibri" w:eastAsia="Calibri" w:hAnsi="Calibri"/>
          <w:sz w:val="22"/>
          <w:szCs w:val="22"/>
        </w:rPr>
        <w:t xml:space="preserve">The user can increase the L1 slider to fund opt-out programs, or decrease to further reduce LFR allocation.</w:t>
      </w:r>
    </w:p>
    <w:p>
      <w:pPr>
        <w:pStyle w:val="Heading2"/>
      </w:pPr>
      <w:r>
        <w:rPr>
          <w:rFonts w:ascii="Calibri" w:cs="Calibri" w:eastAsia="Calibri" w:hAnsi="Calibri"/>
          <w:b/>
          <w:bCs/>
          <w:color w:val="00126E"/>
        </w:rPr>
        <w:t xml:space="preserve">7. Solve Algorithm</w:t>
      </w:r>
    </w:p>
    <w:p>
      <w:pPr>
        <w:spacing w:after="120"/>
      </w:pPr>
      <w:r>
        <w:rPr>
          <w:rFonts w:ascii="Calibri" w:cs="Calibri" w:eastAsia="Calibri" w:hAnsi="Calibri"/>
          <w:b/>
          <w:bCs/>
          <w:sz w:val="22"/>
          <w:szCs w:val="22"/>
        </w:rPr>
        <w:t xml:space="preserve">solve(data, settings, overrides, reviews)</w:t>
      </w:r>
      <w:r>
        <w:rPr>
          <w:rFonts w:ascii="Calibri" w:cs="Calibri" w:eastAsia="Calibri" w:hAnsi="Calibri"/>
          <w:sz w:val="22"/>
          <w:szCs w:val="22"/>
        </w:rPr>
        <w:t xml:space="preserve"> is the single deterministic function that computes the scenario. It is called on every setting change and shared by UI, export, and QA.</w:t>
      </w:r>
    </w:p>
    <w:p>
      <w:pPr>
        <w:pStyle w:val="ListParagraph"/>
        <w:numPr>
          <w:ilvl w:val="0"/>
          <w:numId w:val="1"/>
        </w:numPr>
        <w:spacing w:after="80"/>
      </w:pPr>
      <w:r>
        <w:rPr>
          <w:rFonts w:ascii="Calibri" w:cs="Calibri" w:eastAsia="Calibri" w:hAnsi="Calibri"/>
          <w:b/>
          <w:bCs/>
          <w:sz w:val="22"/>
          <w:szCs w:val="22"/>
        </w:rPr>
        <w:t xml:space="preserve">Step 1</w:t>
      </w:r>
      <w:r>
        <w:rPr>
          <w:rFonts w:ascii="Calibri" w:cs="Calibri" w:eastAsia="Calibri" w:hAnsi="Calibri"/>
          <w:sz w:val="22"/>
          <w:szCs w:val="22"/>
        </w:rPr>
        <w:t xml:space="preserve">: Enrich all records — compute scores, stage assignment, holds, eligibility, ExCo mapping, benefit classification.</w:t>
      </w:r>
    </w:p>
    <w:p>
      <w:pPr>
        <w:pStyle w:val="ListParagraph"/>
        <w:numPr>
          <w:ilvl w:val="0"/>
          <w:numId w:val="1"/>
        </w:numPr>
        <w:spacing w:after="80"/>
      </w:pPr>
      <w:r>
        <w:rPr>
          <w:rFonts w:ascii="Calibri" w:cs="Calibri" w:eastAsia="Calibri" w:hAnsi="Calibri"/>
          <w:b/>
          <w:bCs/>
          <w:sz w:val="22"/>
          <w:szCs w:val="22"/>
        </w:rPr>
        <w:t xml:space="preserve">Step 2</w:t>
      </w:r>
      <w:r>
        <w:rPr>
          <w:rFonts w:ascii="Calibri" w:cs="Calibri" w:eastAsia="Calibri" w:hAnsi="Calibri"/>
          <w:sz w:val="22"/>
          <w:szCs w:val="22"/>
        </w:rPr>
        <w:t xml:space="preserve">: Separate PMI rows (auto-funded on top of budget). Sort non-PMI rows by stage then within-stage ranking.</w:t>
      </w:r>
    </w:p>
    <w:p>
      <w:pPr>
        <w:pStyle w:val="ListParagraph"/>
        <w:numPr>
          <w:ilvl w:val="0"/>
          <w:numId w:val="1"/>
        </w:numPr>
        <w:spacing w:after="80"/>
      </w:pPr>
      <w:r>
        <w:rPr>
          <w:rFonts w:ascii="Calibri" w:cs="Calibri" w:eastAsia="Calibri" w:hAnsi="Calibri"/>
          <w:b/>
          <w:bCs/>
          <w:sz w:val="22"/>
          <w:szCs w:val="22"/>
        </w:rPr>
        <w:t xml:space="preserve">Step 3</w:t>
      </w:r>
      <w:r>
        <w:rPr>
          <w:rFonts w:ascii="Calibri" w:cs="Calibri" w:eastAsia="Calibri" w:hAnsi="Calibri"/>
          <w:sz w:val="22"/>
          <w:szCs w:val="22"/>
        </w:rPr>
        <w:t xml:space="preserve">: Compute lever targets from settings and stage demand.</w:t>
      </w:r>
    </w:p>
    <w:p>
      <w:pPr>
        <w:pStyle w:val="ListParagraph"/>
        <w:numPr>
          <w:ilvl w:val="0"/>
          <w:numId w:val="1"/>
        </w:numPr>
        <w:spacing w:after="80"/>
      </w:pPr>
      <w:r>
        <w:rPr>
          <w:rFonts w:ascii="Calibri" w:cs="Calibri" w:eastAsia="Calibri" w:hAnsi="Calibri"/>
          <w:b/>
          <w:bCs/>
          <w:sz w:val="22"/>
          <w:szCs w:val="22"/>
        </w:rPr>
        <w:t xml:space="preserve">Step 4</w:t>
      </w:r>
      <w:r>
        <w:rPr>
          <w:rFonts w:ascii="Calibri" w:cs="Calibri" w:eastAsia="Calibri" w:hAnsi="Calibri"/>
          <w:sz w:val="22"/>
          <w:szCs w:val="22"/>
        </w:rPr>
        <w:t xml:space="preserve">: Funding loop — iterate rows in order. For each row:</w:t>
      </w:r>
    </w:p>
    <w:p>
      <w:pPr>
        <w:pStyle w:val="ListParagraph"/>
        <w:numPr>
          <w:ilvl w:val="1"/>
          <w:numId w:val="1"/>
        </w:numPr>
        <w:spacing w:after="60"/>
      </w:pPr>
      <w:r>
        <w:rPr>
          <w:rFonts w:ascii="Calibri" w:cs="Calibri" w:eastAsia="Calibri" w:hAnsi="Calibri"/>
          <w:sz w:val="22"/>
          <w:szCs w:val="22"/>
        </w:rPr>
        <w:t xml:space="preserve">If excluded via override → skip (do not consume budget).</w:t>
      </w:r>
    </w:p>
    <w:p>
      <w:pPr>
        <w:pStyle w:val="ListParagraph"/>
        <w:numPr>
          <w:ilvl w:val="1"/>
          <w:numId w:val="1"/>
        </w:numPr>
        <w:spacing w:after="60"/>
      </w:pPr>
      <w:r>
        <w:rPr>
          <w:rFonts w:ascii="Calibri" w:cs="Calibri" w:eastAsia="Calibri" w:hAnsi="Calibri"/>
          <w:sz w:val="22"/>
          <w:szCs w:val="22"/>
        </w:rPr>
        <w:t xml:space="preserve">If eligible and fits stage limit and portfolio limit → fund at automatic amount.</w:t>
      </w:r>
    </w:p>
    <w:p>
      <w:pPr>
        <w:pStyle w:val="ListParagraph"/>
        <w:numPr>
          <w:ilvl w:val="1"/>
          <w:numId w:val="1"/>
        </w:numPr>
        <w:spacing w:after="60"/>
      </w:pPr>
      <w:r>
        <w:rPr>
          <w:rFonts w:ascii="Calibri" w:cs="Calibri" w:eastAsia="Calibri" w:hAnsi="Calibri"/>
          <w:sz w:val="22"/>
          <w:szCs w:val="22"/>
        </w:rPr>
        <w:t xml:space="preserve">Apply include overrides (manual amounts) after automatic computation.</w:t>
      </w:r>
    </w:p>
    <w:p>
      <w:pPr>
        <w:pStyle w:val="ListParagraph"/>
        <w:numPr>
          <w:ilvl w:val="0"/>
          <w:numId w:val="1"/>
        </w:numPr>
        <w:spacing w:after="80"/>
      </w:pPr>
      <w:r>
        <w:rPr>
          <w:rFonts w:ascii="Calibri" w:cs="Calibri" w:eastAsia="Calibri" w:hAnsi="Calibri"/>
          <w:b/>
          <w:bCs/>
          <w:sz w:val="22"/>
          <w:szCs w:val="22"/>
        </w:rPr>
        <w:t xml:space="preserve">Step 5</w:t>
      </w:r>
      <w:r>
        <w:rPr>
          <w:rFonts w:ascii="Calibri" w:cs="Calibri" w:eastAsia="Calibri" w:hAnsi="Calibri"/>
          <w:sz w:val="22"/>
          <w:szCs w:val="22"/>
        </w:rPr>
        <w:t xml:space="preserve">: Compute totals, stage summaries, finance allocation, and reconciliation.</w:t>
      </w:r>
    </w:p>
    <w:p>
      <w:pPr>
        <w:spacing w:after="120"/>
      </w:pPr>
      <w:r>
        <w:rPr>
          <w:rFonts w:ascii="Calibri" w:cs="Calibri" w:eastAsia="Calibri" w:hAnsi="Calibri"/>
          <w:i/>
          <w:iCs/>
          <w:color w:val="4A5568"/>
          <w:sz w:val="22"/>
          <w:szCs w:val="22"/>
        </w:rPr>
        <w:t xml:space="preserve">Key invariant: Total allocation = Σ(r.final for all rows). This equals the Total AOP budget within whole-program granularity. The solve function is pure — same inputs always produce the same output.</w:t>
      </w:r>
    </w:p>
    <w:p>
      <w:pPr>
        <w:pStyle w:val="Heading2"/>
      </w:pPr>
      <w:r>
        <w:rPr>
          <w:rFonts w:ascii="Calibri" w:cs="Calibri" w:eastAsia="Calibri" w:hAnsi="Calibri"/>
          <w:b/>
          <w:bCs/>
          <w:color w:val="00126E"/>
        </w:rPr>
        <w:t xml:space="preserve">8. Session Migration</w:t>
      </w:r>
    </w:p>
    <w:p>
      <w:pPr>
        <w:spacing w:after="120"/>
      </w:pPr>
      <w:r>
        <w:rPr>
          <w:rFonts w:ascii="Calibri" w:cs="Calibri" w:eastAsia="Calibri" w:hAnsi="Calibri"/>
          <w:sz w:val="22"/>
          <w:szCs w:val="22"/>
        </w:rPr>
        <w:t xml:space="preserve">Recovered sessions from IndexedDB are migrated automatically on load:</w:t>
      </w:r>
    </w:p>
    <w:p>
      <w:pPr>
        <w:pStyle w:val="ListParagraph"/>
        <w:numPr>
          <w:ilvl w:val="0"/>
          <w:numId w:val="1"/>
        </w:numPr>
        <w:spacing w:after="80"/>
      </w:pPr>
      <w:r>
        <w:rPr>
          <w:rFonts w:ascii="Calibri" w:cs="Calibri" w:eastAsia="Calibri" w:hAnsi="Calibri"/>
          <w:b/>
          <w:bCs/>
          <w:sz w:val="22"/>
          <w:szCs w:val="22"/>
        </w:rPr>
        <w:t xml:space="preserve">Carry format</w:t>
      </w:r>
      <w:r>
        <w:rPr>
          <w:rFonts w:ascii="Calibri" w:cs="Calibri" w:eastAsia="Calibri" w:hAnsi="Calibri"/>
          <w:sz w:val="22"/>
          <w:szCs w:val="22"/>
        </w:rPr>
        <w:t xml:space="preserve">: If </w:t>
      </w:r>
      <w:r>
        <w:rPr>
          <w:rFonts w:ascii="Calibri" w:cs="Calibri" w:eastAsia="Calibri" w:hAnsi="Calibri"/>
          <w:b/>
          <w:bCs/>
          <w:sz w:val="22"/>
          <w:szCs w:val="22"/>
        </w:rPr>
        <w:t xml:space="preserve">settings.carry</w:t>
      </w:r>
      <w:r>
        <w:rPr>
          <w:rFonts w:ascii="Calibri" w:cs="Calibri" w:eastAsia="Calibri" w:hAnsi="Calibri"/>
          <w:sz w:val="22"/>
          <w:szCs w:val="22"/>
        </w:rPr>
        <w:t xml:space="preserve"> is a number (old ROI threshold), convert to </w:t>
      </w:r>
      <w:r>
        <w:rPr>
          <w:rFonts w:ascii="Calibri" w:cs="Calibri" w:eastAsia="Calibri" w:hAnsi="Calibri"/>
          <w:b/>
          <w:bCs/>
          <w:sz w:val="22"/>
          <w:szCs w:val="22"/>
        </w:rPr>
        <w:t xml:space="preserve">{basis:"bucket", pct:100}</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b/>
          <w:bCs/>
          <w:sz w:val="22"/>
          <w:szCs w:val="22"/>
        </w:rPr>
        <w:t xml:space="preserve">ExCo LFR overrides</w:t>
      </w:r>
      <w:r>
        <w:rPr>
          <w:rFonts w:ascii="Calibri" w:cs="Calibri" w:eastAsia="Calibri" w:hAnsi="Calibri"/>
          <w:sz w:val="22"/>
          <w:szCs w:val="22"/>
        </w:rPr>
        <w:t xml:space="preserve">: If any override has </w:t>
      </w:r>
      <w:r>
        <w:rPr>
          <w:rFonts w:ascii="Calibri" w:cs="Calibri" w:eastAsia="Calibri" w:hAnsi="Calibri"/>
          <w:b/>
          <w:bCs/>
          <w:sz w:val="22"/>
          <w:szCs w:val="22"/>
        </w:rPr>
        <w:t xml:space="preserve">note</w:t>
      </w:r>
      <w:r>
        <w:rPr>
          <w:rFonts w:ascii="Calibri" w:cs="Calibri" w:eastAsia="Calibri" w:hAnsi="Calibri"/>
          <w:sz w:val="22"/>
          <w:szCs w:val="22"/>
        </w:rPr>
        <w:t xml:space="preserve"> starting with "ExCo LFR opt-out", it is removed. These are stale permanent exclusions from a prior build. The current engine uses ranking demotion (</w:t>
      </w:r>
      <w:r>
        <w:rPr>
          <w:rFonts w:ascii="Calibri" w:cs="Calibri" w:eastAsia="Calibri" w:hAnsi="Calibri"/>
          <w:b/>
          <w:bCs/>
          <w:sz w:val="22"/>
          <w:szCs w:val="22"/>
        </w:rPr>
        <w:t xml:space="preserve">lfrVerified=false</w:t>
      </w:r>
      <w:r>
        <w:rPr>
          <w:rFonts w:ascii="Calibri" w:cs="Calibri" w:eastAsia="Calibri" w:hAnsi="Calibri"/>
          <w:sz w:val="22"/>
          <w:szCs w:val="22"/>
        </w:rPr>
        <w:t xml:space="preserve">) instead of overrides, so the programs are fundable at higher slider positions.</w:t>
      </w:r>
    </w:p>
    <w:p>
      <w:pPr>
        <w:pStyle w:val="ListParagraph"/>
        <w:numPr>
          <w:ilvl w:val="0"/>
          <w:numId w:val="1"/>
        </w:numPr>
        <w:spacing w:after="80"/>
      </w:pPr>
      <w:r>
        <w:rPr>
          <w:rFonts w:ascii="Calibri" w:cs="Calibri" w:eastAsia="Calibri" w:hAnsi="Calibri"/>
          <w:b/>
          <w:bCs/>
          <w:sz w:val="22"/>
          <w:szCs w:val="22"/>
        </w:rPr>
        <w:t xml:space="preserve">Merit weights</w:t>
      </w:r>
      <w:r>
        <w:rPr>
          <w:rFonts w:ascii="Calibri" w:cs="Calibri" w:eastAsia="Calibri" w:hAnsi="Calibri"/>
          <w:sz w:val="22"/>
          <w:szCs w:val="22"/>
        </w:rPr>
        <w:t xml:space="preserve">: 4-element arrays migrated to 5-element [40,25,15,10,10].</w:t>
      </w:r>
    </w:p>
    <w:p>
      <w:pPr>
        <w:spacing w:after="120"/>
      </w:pPr>
      <w:r>
        <w:rPr>
          <w:rFonts w:ascii="Calibri" w:cs="Calibri" w:eastAsia="Calibri" w:hAnsi="Calibri"/>
          <w:i/>
          <w:iCs/>
          <w:color w:val="4A5568"/>
          <w:sz w:val="22"/>
          <w:szCs w:val="22"/>
        </w:rPr>
        <w:t xml:space="preserve">Migration runs once on IDB recovery and shows a toast notification with the count of removed overrides.</w:t>
      </w:r>
    </w:p>
    <w:p>
      <w:pPr>
        <w:pStyle w:val="Heading2"/>
      </w:pPr>
      <w:r>
        <w:rPr>
          <w:rFonts w:ascii="Calibri" w:cs="Calibri" w:eastAsia="Calibri" w:hAnsi="Calibri"/>
          <w:b/>
          <w:bCs/>
          <w:color w:val="00126E"/>
        </w:rPr>
        <w:t xml:space="preserve">9. Data Refresh Contract</w:t>
      </w:r>
    </w:p>
    <w:p>
      <w:pPr>
        <w:pStyle w:val="ListParagraph"/>
        <w:numPr>
          <w:ilvl w:val="0"/>
          <w:numId w:val="1"/>
        </w:numPr>
        <w:spacing w:after="80"/>
      </w:pPr>
      <w:r>
        <w:rPr>
          <w:rFonts w:ascii="Calibri" w:cs="Calibri" w:eastAsia="Calibri" w:hAnsi="Calibri"/>
          <w:sz w:val="22"/>
          <w:szCs w:val="22"/>
        </w:rPr>
        <w:t xml:space="preserve">All numeric references in this PRD (demand totals, funded amounts, program counts, lever percentages) are derived from the source data at solve time.</w:t>
      </w:r>
    </w:p>
    <w:p>
      <w:pPr>
        <w:pStyle w:val="ListParagraph"/>
        <w:numPr>
          <w:ilvl w:val="0"/>
          <w:numId w:val="1"/>
        </w:numPr>
        <w:spacing w:after="80"/>
      </w:pPr>
      <w:r>
        <w:rPr>
          <w:rFonts w:ascii="Calibri" w:cs="Calibri" w:eastAsia="Calibri" w:hAnsi="Calibri"/>
          <w:sz w:val="22"/>
          <w:szCs w:val="22"/>
        </w:rPr>
        <w:t xml:space="preserve">A data refresh triggers re-enrichment and re-solve. Changed records are flagged for review. Overrides on changed records transition to "needs-review" state.</w:t>
      </w:r>
    </w:p>
    <w:p>
      <w:pPr>
        <w:pStyle w:val="ListParagraph"/>
        <w:numPr>
          <w:ilvl w:val="0"/>
          <w:numId w:val="1"/>
        </w:numPr>
        <w:spacing w:after="80"/>
      </w:pPr>
      <w:r>
        <w:rPr>
          <w:rFonts w:ascii="Calibri" w:cs="Calibri" w:eastAsia="Calibri" w:hAnsi="Calibri"/>
          <w:sz w:val="22"/>
          <w:szCs w:val="22"/>
        </w:rPr>
        <w:t xml:space="preserve">LFR ExCo decisions are matched by program ID. New programs not in the decision set follow standard LFR evidence rules.</w:t>
      </w:r>
    </w:p>
    <w:p>
      <w:pPr>
        <w:pStyle w:val="ListParagraph"/>
        <w:numPr>
          <w:ilvl w:val="0"/>
          <w:numId w:val="1"/>
        </w:numPr>
        <w:spacing w:after="80"/>
      </w:pPr>
      <w:r>
        <w:rPr>
          <w:rFonts w:ascii="Calibri" w:cs="Calibri" w:eastAsia="Calibri" w:hAnsi="Calibri"/>
          <w:sz w:val="22"/>
          <w:szCs w:val="22"/>
        </w:rPr>
        <w:t xml:space="preserve">The auto-verified LFR percentage and auto-carry baseline amount are recomputed from the refreshed data.</w:t>
      </w:r>
    </w:p>
    <w:p>
      <w:pPr>
        <w:pStyle w:val="Heading2"/>
      </w:pPr>
      <w:r>
        <w:rPr>
          <w:rFonts w:ascii="Calibri" w:cs="Calibri" w:eastAsia="Calibri" w:hAnsi="Calibri"/>
          <w:b/>
          <w:bCs/>
          <w:color w:val="00126E"/>
        </w:rPr>
        <w:t xml:space="preserve">10. Version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500"/>
      </w:tblGrid>
      <w:tr>
        <w:tc>
          <w:tcPr>
            <w:tcW w:type="dxa" w:w="1500"/>
            <w:shd w:fill="00126E" w:val="clear"/>
          </w:tcPr>
          <w:p>
            <w:r>
              <w:rPr>
                <w:rFonts w:ascii="Calibri" w:cs="Calibri" w:eastAsia="Calibri" w:hAnsi="Calibri"/>
                <w:b/>
                <w:bCs/>
                <w:color w:val="FFFFFF"/>
                <w:sz w:val="20"/>
                <w:szCs w:val="20"/>
              </w:rPr>
              <w:t xml:space="preserve">Version</w:t>
            </w:r>
          </w:p>
        </w:tc>
        <w:tc>
          <w:tcPr>
            <w:tcW w:type="dxa" w:w="8500"/>
            <w:shd w:fill="00126E" w:val="clear"/>
          </w:tcPr>
          <w:p>
            <w:r>
              <w:rPr>
                <w:rFonts w:ascii="Calibri" w:cs="Calibri" w:eastAsia="Calibri" w:hAnsi="Calibri"/>
                <w:b/>
                <w:bCs/>
                <w:color w:val="FFFFFF"/>
                <w:sz w:val="20"/>
                <w:szCs w:val="20"/>
              </w:rPr>
              <w:t xml:space="preserve">Changes</w:t>
            </w:r>
          </w:p>
        </w:tc>
      </w:tr>
      <w:tr>
        <w:tc>
          <w:tcPr>
            <w:tcW w:type="dxa" w:w="1500"/>
          </w:tcPr>
          <w:p>
            <w:r>
              <w:rPr>
                <w:rFonts w:ascii="Calibri" w:cs="Calibri" w:eastAsia="Calibri" w:hAnsi="Calibri"/>
                <w:b/>
                <w:bCs/>
                <w:color w:val="000000"/>
                <w:sz w:val="20"/>
                <w:szCs w:val="20"/>
              </w:rPr>
              <w:t xml:space="preserve">5.7.1</w:t>
            </w:r>
          </w:p>
        </w:tc>
        <w:tc>
          <w:tcPr>
            <w:tcW w:type="dxa" w:w="8500"/>
          </w:tcPr>
          <w:p>
            <w:r>
              <w:rPr>
                <w:rFonts w:ascii="Calibri" w:cs="Calibri" w:eastAsia="Calibri" w:hAnsi="Calibri"/>
                <w:b w:val="false"/>
                <w:bCs w:val="false"/>
                <w:color w:val="000000"/>
                <w:sz w:val="20"/>
                <w:szCs w:val="20"/>
              </w:rPr>
              <w:t xml:space="preserve">Carry Over ROI lever (3-mode slider). ExCo LFR opt-out as ranking demotion. L4 as sole residual absorber (no downstream proportional scaling). Excluded programs skip budget in solve loop. Session migration removes stale ExCo overrides. Header shows dynamic build time.</w:t>
            </w:r>
          </w:p>
        </w:tc>
      </w:tr>
      <w:tr>
        <w:tc>
          <w:tcPr>
            <w:tcW w:type="dxa" w:w="1500"/>
          </w:tcPr>
          <w:p>
            <w:r>
              <w:rPr>
                <w:rFonts w:ascii="Calibri" w:cs="Calibri" w:eastAsia="Calibri" w:hAnsi="Calibri"/>
                <w:b w:val="false"/>
                <w:bCs w:val="false"/>
                <w:color w:val="000000"/>
                <w:sz w:val="20"/>
                <w:szCs w:val="20"/>
              </w:rPr>
              <w:t xml:space="preserve">5.7.0</w:t>
            </w:r>
          </w:p>
        </w:tc>
        <w:tc>
          <w:tcPr>
            <w:tcW w:type="dxa" w:w="8500"/>
          </w:tcPr>
          <w:p>
            <w:r>
              <w:rPr>
                <w:rFonts w:ascii="Calibri" w:cs="Calibri" w:eastAsia="Calibri" w:hAnsi="Calibri"/>
                <w:b w:val="false"/>
                <w:bCs w:val="false"/>
                <w:color w:val="000000"/>
                <w:sz w:val="20"/>
                <w:szCs w:val="20"/>
              </w:rPr>
              <w:t xml:space="preserve">Finance-led build. Consolidated cost allocation table. IT Simplification lever. Decomm pre-prioritization. Decimal consistency.</w:t>
            </w:r>
          </w:p>
        </w:tc>
      </w:tr>
      <w:tr>
        <w:tc>
          <w:tcPr>
            <w:tcW w:type="dxa" w:w="1500"/>
          </w:tcPr>
          <w:p>
            <w:r>
              <w:rPr>
                <w:rFonts w:ascii="Calibri" w:cs="Calibri" w:eastAsia="Calibri" w:hAnsi="Calibri"/>
                <w:b w:val="false"/>
                <w:bCs w:val="false"/>
                <w:color w:val="000000"/>
                <w:sz w:val="20"/>
                <w:szCs w:val="20"/>
              </w:rPr>
              <w:t xml:space="preserve">5.6.x</w:t>
            </w:r>
          </w:p>
        </w:tc>
        <w:tc>
          <w:tcPr>
            <w:tcW w:type="dxa" w:w="8500"/>
          </w:tcPr>
          <w:p>
            <w:r>
              <w:rPr>
                <w:rFonts w:ascii="Calibri" w:cs="Calibri" w:eastAsia="Calibri" w:hAnsi="Calibri"/>
                <w:b w:val="false"/>
                <w:bCs w:val="false"/>
                <w:color w:val="000000"/>
                <w:sz w:val="20"/>
                <w:szCs w:val="20"/>
              </w:rPr>
              <w:t xml:space="preserve">IT Simplification lever, consistent funding status, Platform header.</w:t>
            </w:r>
          </w:p>
        </w:tc>
      </w:tr>
      <w:tr>
        <w:tc>
          <w:tcPr>
            <w:tcW w:type="dxa" w:w="1500"/>
          </w:tcPr>
          <w:p>
            <w:r>
              <w:rPr>
                <w:rFonts w:ascii="Calibri" w:cs="Calibri" w:eastAsia="Calibri" w:hAnsi="Calibri"/>
                <w:b w:val="false"/>
                <w:bCs w:val="false"/>
                <w:color w:val="000000"/>
                <w:sz w:val="20"/>
                <w:szCs w:val="20"/>
              </w:rPr>
              <w:t xml:space="preserve">5.4–5.5</w:t>
            </w:r>
          </w:p>
        </w:tc>
        <w:tc>
          <w:tcPr>
            <w:tcW w:type="dxa" w:w="8500"/>
          </w:tcPr>
          <w:p>
            <w:r>
              <w:rPr>
                <w:rFonts w:ascii="Calibri" w:cs="Calibri" w:eastAsia="Calibri" w:hAnsi="Calibri"/>
                <w:b w:val="false"/>
                <w:bCs w:val="false"/>
                <w:color w:val="000000"/>
                <w:sz w:val="20"/>
                <w:szCs w:val="20"/>
              </w:rPr>
              <w:t xml:space="preserve">Benefits reclassification, audit trail, data refresh, PMI/allocation fixes.</w:t>
            </w:r>
          </w:p>
        </w:tc>
      </w:tr>
    </w:tbl>
    <w:p>
      <w:pPr>
        <w:spacing w:after="120"/>
      </w:pPr>
      <w:r>
        <w:rPr>
          <w:rFonts w:ascii="Calibri" w:cs="Calibri" w:eastAsia="Calibri" w:hAnsi="Calibri"/>
          <w:i/>
          <w:iCs/>
          <w:color w:val="4A5568"/>
          <w:sz w:val="22"/>
          <w:szCs w:val="22"/>
        </w:rPr>
        <w:t xml:space="preserve">End of document. All logic references correspond to functions in the AOP engine module. No fixed numeric values are embedded — all figures derive from the source data and settings at solve time.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lvl w:ilvl="1" w: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2026-10-01T09:34:44.083Z</dcterms:created>
  <dcterms:modified xsi:type="dcterms:W3CDTF">2026-10-01T09:34:44.086Z</dcterms:modified>
</cp:coreProperties>
</file>

<file path=docProps/custom.xml><?xml version="1.0" encoding="utf-8"?>
<Properties xmlns="http://schemas.openxmlformats.org/officeDocument/2006/custom-properties" xmlns:vt="http://schemas.openxmlformats.org/officeDocument/2006/docPropsVTypes"/>
</file>