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AOP 2027 Detailed Prioritisation Approach</w:t>
      </w:r>
    </w:p>
    <w:p>
      <w:pPr>
        <w:pStyle w:val="Subtitle"/>
      </w:pPr>
      <w:r>
        <w:t>Decision paper for CIO, IT Leadership Team, Finance, BU and EW leadership</w:t>
      </w:r>
    </w:p>
    <w:p>
      <w:pPr>
        <w:pStyle w:val="BodyText"/>
        <w:spacing w:after="100"/>
      </w:pPr>
      <w:r>
        <w:rPr>
          <w:b/>
        </w:rPr>
        <w:t xml:space="preserve">Decision required: </w:t>
      </w:r>
      <w:r>
        <w:t>confirm the Total AOP envelope and the visible reservation settings before BU and EW conferences. Use the Protect commitments scenario as the starting position, subject to leadership confirmation.</w:t>
      </w:r>
    </w:p>
    <w:p>
      <w:pPr>
        <w:pStyle w:val="Heading2"/>
      </w:pPr>
      <w:r>
        <w:t>Executive overview</w:t>
      </w:r>
    </w:p>
    <w:p>
      <w:pPr>
        <w:pStyle w:val="BodyText"/>
        <w:spacing w:after="100"/>
      </w:pPr>
      <w:r>
        <w:rPr>
          <w:b/>
        </w:rPr>
        <w:t xml:space="preserve">Where we are. </w:t>
      </w:r>
      <w:r>
        <w:t>The authoritative demand file contains 279.6 M€ across 509 demand rows. Enterprise-wide demand is 111.7 M€ and BU-led demand is 167.9 M€. The source does not provide an approved Total AOP envelope.</w:t>
      </w:r>
    </w:p>
    <w:p>
      <w:pPr>
        <w:pStyle w:val="BodyText"/>
        <w:spacing w:after="100"/>
      </w:pPr>
      <w:r>
        <w:rPr>
          <w:b/>
        </w:rPr>
        <w:t xml:space="preserve">Why this is needed. </w:t>
      </w:r>
      <w:r>
        <w:t>The portfolio needs one controlled method to protect legal and compliance obligations, reserve Sustain Engineering and Hygiene demand, test Carryover evidence, and rank the remaining discretionary pool. Without one sequence, conference choices cannot be reconciled to one budget position.</w:t>
      </w:r>
    </w:p>
    <w:p>
      <w:pPr>
        <w:pStyle w:val="BodyText"/>
        <w:spacing w:after="100"/>
      </w:pPr>
      <w:r>
        <w:rPr>
          <w:b/>
        </w:rPr>
        <w:t xml:space="preserve">What we are doing. </w:t>
      </w:r>
      <w:r>
        <w:t>The model uses five exclusive decision stages: Legal and Compliance Must Do, Sustain Engineering, Hygiene, Carryover, and Value Based Portfolio. Each demand row receives one primary stage and one allocation outcome.</w:t>
      </w:r>
    </w:p>
    <w:p>
      <w:pPr>
        <w:pStyle w:val="BodyText"/>
        <w:spacing w:after="100"/>
      </w:pPr>
      <w:r>
        <w:rPr>
          <w:b/>
        </w:rPr>
        <w:t xml:space="preserve">How we are approaching it. </w:t>
      </w:r>
      <w:r>
        <w:t>Reserve the first four stages in order, allocate the remaining AOP capacity to the Value Based Portfolio, rank whole initiatives using merit, and show funded, unfunded and evidence-missing views. Finalise freezes the selected scenario. Refresh creates a new version from the authoritative workbook.</w:t>
      </w:r>
    </w:p>
    <w:p>
      <w:pPr>
        <w:pStyle w:val="Heading2"/>
      </w:pPr>
      <w:r>
        <w:t>Confirmed facts</w:t>
      </w:r>
    </w:p>
    <w:tbl>
      <w:tblPr>
        <w:tblStyle w:val="TableGrid"/>
        <w:tblW w:type="dxa" w:w="9639"/>
        <w:tblLayout w:type="fixed"/>
        <w:tblLook w:firstColumn="1" w:firstRow="1" w:lastColumn="0" w:lastRow="0" w:noHBand="0" w:noVBand="1" w:val="04A0"/>
      </w:tblPr>
      <w:tblGrid>
        <w:gridCol w:w="1984"/>
        <w:gridCol w:w="3061"/>
        <w:gridCol w:w="4592"/>
      </w:tblGrid>
      <w:tr>
        <w:trPr>
          <w:tblHeader w:val="true"/>
        </w:trPr>
        <w:tc>
          <w:tcPr>
            <w:tcW w:type="dxa" w:w="1984"/>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Measure</w:t>
            </w:r>
          </w:p>
        </w:tc>
        <w:tc>
          <w:tcPr>
            <w:tcW w:type="dxa" w:w="3061"/>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Confirmed source position</w:t>
            </w:r>
          </w:p>
        </w:tc>
        <w:tc>
          <w:tcPr>
            <w:tcW w:type="dxa" w:w="4592"/>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Management relevance</w:t>
            </w:r>
          </w:p>
        </w:tc>
      </w:tr>
      <w:tr>
        <w:tc>
          <w:tcPr>
            <w:tcW w:type="dxa" w:w="1984"/>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Total demand</w:t>
            </w:r>
          </w:p>
        </w:tc>
        <w:tc>
          <w:tcPr>
            <w:tcW w:type="dxa" w:w="3061"/>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279.6 M€ across 509 rows</w:t>
            </w:r>
          </w:p>
        </w:tc>
        <w:tc>
          <w:tcPr>
            <w:tcW w:type="dxa" w:w="4592"/>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Provides the complete demand baseline.</w:t>
            </w:r>
          </w:p>
        </w:tc>
      </w:tr>
      <w:tr>
        <w:tc>
          <w:tcPr>
            <w:tcW w:type="dxa" w:w="1984"/>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Enterprise-wide</w:t>
            </w:r>
          </w:p>
        </w:tc>
        <w:tc>
          <w:tcPr>
            <w:tcW w:type="dxa" w:w="3061"/>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111.7 M€</w:t>
            </w:r>
          </w:p>
        </w:tc>
        <w:tc>
          <w:tcPr>
            <w:tcW w:type="dxa" w:w="4592"/>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Reporting view, not a separate funding stage.</w:t>
            </w:r>
          </w:p>
        </w:tc>
      </w:tr>
      <w:tr>
        <w:tc>
          <w:tcPr>
            <w:tcW w:type="dxa" w:w="1984"/>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BU-led</w:t>
            </w:r>
          </w:p>
        </w:tc>
        <w:tc>
          <w:tcPr>
            <w:tcW w:type="dxa" w:w="3061"/>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167.9 M€</w:t>
            </w:r>
          </w:p>
        </w:tc>
        <w:tc>
          <w:tcPr>
            <w:tcW w:type="dxa" w:w="4592"/>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Reporting view, with conference decisions recorded on top.</w:t>
            </w:r>
          </w:p>
        </w:tc>
      </w:tr>
      <w:tr>
        <w:tc>
          <w:tcPr>
            <w:tcW w:type="dxa" w:w="1984"/>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Approved AOP envelope</w:t>
            </w:r>
          </w:p>
        </w:tc>
        <w:tc>
          <w:tcPr>
            <w:tcW w:type="dxa" w:w="3061"/>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Not provided in the source</w:t>
            </w:r>
          </w:p>
        </w:tc>
        <w:tc>
          <w:tcPr>
            <w:tcW w:type="dxa" w:w="4592"/>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Leadership and Finance must confirm the planning envelope.</w:t>
            </w:r>
          </w:p>
        </w:tc>
      </w:tr>
    </w:tbl>
    <w:p>
      <w:pPr>
        <w:spacing w:after="40"/>
      </w:pPr>
    </w:p>
    <w:p>
      <w:pPr>
        <w:pStyle w:val="Heading2"/>
      </w:pPr>
      <w:r>
        <w:t>Recommendation</w:t>
      </w:r>
    </w:p>
    <w:p>
      <w:pPr>
        <w:pStyle w:val="BodyText"/>
        <w:spacing w:after="100"/>
      </w:pPr>
      <w:r>
        <w:t>Adopt the five-stage model as the single conference baseline. Confirm the visible funding levers and planning envelope before any portfolio inclusion or exclusion decisions are finalised.</w:t>
      </w:r>
    </w:p>
    <w:p>
      <w:pPr>
        <w:pStyle w:val="BodyText"/>
        <w:spacing w:after="100"/>
      </w:pPr>
      <w:r>
        <w:t>Rounding convention: every displayed number is rounded upward to the next 0.1. Calculations retain source precision. Independently rounded displayed subtotals may not add exactly to a displayed total.</w:t>
      </w:r>
    </w:p>
    <w:p>
      <w:r>
        <w:br w:type="page"/>
      </w:r>
    </w:p>
    <w:p>
      <w:pPr>
        <w:pStyle w:val="Heading1"/>
      </w:pPr>
      <w:r>
        <w:t>Demand baseline and decision definitions</w:t>
      </w:r>
    </w:p>
    <w:p>
      <w:pPr>
        <w:pStyle w:val="BodyText"/>
        <w:spacing w:after="100"/>
      </w:pPr>
      <w:r>
        <w:t>The source file records requested 2027 investment. It is the demand picture used for prioritisation and does not represent an approved AOP budget.</w:t>
      </w:r>
    </w:p>
    <w:p>
      <w:pPr>
        <w:pStyle w:val="Heading2"/>
      </w:pPr>
      <w:r>
        <w:t>Demand baseline</w:t>
      </w:r>
    </w:p>
    <w:tbl>
      <w:tblPr>
        <w:tblStyle w:val="TableGrid"/>
        <w:tblW w:type="dxa" w:w="9639"/>
        <w:tblLayout w:type="fixed"/>
        <w:tblLook w:firstColumn="1" w:firstRow="1" w:lastColumn="0" w:lastRow="0" w:noHBand="0" w:noVBand="1" w:val="04A0"/>
      </w:tblPr>
      <w:tblGrid>
        <w:gridCol w:w="2154"/>
        <w:gridCol w:w="4649"/>
        <w:gridCol w:w="2835"/>
      </w:tblGrid>
      <w:tr>
        <w:trPr>
          <w:tblHeader w:val="true"/>
        </w:trPr>
        <w:tc>
          <w:tcPr>
            <w:tcW w:type="dxa" w:w="2154"/>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Term</w:t>
            </w:r>
          </w:p>
        </w:tc>
        <w:tc>
          <w:tcPr>
            <w:tcW w:type="dxa" w:w="4649"/>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Plain-language meaning</w:t>
            </w:r>
          </w:p>
        </w:tc>
        <w:tc>
          <w:tcPr>
            <w:tcW w:type="dxa" w:w="2835"/>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Confirmed source position</w:t>
            </w:r>
          </w:p>
        </w:tc>
      </w:tr>
      <w:tr>
        <w:tc>
          <w:tcPr>
            <w:tcW w:type="dxa" w:w="2154"/>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Demand baseline</w:t>
            </w:r>
          </w:p>
        </w:tc>
        <w:tc>
          <w:tcPr>
            <w:tcW w:type="dxa" w:w="4649"/>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Every investment request submitted for 2027. It shows what teams ask for before a budget decision is made.</w:t>
            </w:r>
          </w:p>
        </w:tc>
        <w:tc>
          <w:tcPr>
            <w:tcW w:type="dxa" w:w="2835"/>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279.6 M€ across 509 rows.</w:t>
            </w:r>
          </w:p>
        </w:tc>
      </w:tr>
      <w:tr>
        <w:tc>
          <w:tcPr>
            <w:tcW w:type="dxa" w:w="2154"/>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Enterprise-wide demand</w:t>
            </w:r>
          </w:p>
        </w:tc>
        <w:tc>
          <w:tcPr>
            <w:tcW w:type="dxa" w:w="4649"/>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Requests led centrally for the company. It is a reporting view, not a separate budget.</w:t>
            </w:r>
          </w:p>
        </w:tc>
        <w:tc>
          <w:tcPr>
            <w:tcW w:type="dxa" w:w="2835"/>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111.7 M€</w:t>
            </w:r>
          </w:p>
        </w:tc>
      </w:tr>
      <w:tr>
        <w:tc>
          <w:tcPr>
            <w:tcW w:type="dxa" w:w="2154"/>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BU-led demand</w:t>
            </w:r>
          </w:p>
        </w:tc>
        <w:tc>
          <w:tcPr>
            <w:tcW w:type="dxa" w:w="4649"/>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Requests led by a business unit. It is a reporting view, not a separate budget.</w:t>
            </w:r>
          </w:p>
        </w:tc>
        <w:tc>
          <w:tcPr>
            <w:tcW w:type="dxa" w:w="2835"/>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167.9 M€</w:t>
            </w:r>
          </w:p>
        </w:tc>
      </w:tr>
      <w:tr>
        <w:tc>
          <w:tcPr>
            <w:tcW w:type="dxa" w:w="2154"/>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Total AOP envelope</w:t>
            </w:r>
          </w:p>
        </w:tc>
        <w:tc>
          <w:tcPr>
            <w:tcW w:type="dxa" w:w="4649"/>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The amount leadership decides can be funded. The demand file does not state it.</w:t>
            </w:r>
          </w:p>
        </w:tc>
        <w:tc>
          <w:tcPr>
            <w:tcW w:type="dxa" w:w="2835"/>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To be confirmed by Finance and CIO / ITLT.</w:t>
            </w:r>
          </w:p>
        </w:tc>
      </w:tr>
    </w:tbl>
    <w:p>
      <w:pPr>
        <w:spacing w:after="40"/>
      </w:pPr>
    </w:p>
    <w:p>
      <w:pPr>
        <w:pStyle w:val="Heading2"/>
      </w:pPr>
      <w:r>
        <w:t>Decision band coverage</w:t>
      </w:r>
    </w:p>
    <w:tbl>
      <w:tblPr>
        <w:tblStyle w:val="TableGrid"/>
        <w:tblW w:type="dxa" w:w="9639"/>
        <w:tblLayout w:type="fixed"/>
        <w:tblLook w:firstColumn="1" w:firstRow="1" w:lastColumn="0" w:lastRow="0" w:noHBand="0" w:noVBand="1" w:val="04A0"/>
      </w:tblPr>
      <w:tblGrid>
        <w:gridCol w:w="2154"/>
        <w:gridCol w:w="4649"/>
        <w:gridCol w:w="2835"/>
      </w:tblGrid>
      <w:tr>
        <w:trPr>
          <w:tblHeader w:val="true"/>
        </w:trPr>
        <w:tc>
          <w:tcPr>
            <w:tcW w:type="dxa" w:w="2154"/>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Term</w:t>
            </w:r>
          </w:p>
        </w:tc>
        <w:tc>
          <w:tcPr>
            <w:tcW w:type="dxa" w:w="4649"/>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Plain-language meaning</w:t>
            </w:r>
          </w:p>
        </w:tc>
        <w:tc>
          <w:tcPr>
            <w:tcW w:type="dxa" w:w="2835"/>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Rows / demand</w:t>
            </w:r>
          </w:p>
        </w:tc>
      </w:tr>
      <w:tr>
        <w:tc>
          <w:tcPr>
            <w:tcW w:type="dxa" w:w="2154"/>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Healthy</w:t>
            </w:r>
          </w:p>
        </w:tc>
        <w:tc>
          <w:tcPr>
            <w:tcW w:type="dxa" w:w="4649"/>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The request has no recorded condition that prevents it from competing for funding.</w:t>
            </w:r>
          </w:p>
        </w:tc>
        <w:tc>
          <w:tcPr>
            <w:tcW w:type="dxa" w:w="2835"/>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215 / 124.5 M€</w:t>
            </w:r>
          </w:p>
        </w:tc>
      </w:tr>
      <w:tr>
        <w:tc>
          <w:tcPr>
            <w:tcW w:type="dxa" w:w="2154"/>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Contain</w:t>
            </w:r>
          </w:p>
        </w:tc>
        <w:tc>
          <w:tcPr>
            <w:tcW w:type="dxa" w:w="4649"/>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The request can compete, but the recorded condition must be addressed in the funding rationale.</w:t>
            </w:r>
          </w:p>
        </w:tc>
        <w:tc>
          <w:tcPr>
            <w:tcW w:type="dxa" w:w="2835"/>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14 / 4.0 M€</w:t>
            </w:r>
          </w:p>
        </w:tc>
      </w:tr>
      <w:tr>
        <w:tc>
          <w:tcPr>
            <w:tcW w:type="dxa" w:w="2154"/>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Blank or unassessed</w:t>
            </w:r>
          </w:p>
        </w:tc>
        <w:tc>
          <w:tcPr>
            <w:tcW w:type="dxa" w:w="4649"/>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No decision band was recorded. The request remains visible and is not assumed to be Healthy.</w:t>
            </w:r>
          </w:p>
        </w:tc>
        <w:tc>
          <w:tcPr>
            <w:tcW w:type="dxa" w:w="2835"/>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280 / 151.2 M€</w:t>
            </w:r>
          </w:p>
        </w:tc>
      </w:tr>
    </w:tbl>
    <w:p>
      <w:pPr>
        <w:spacing w:after="40"/>
      </w:pPr>
    </w:p>
    <w:p>
      <w:pPr>
        <w:pStyle w:val="Heading2"/>
      </w:pPr>
      <w:r>
        <w:t>Overall AOP decision coverage</w:t>
      </w:r>
    </w:p>
    <w:tbl>
      <w:tblPr>
        <w:tblStyle w:val="TableGrid"/>
        <w:tblW w:type="dxa" w:w="9639"/>
        <w:tblLayout w:type="fixed"/>
        <w:tblLook w:firstColumn="1" w:firstRow="1" w:lastColumn="0" w:lastRow="0" w:noHBand="0" w:noVBand="1" w:val="04A0"/>
      </w:tblPr>
      <w:tblGrid>
        <w:gridCol w:w="2154"/>
        <w:gridCol w:w="4649"/>
        <w:gridCol w:w="2835"/>
      </w:tblGrid>
      <w:tr>
        <w:trPr>
          <w:tblHeader w:val="true"/>
        </w:trPr>
        <w:tc>
          <w:tcPr>
            <w:tcW w:type="dxa" w:w="2154"/>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Term</w:t>
            </w:r>
          </w:p>
        </w:tc>
        <w:tc>
          <w:tcPr>
            <w:tcW w:type="dxa" w:w="4649"/>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Plain-language meaning</w:t>
            </w:r>
          </w:p>
        </w:tc>
        <w:tc>
          <w:tcPr>
            <w:tcW w:type="dxa" w:w="2835"/>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Rows / demand</w:t>
            </w:r>
          </w:p>
        </w:tc>
      </w:tr>
      <w:tr>
        <w:tc>
          <w:tcPr>
            <w:tcW w:type="dxa" w:w="2154"/>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Healthy rank</w:t>
            </w:r>
          </w:p>
        </w:tc>
        <w:tc>
          <w:tcPr>
            <w:tcW w:type="dxa" w:w="4649"/>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A normal request that can be ranked against other eligible demand.</w:t>
            </w:r>
          </w:p>
        </w:tc>
        <w:tc>
          <w:tcPr>
            <w:tcW w:type="dxa" w:w="2835"/>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183 / 108.2 M€</w:t>
            </w:r>
          </w:p>
        </w:tc>
      </w:tr>
      <w:tr>
        <w:tc>
          <w:tcPr>
            <w:tcW w:type="dxa" w:w="2154"/>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Must Do P1</w:t>
            </w:r>
          </w:p>
        </w:tc>
        <w:tc>
          <w:tcPr>
            <w:tcW w:type="dxa" w:w="4649"/>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Immediate work that enters Legal and Compliance Must Do first.</w:t>
            </w:r>
          </w:p>
        </w:tc>
        <w:tc>
          <w:tcPr>
            <w:tcW w:type="dxa" w:w="2835"/>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30 / 15.5 M€</w:t>
            </w:r>
          </w:p>
        </w:tc>
      </w:tr>
      <w:tr>
        <w:tc>
          <w:tcPr>
            <w:tcW w:type="dxa" w:w="2154"/>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Must Do P2</w:t>
            </w:r>
          </w:p>
        </w:tc>
        <w:tc>
          <w:tcPr>
            <w:tcW w:type="dxa" w:w="4649"/>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Scheduled work that enters Legal and Compliance Must Do after P1.</w:t>
            </w:r>
          </w:p>
        </w:tc>
        <w:tc>
          <w:tcPr>
            <w:tcW w:type="dxa" w:w="2835"/>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3 / 1.1 M€</w:t>
            </w:r>
          </w:p>
        </w:tc>
      </w:tr>
      <w:tr>
        <w:tc>
          <w:tcPr>
            <w:tcW w:type="dxa" w:w="2154"/>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Contain</w:t>
            </w:r>
          </w:p>
        </w:tc>
        <w:tc>
          <w:tcPr>
            <w:tcW w:type="dxa" w:w="4649"/>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A request that can proceed only with the recorded condition reflected in the decision.</w:t>
            </w:r>
          </w:p>
        </w:tc>
        <w:tc>
          <w:tcPr>
            <w:tcW w:type="dxa" w:w="2835"/>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12 / 3.3 M€</w:t>
            </w:r>
          </w:p>
        </w:tc>
      </w:tr>
      <w:tr>
        <w:tc>
          <w:tcPr>
            <w:tcW w:type="dxa" w:w="2154"/>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Priority TBD or blank</w:t>
            </w:r>
          </w:p>
        </w:tc>
        <w:tc>
          <w:tcPr>
            <w:tcW w:type="dxa" w:w="4649"/>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The request needs a decision. It remains visible and receives no inferred favourable treatment.</w:t>
            </w:r>
          </w:p>
        </w:tc>
        <w:tc>
          <w:tcPr>
            <w:tcW w:type="dxa" w:w="2835"/>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281 / 151.7 M€</w:t>
            </w:r>
          </w:p>
        </w:tc>
      </w:tr>
    </w:tbl>
    <w:p>
      <w:pPr>
        <w:spacing w:after="40"/>
      </w:pPr>
    </w:p>
    <w:p>
      <w:pPr>
        <w:pStyle w:val="Heading2"/>
      </w:pPr>
      <w:r>
        <w:t>Management interpretation</w:t>
      </w:r>
    </w:p>
    <w:p>
      <w:pPr>
        <w:pStyle w:val="BodyText"/>
        <w:spacing w:after="100"/>
      </w:pPr>
      <w:r>
        <w:t>Decision evidence is incomplete for 280 rows. The model keeps these rows visible but does not convert missing evidence into a favourable decision. This makes the evidence gap explicit during leadership challenge.</w:t>
      </w:r>
    </w:p>
    <w:p>
      <w:r>
        <w:br w:type="page"/>
      </w:r>
    </w:p>
    <w:p>
      <w:pPr>
        <w:pStyle w:val="Heading1"/>
      </w:pPr>
      <w:r>
        <w:t>Funding order and bucket definitions</w:t>
      </w:r>
    </w:p>
    <w:p>
      <w:pPr>
        <w:pStyle w:val="BodyText"/>
        <w:spacing w:after="100"/>
      </w:pPr>
      <w:r>
        <w:t>The five buckets explain what each part of the demand is for. They apply in order, and each request is counted once in the first bucket that applies.</w:t>
      </w:r>
    </w:p>
    <w:tbl>
      <w:tblPr>
        <w:tblStyle w:val="TableGrid"/>
        <w:tblW w:type="dxa" w:w="8986"/>
        <w:tblLayout w:type="fixed"/>
        <w:tblLook w:firstColumn="1" w:firstRow="1" w:lastColumn="0" w:lastRow="0" w:noHBand="0" w:noVBand="1" w:val="04A0"/>
      </w:tblPr>
      <w:tblGrid>
        <w:gridCol w:w="680"/>
        <w:gridCol w:w="1530"/>
        <w:gridCol w:w="963"/>
        <w:gridCol w:w="3005"/>
        <w:gridCol w:w="2806"/>
      </w:tblGrid>
      <w:tr>
        <w:trPr>
          <w:tblHeader w:val="true"/>
        </w:trPr>
        <w:tc>
          <w:tcPr>
            <w:tcW w:type="dxa" w:w="680"/>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5"/>
              </w:rPr>
              <w:t>Order</w:t>
            </w:r>
          </w:p>
        </w:tc>
        <w:tc>
          <w:tcPr>
            <w:tcW w:type="dxa" w:w="1531"/>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5"/>
              </w:rPr>
              <w:t>Stage</w:t>
            </w:r>
          </w:p>
        </w:tc>
        <w:tc>
          <w:tcPr>
            <w:tcW w:type="dxa" w:w="964"/>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5"/>
              </w:rPr>
              <w:t>Demand</w:t>
            </w:r>
          </w:p>
        </w:tc>
        <w:tc>
          <w:tcPr>
            <w:tcW w:type="dxa" w:w="3005"/>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5"/>
              </w:rPr>
              <w:t>What the bucket means</w:t>
            </w:r>
          </w:p>
        </w:tc>
        <w:tc>
          <w:tcPr>
            <w:tcW w:type="dxa" w:w="2806"/>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5"/>
              </w:rPr>
              <w:t>Why it is considered at this point</w:t>
            </w:r>
          </w:p>
        </w:tc>
      </w:tr>
      <w:tr>
        <w:tc>
          <w:tcPr>
            <w:tcW w:type="dxa" w:w="680"/>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4"/>
              </w:rPr>
              <w:t>1</w:t>
            </w:r>
          </w:p>
        </w:tc>
        <w:tc>
          <w:tcPr>
            <w:tcW w:type="dxa" w:w="1530"/>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4"/>
              </w:rPr>
              <w:t>Legal and Compliance Must Do</w:t>
            </w:r>
          </w:p>
        </w:tc>
        <w:tc>
          <w:tcPr>
            <w:tcW w:type="dxa" w:w="963"/>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4"/>
              </w:rPr>
              <w:t>34.6 M€</w:t>
            </w:r>
          </w:p>
        </w:tc>
        <w:tc>
          <w:tcPr>
            <w:tcW w:type="dxa" w:w="3005"/>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4"/>
              </w:rPr>
              <w:t>Work required to meet a legal, fiscal, regulatory or compliance obligation in 2027.</w:t>
            </w:r>
          </w:p>
        </w:tc>
        <w:tc>
          <w:tcPr>
            <w:tcW w:type="dxa" w:w="2806"/>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4"/>
              </w:rPr>
              <w:t>It comes first because the company must meet external obligations before choosing discretionary investment.</w:t>
            </w:r>
          </w:p>
        </w:tc>
      </w:tr>
      <w:tr>
        <w:tc>
          <w:tcPr>
            <w:tcW w:type="dxa" w:w="680"/>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4"/>
              </w:rPr>
              <w:t>2</w:t>
            </w:r>
          </w:p>
        </w:tc>
        <w:tc>
          <w:tcPr>
            <w:tcW w:type="dxa" w:w="1530"/>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4"/>
              </w:rPr>
              <w:t>Sustain Engineering</w:t>
            </w:r>
          </w:p>
        </w:tc>
        <w:tc>
          <w:tcPr>
            <w:tcW w:type="dxa" w:w="963"/>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4"/>
              </w:rPr>
              <w:t>12.4 M€</w:t>
            </w:r>
          </w:p>
        </w:tc>
        <w:tc>
          <w:tcPr>
            <w:tcW w:type="dxa" w:w="3005"/>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4"/>
              </w:rPr>
              <w:t>Essential work that keeps the current IT estate reliable, secure and supportable while agreed business changes are delivered.</w:t>
            </w:r>
          </w:p>
        </w:tc>
        <w:tc>
          <w:tcPr>
            <w:tcW w:type="dxa" w:w="2806"/>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4"/>
              </w:rPr>
              <w:t>It follows mandatory work so essential IT services and agreed change capacity can continue.</w:t>
            </w:r>
          </w:p>
        </w:tc>
      </w:tr>
      <w:tr>
        <w:tc>
          <w:tcPr>
            <w:tcW w:type="dxa" w:w="680"/>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4"/>
              </w:rPr>
              <w:t>3</w:t>
            </w:r>
          </w:p>
        </w:tc>
        <w:tc>
          <w:tcPr>
            <w:tcW w:type="dxa" w:w="1530"/>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4"/>
              </w:rPr>
              <w:t>Hygiene</w:t>
            </w:r>
          </w:p>
        </w:tc>
        <w:tc>
          <w:tcPr>
            <w:tcW w:type="dxa" w:w="963"/>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4"/>
              </w:rPr>
              <w:t>35.0 M€</w:t>
            </w:r>
          </w:p>
        </w:tc>
        <w:tc>
          <w:tcPr>
            <w:tcW w:type="dxa" w:w="3005"/>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4"/>
              </w:rPr>
              <w:t>Work that improves the health of the existing IT estate through Continuous Improvement and Upgrades and Enhancements.</w:t>
            </w:r>
          </w:p>
        </w:tc>
        <w:tc>
          <w:tcPr>
            <w:tcW w:type="dxa" w:w="2806"/>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4"/>
              </w:rPr>
              <w:t>It is reserved before Carryover so the health of the current estate is not displaced by work already under way.</w:t>
            </w:r>
          </w:p>
        </w:tc>
      </w:tr>
      <w:tr>
        <w:tc>
          <w:tcPr>
            <w:tcW w:type="dxa" w:w="680"/>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4"/>
              </w:rPr>
              <w:t>4</w:t>
            </w:r>
          </w:p>
        </w:tc>
        <w:tc>
          <w:tcPr>
            <w:tcW w:type="dxa" w:w="1530"/>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4"/>
              </w:rPr>
              <w:t>Carryover</w:t>
            </w:r>
          </w:p>
        </w:tc>
        <w:tc>
          <w:tcPr>
            <w:tcW w:type="dxa" w:w="963"/>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4"/>
              </w:rPr>
              <w:t>102.0 M€</w:t>
            </w:r>
          </w:p>
        </w:tc>
        <w:tc>
          <w:tcPr>
            <w:tcW w:type="dxa" w:w="3005"/>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4"/>
              </w:rPr>
              <w:t>Work already started before the 2027 planning cycle that needs a clear quantified benefit to continue automatically.</w:t>
            </w:r>
          </w:p>
        </w:tc>
        <w:tc>
          <w:tcPr>
            <w:tcW w:type="dxa" w:w="2806"/>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4"/>
              </w:rPr>
              <w:t>It follows protected and health work because previous spend alone does not create a new funding priority.</w:t>
            </w:r>
          </w:p>
        </w:tc>
      </w:tr>
      <w:tr>
        <w:tc>
          <w:tcPr>
            <w:tcW w:type="dxa" w:w="680"/>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4"/>
              </w:rPr>
              <w:t>5</w:t>
            </w:r>
          </w:p>
        </w:tc>
        <w:tc>
          <w:tcPr>
            <w:tcW w:type="dxa" w:w="1530"/>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4"/>
              </w:rPr>
              <w:t>Value Based Portfolio</w:t>
            </w:r>
          </w:p>
        </w:tc>
        <w:tc>
          <w:tcPr>
            <w:tcW w:type="dxa" w:w="963"/>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4"/>
              </w:rPr>
              <w:t>95.9 M€</w:t>
            </w:r>
          </w:p>
        </w:tc>
        <w:tc>
          <w:tcPr>
            <w:tcW w:type="dxa" w:w="3005"/>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4"/>
              </w:rPr>
              <w:t>All remaining discretionary demand, including Decomm/Replatforming, assessed on its submitted value and merit evidence.</w:t>
            </w:r>
          </w:p>
        </w:tc>
        <w:tc>
          <w:tcPr>
            <w:tcW w:type="dxa" w:w="2806"/>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4"/>
              </w:rPr>
              <w:t>It is considered last because it competes for the capacity that remains after defined commitments are covered.</w:t>
            </w:r>
          </w:p>
        </w:tc>
      </w:tr>
      <w:tr>
        <w:tc>
          <w:tcPr>
            <w:tcW w:type="dxa" w:w="680"/>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sz w:val="14"/>
              </w:rPr>
            </w:r>
          </w:p>
        </w:tc>
        <w:tc>
          <w:tcPr>
            <w:tcW w:type="dxa" w:w="1530"/>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sz w:val="14"/>
              </w:rPr>
              <w:t>Overall</w:t>
            </w:r>
          </w:p>
        </w:tc>
        <w:tc>
          <w:tcPr>
            <w:tcW w:type="dxa" w:w="963"/>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sz w:val="14"/>
              </w:rPr>
              <w:t>279.6 M€</w:t>
            </w:r>
          </w:p>
        </w:tc>
        <w:tc>
          <w:tcPr>
            <w:tcW w:type="dxa" w:w="3005"/>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sz w:val="14"/>
              </w:rPr>
              <w:t>All requested 2027 investment across the five buckets.</w:t>
            </w:r>
          </w:p>
        </w:tc>
        <w:tc>
          <w:tcPr>
            <w:tcW w:type="dxa" w:w="2806"/>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sz w:val="14"/>
              </w:rPr>
            </w:r>
          </w:p>
        </w:tc>
      </w:tr>
    </w:tbl>
    <w:p>
      <w:pPr>
        <w:spacing w:after="40"/>
      </w:pPr>
    </w:p>
    <w:p>
      <w:pPr>
        <w:pStyle w:val="Heading2"/>
      </w:pPr>
      <w:r>
        <w:t>Allocation integrity</w:t>
      </w:r>
    </w:p>
    <w:tbl>
      <w:tblPr>
        <w:tblStyle w:val="TableGrid"/>
        <w:tblW w:type="dxa" w:w="9639"/>
        <w:tblLayout w:type="fixed"/>
        <w:tblLook w:firstColumn="1" w:firstRow="1" w:lastColumn="0" w:lastRow="0" w:noHBand="0" w:noVBand="1" w:val="04A0"/>
      </w:tblPr>
      <w:tblGrid>
        <w:gridCol w:w="2324"/>
        <w:gridCol w:w="7314"/>
      </w:tblGrid>
      <w:tr>
        <w:trPr>
          <w:tblHeader w:val="true"/>
        </w:trPr>
        <w:tc>
          <w:tcPr>
            <w:tcW w:type="dxa" w:w="2324"/>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Rule</w:t>
            </w:r>
          </w:p>
        </w:tc>
        <w:tc>
          <w:tcPr>
            <w:tcW w:type="dxa" w:w="7313"/>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Required model behaviour</w:t>
            </w:r>
          </w:p>
        </w:tc>
      </w:tr>
      <w:tr>
        <w:tc>
          <w:tcPr>
            <w:tcW w:type="dxa" w:w="2324"/>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Whole initiatives</w:t>
            </w:r>
          </w:p>
        </w:tc>
        <w:tc>
          <w:tcPr>
            <w:tcW w:type="dxa" w:w="7314"/>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Select whole initiatives in priority order. Do not split or proportionally fund a request.</w:t>
            </w:r>
          </w:p>
        </w:tc>
      </w:tr>
      <w:tr>
        <w:tc>
          <w:tcPr>
            <w:tcW w:type="dxa" w:w="2324"/>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Tolerance</w:t>
            </w:r>
          </w:p>
        </w:tc>
        <w:tc>
          <w:tcPr>
            <w:tcW w:type="dxa" w:w="7314"/>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Default 5% automatic tolerance permits the next whole initiative when it fits the configured target plus tolerance.</w:t>
            </w:r>
          </w:p>
        </w:tc>
      </w:tr>
      <w:tr>
        <w:tc>
          <w:tcPr>
            <w:tcW w:type="dxa" w:w="2324"/>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Evidence missing</w:t>
            </w:r>
          </w:p>
        </w:tc>
        <w:tc>
          <w:tcPr>
            <w:tcW w:type="dxa" w:w="7314"/>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Keep the row visible as Evidence missing or not eligible when quantified benefits or required decision evidence are absent.</w:t>
            </w:r>
          </w:p>
        </w:tc>
      </w:tr>
      <w:tr>
        <w:tc>
          <w:tcPr>
            <w:tcW w:type="dxa" w:w="2324"/>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Conference choices</w:t>
            </w:r>
          </w:p>
        </w:tc>
        <w:tc>
          <w:tcPr>
            <w:tcW w:type="dxa" w:w="7314"/>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BU and EW inclusion or exclusion sits on top of the automatic prioritised view and requires a rationale.</w:t>
            </w:r>
          </w:p>
        </w:tc>
      </w:tr>
      <w:tr>
        <w:tc>
          <w:tcPr>
            <w:tcW w:type="dxa" w:w="2324"/>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Budget variance</w:t>
            </w:r>
          </w:p>
        </w:tc>
        <w:tc>
          <w:tcPr>
            <w:tcW w:type="dxa" w:w="7314"/>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Allow conference inclusions to remain above budget. Show the visible variance rather than blocking finalisation.</w:t>
            </w:r>
          </w:p>
        </w:tc>
      </w:tr>
      <w:tr>
        <w:tc>
          <w:tcPr>
            <w:tcW w:type="dxa" w:w="2324"/>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Version control</w:t>
            </w:r>
          </w:p>
        </w:tc>
        <w:tc>
          <w:tcPr>
            <w:tcW w:type="dxa" w:w="7314"/>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Finalise freezes source hash, settings, decisions, budget and variance. Refresh creates a new version.</w:t>
            </w:r>
          </w:p>
        </w:tc>
      </w:tr>
    </w:tbl>
    <w:p>
      <w:pPr>
        <w:spacing w:after="40"/>
      </w:pPr>
    </w:p>
    <w:p>
      <w:pPr>
        <w:pStyle w:val="Heading2"/>
      </w:pPr>
      <w:r>
        <w:t>Legal and Compliance Must Do composition</w:t>
      </w:r>
    </w:p>
    <w:p>
      <w:pPr>
        <w:pStyle w:val="BodyText"/>
        <w:spacing w:after="100"/>
      </w:pPr>
      <w:r>
        <w:t>The Legal and Compliance Must Do baseline is 34.6 M€. It contains source P1 and P2 decisions of 16.6 M€ plus Group Functions 7.7 M€, Supply Chain 4.2 M€, and Finance 6.3 M€. These three exceptions do not remain in Sustain Engineering.</w:t>
      </w:r>
    </w:p>
    <w:p>
      <w:pPr>
        <w:pStyle w:val="Heading2"/>
      </w:pPr>
      <w:r>
        <w:t>Hygiene and Decomm Replatforming</w:t>
      </w:r>
    </w:p>
    <w:p>
      <w:pPr>
        <w:pStyle w:val="BodyText"/>
        <w:spacing w:after="100"/>
      </w:pPr>
      <w:r>
        <w:t>Hygiene contains Continuous Improvement and Upgrades and Enhancements. Decomm/Replatforming is treated as Value Based Portfolio demand and must meet the same evidence and merit rules as other value-based requests.</w:t>
      </w:r>
    </w:p>
    <w:p>
      <w:r>
        <w:br w:type="page"/>
      </w:r>
    </w:p>
    <w:p>
      <w:pPr>
        <w:pStyle w:val="Heading1"/>
      </w:pPr>
      <w:r>
        <w:t>Merit score framework</w:t>
      </w:r>
    </w:p>
    <w:p>
      <w:pPr>
        <w:pStyle w:val="BodyText"/>
        <w:spacing w:after="100"/>
      </w:pPr>
      <w:r>
        <w:t>Merit determines order within discretionary competition. It remains an advanced configuration and does not replace the funding stages.</w:t>
      </w:r>
    </w:p>
    <w:tbl>
      <w:tblPr>
        <w:tblStyle w:val="TableGrid"/>
        <w:tblW w:type="dxa" w:w="9639"/>
        <w:tblLayout w:type="fixed"/>
        <w:tblLook w:firstColumn="1" w:firstRow="1" w:lastColumn="0" w:lastRow="0" w:noHBand="0" w:noVBand="1" w:val="04A0"/>
      </w:tblPr>
      <w:tblGrid>
        <w:gridCol w:w="2438"/>
        <w:gridCol w:w="1134"/>
        <w:gridCol w:w="3742"/>
        <w:gridCol w:w="2324"/>
      </w:tblGrid>
      <w:tr>
        <w:trPr>
          <w:tblHeader w:val="true"/>
        </w:trPr>
        <w:tc>
          <w:tcPr>
            <w:tcW w:type="dxa" w:w="2438"/>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Dimension</w:t>
            </w:r>
          </w:p>
        </w:tc>
        <w:tc>
          <w:tcPr>
            <w:tcW w:type="dxa" w:w="1134"/>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Maximum</w:t>
            </w:r>
          </w:p>
        </w:tc>
        <w:tc>
          <w:tcPr>
            <w:tcW w:type="dxa" w:w="3742"/>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Scoring rule</w:t>
            </w:r>
          </w:p>
        </w:tc>
        <w:tc>
          <w:tcPr>
            <w:tcW w:type="dxa" w:w="2324"/>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Evidence source</w:t>
            </w:r>
          </w:p>
        </w:tc>
      </w:tr>
      <w:tr>
        <w:tc>
          <w:tcPr>
            <w:tcW w:type="dxa" w:w="2438"/>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Submitted benefit / requested investment</w:t>
            </w:r>
          </w:p>
        </w:tc>
        <w:tc>
          <w:tcPr>
            <w:tcW w:type="dxa" w:w="1134"/>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50</w:t>
            </w:r>
          </w:p>
        </w:tc>
        <w:tc>
          <w:tcPr>
            <w:tcW w:type="dxa" w:w="3742"/>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Below 1x or missing: 0; 1x to below 2x: 20; 2x to below 3x: 30; 3x to below 5x: 40; 5x and above: 50.</w:t>
            </w:r>
          </w:p>
        </w:tc>
        <w:tc>
          <w:tcPr>
            <w:tcW w:type="dxa" w:w="2324"/>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Quantified Benefits and 2027 requested investment.</w:t>
            </w:r>
          </w:p>
        </w:tc>
      </w:tr>
      <w:tr>
        <w:tc>
          <w:tcPr>
            <w:tcW w:type="dxa" w:w="2438"/>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Submitted priority</w:t>
            </w:r>
          </w:p>
        </w:tc>
        <w:tc>
          <w:tcPr>
            <w:tcW w:type="dxa" w:w="1134"/>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25</w:t>
            </w:r>
          </w:p>
        </w:tc>
        <w:tc>
          <w:tcPr>
            <w:tcW w:type="dxa" w:w="3742"/>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Must Do: 25; Must Have: 18; Deprioritised: 5; blank or unrecognised: 0.</w:t>
            </w:r>
          </w:p>
        </w:tc>
        <w:tc>
          <w:tcPr>
            <w:tcW w:type="dxa" w:w="2324"/>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Submitted priority field.</w:t>
            </w:r>
          </w:p>
        </w:tc>
      </w:tr>
      <w:tr>
        <w:tc>
          <w:tcPr>
            <w:tcW w:type="dxa" w:w="2438"/>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Captured Consequence</w:t>
            </w:r>
          </w:p>
        </w:tc>
        <w:tc>
          <w:tcPr>
            <w:tcW w:type="dxa" w:w="1134"/>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15</w:t>
            </w:r>
          </w:p>
        </w:tc>
        <w:tc>
          <w:tcPr>
            <w:tcW w:type="dxa" w:w="3742"/>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No evidence: 0; general consequence: 5; named activity and harm: 10; quantified impact or company-wide reach: 15.</w:t>
            </w:r>
          </w:p>
        </w:tc>
        <w:tc>
          <w:tcPr>
            <w:tcW w:type="dxa" w:w="2324"/>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Impact and Cost of Not Doing, Problem Statement and Scope only.</w:t>
            </w:r>
          </w:p>
        </w:tc>
      </w:tr>
      <w:tr>
        <w:tc>
          <w:tcPr>
            <w:tcW w:type="dxa" w:w="2438"/>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Decision band</w:t>
            </w:r>
          </w:p>
        </w:tc>
        <w:tc>
          <w:tcPr>
            <w:tcW w:type="dxa" w:w="1134"/>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10</w:t>
            </w:r>
          </w:p>
        </w:tc>
        <w:tc>
          <w:tcPr>
            <w:tcW w:type="dxa" w:w="3742"/>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Healthy: 10; Contain: 6; blank or other: 0.</w:t>
            </w:r>
          </w:p>
        </w:tc>
        <w:tc>
          <w:tcPr>
            <w:tcW w:type="dxa" w:w="2324"/>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Source Decision band.</w:t>
            </w:r>
          </w:p>
        </w:tc>
      </w:tr>
    </w:tbl>
    <w:p>
      <w:pPr>
        <w:spacing w:after="40"/>
      </w:pPr>
    </w:p>
    <w:p>
      <w:pPr>
        <w:pStyle w:val="Heading2"/>
      </w:pPr>
      <w:r>
        <w:t>What the merit dimensions mean</w:t>
      </w:r>
    </w:p>
    <w:tbl>
      <w:tblPr>
        <w:tblStyle w:val="TableGrid"/>
        <w:tblW w:type="dxa" w:w="9639"/>
        <w:tblLayout w:type="fixed"/>
        <w:tblLook w:firstColumn="1" w:firstRow="1" w:lastColumn="0" w:lastRow="0" w:noHBand="0" w:noVBand="1" w:val="04A0"/>
      </w:tblPr>
      <w:tblGrid>
        <w:gridCol w:w="2438"/>
        <w:gridCol w:w="7200"/>
      </w:tblGrid>
      <w:tr>
        <w:trPr>
          <w:tblHeader w:val="true"/>
        </w:trPr>
        <w:tc>
          <w:tcPr>
            <w:tcW w:type="dxa" w:w="2438"/>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Dimension</w:t>
            </w:r>
          </w:p>
        </w:tc>
        <w:tc>
          <w:tcPr>
            <w:tcW w:type="dxa" w:w="7200"/>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Plain-language meaning</w:t>
            </w:r>
          </w:p>
        </w:tc>
      </w:tr>
      <w:tr>
        <w:tc>
          <w:tcPr>
            <w:tcW w:type="dxa" w:w="2438"/>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Benefit / request</w:t>
            </w:r>
          </w:p>
        </w:tc>
        <w:tc>
          <w:tcPr>
            <w:tcW w:type="dxa" w:w="7200"/>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The submitted lifetime benefit compared with the 2027 investment requested. It indicates the scale of the value claim.</w:t>
            </w:r>
          </w:p>
        </w:tc>
      </w:tr>
      <w:tr>
        <w:tc>
          <w:tcPr>
            <w:tcW w:type="dxa" w:w="2438"/>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Submitted priority</w:t>
            </w:r>
          </w:p>
        </w:tc>
        <w:tc>
          <w:tcPr>
            <w:tcW w:type="dxa" w:w="7200"/>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The sponsor's stated urgency. It informs ranking but does not on its own make work mandatory.</w:t>
            </w:r>
          </w:p>
        </w:tc>
      </w:tr>
      <w:tr>
        <w:tc>
          <w:tcPr>
            <w:tcW w:type="dxa" w:w="2438"/>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Captured Consequence</w:t>
            </w:r>
          </w:p>
        </w:tc>
        <w:tc>
          <w:tcPr>
            <w:tcW w:type="dxa" w:w="7200"/>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What the source says will happen if the work does not proceed, using only the three recorded evidence fields.</w:t>
            </w:r>
          </w:p>
        </w:tc>
      </w:tr>
      <w:tr>
        <w:tc>
          <w:tcPr>
            <w:tcW w:type="dxa" w:w="2438"/>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Decision band</w:t>
            </w:r>
          </w:p>
        </w:tc>
        <w:tc>
          <w:tcPr>
            <w:tcW w:type="dxa" w:w="7200"/>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The recorded condition attached to the request. Healthy scores higher than Contain; a blank does not earn points.</w:t>
            </w:r>
          </w:p>
        </w:tc>
      </w:tr>
    </w:tbl>
    <w:p>
      <w:pPr>
        <w:spacing w:after="40"/>
      </w:pPr>
    </w:p>
    <w:p>
      <w:pPr>
        <w:pStyle w:val="Heading2"/>
      </w:pPr>
      <w:r>
        <w:t>Advanced configuration</w:t>
      </w:r>
    </w:p>
    <w:p>
      <w:pPr>
        <w:pStyle w:val="BodyText"/>
        <w:spacing w:after="100"/>
      </w:pPr>
      <w:r>
        <w:t>The default Minimum Merit Score is 45. It excludes weak Value Based Portfolio demand and does not gate Carryover. The four weights remain configurable in Advanced settings and do not appear as primary business levers.</w:t>
      </w:r>
    </w:p>
    <w:p>
      <w:pPr>
        <w:pStyle w:val="BodyText"/>
        <w:spacing w:after="100"/>
      </w:pPr>
      <w:r>
        <w:t>Claims above 5x require review before benefit-led automatic allocation. Submitted benefits remain evidence claims and do not become approved cash flows through the score.</w:t>
      </w:r>
    </w:p>
    <w:p>
      <w:pPr>
        <w:pStyle w:val="Heading2"/>
      </w:pPr>
      <w:r>
        <w:t>Traceability requirement</w:t>
      </w:r>
    </w:p>
    <w:p>
      <w:pPr>
        <w:pStyle w:val="BodyText"/>
        <w:spacing w:after="100"/>
      </w:pPr>
      <w:r>
        <w:t>Retain the exact supporting text, source sheet, source row, Item No., Planisware ID, requested amount, quantified benefit value, decision fields, score components, rank and funding rationale for every demand row.</w:t>
      </w:r>
    </w:p>
    <w:p>
      <w:r>
        <w:br w:type="page"/>
      </w:r>
    </w:p>
    <w:p>
      <w:pPr>
        <w:pStyle w:val="Heading1"/>
      </w:pPr>
      <w:r>
        <w:t>User flow from demand refresh to final AOP</w:t>
      </w:r>
    </w:p>
    <w:p>
      <w:pPr>
        <w:pStyle w:val="BodyText"/>
        <w:spacing w:after="100"/>
      </w:pPr>
      <w:r>
        <w:t>The user moves from source evidence to a frozen, traceable portfolio decision. The model records each decision and keeps evidence gaps visible.</w:t>
      </w:r>
    </w:p>
    <w:tbl>
      <w:tblPr>
        <w:tblStyle w:val="TableGrid"/>
        <w:tblW w:type="dxa" w:w="9639"/>
        <w:tblLayout w:type="fixed"/>
        <w:tblLook w:firstColumn="1" w:firstRow="1" w:lastColumn="0" w:lastRow="0" w:noHBand="0" w:noVBand="1" w:val="04A0"/>
      </w:tblPr>
      <w:tblGrid>
        <w:gridCol w:w="963"/>
        <w:gridCol w:w="2211"/>
        <w:gridCol w:w="3458"/>
        <w:gridCol w:w="3005"/>
      </w:tblGrid>
      <w:tr>
        <w:trPr>
          <w:tblHeader w:val="true"/>
        </w:trPr>
        <w:tc>
          <w:tcPr>
            <w:tcW w:type="dxa" w:w="964"/>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Step</w:t>
            </w:r>
          </w:p>
        </w:tc>
        <w:tc>
          <w:tcPr>
            <w:tcW w:type="dxa" w:w="2211"/>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User action</w:t>
            </w:r>
          </w:p>
        </w:tc>
        <w:tc>
          <w:tcPr>
            <w:tcW w:type="dxa" w:w="3458"/>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What the model does</w:t>
            </w:r>
          </w:p>
        </w:tc>
        <w:tc>
          <w:tcPr>
            <w:tcW w:type="dxa" w:w="3005"/>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Visible outcome</w:t>
            </w:r>
          </w:p>
        </w:tc>
      </w:tr>
      <w:tr>
        <w:tc>
          <w:tcPr>
            <w:tcW w:type="dxa" w:w="963"/>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1 Refresh demand</w:t>
            </w:r>
          </w:p>
        </w:tc>
        <w:tc>
          <w:tcPr>
            <w:tcW w:type="dxa" w:w="2211"/>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Load the latest 15926 IT AOP2027 Demand file.</w:t>
            </w:r>
          </w:p>
        </w:tc>
        <w:tc>
          <w:tcPr>
            <w:tcW w:type="dxa" w:w="3458"/>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Creates a new version and retains the source hash and row references.</w:t>
            </w:r>
          </w:p>
        </w:tc>
        <w:tc>
          <w:tcPr>
            <w:tcW w:type="dxa" w:w="3005"/>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Current demand baseline and data-quality exceptions.</w:t>
            </w:r>
          </w:p>
        </w:tc>
      </w:tr>
      <w:tr>
        <w:tc>
          <w:tcPr>
            <w:tcW w:type="dxa" w:w="963"/>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2 Check evidence</w:t>
            </w:r>
          </w:p>
        </w:tc>
        <w:tc>
          <w:tcPr>
            <w:tcW w:type="dxa" w:w="2211"/>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Review blank decisions, missing benefits and temporary Item Nos.</w:t>
            </w:r>
          </w:p>
        </w:tc>
        <w:tc>
          <w:tcPr>
            <w:tcW w:type="dxa" w:w="3458"/>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Keeps incomplete requests visible. It does not create a favourable score or decision.</w:t>
            </w:r>
          </w:p>
        </w:tc>
        <w:tc>
          <w:tcPr>
            <w:tcW w:type="dxa" w:w="3005"/>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Evidence missing or not eligible status where required.</w:t>
            </w:r>
          </w:p>
        </w:tc>
      </w:tr>
      <w:tr>
        <w:tc>
          <w:tcPr>
            <w:tcW w:type="dxa" w:w="963"/>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3 Set funding position</w:t>
            </w:r>
          </w:p>
        </w:tc>
        <w:tc>
          <w:tcPr>
            <w:tcW w:type="dxa" w:w="2211"/>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Enter Total AOP and select the basis and percentage for Legal and Compliance Must Do, Sustain Engineering and Hygiene. Set the Carryover threshold.</w:t>
            </w:r>
          </w:p>
        </w:tc>
        <w:tc>
          <w:tcPr>
            <w:tcW w:type="dxa" w:w="3458"/>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Calculates each reserved stage in the agreed order. Value Based Portfolio receives the remaining AOP automatically.</w:t>
            </w:r>
          </w:p>
        </w:tc>
        <w:tc>
          <w:tcPr>
            <w:tcW w:type="dxa" w:w="3005"/>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One live budget position and visible stage targets.</w:t>
            </w:r>
          </w:p>
        </w:tc>
      </w:tr>
      <w:tr>
        <w:tc>
          <w:tcPr>
            <w:tcW w:type="dxa" w:w="963"/>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4 Run allocation</w:t>
            </w:r>
          </w:p>
        </w:tc>
        <w:tc>
          <w:tcPr>
            <w:tcW w:type="dxa" w:w="2211"/>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Apply the selected settings.</w:t>
            </w:r>
          </w:p>
        </w:tc>
        <w:tc>
          <w:tcPr>
            <w:tcW w:type="dxa" w:w="3458"/>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Funds whole initiatives in sequence, allowing the configured 5% tolerance and recording any variance.</w:t>
            </w:r>
          </w:p>
        </w:tc>
        <w:tc>
          <w:tcPr>
            <w:tcW w:type="dxa" w:w="3005"/>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Funded, unfunded and over-budget views.</w:t>
            </w:r>
          </w:p>
        </w:tc>
      </w:tr>
      <w:tr>
        <w:tc>
          <w:tcPr>
            <w:tcW w:type="dxa" w:w="963"/>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5 Review value demand</w:t>
            </w:r>
          </w:p>
        </w:tc>
        <w:tc>
          <w:tcPr>
            <w:tcW w:type="dxa" w:w="2211"/>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Use merit to review Value Based Portfolio demand, including Decomm/Replatforming.</w:t>
            </w:r>
          </w:p>
        </w:tc>
        <w:tc>
          <w:tcPr>
            <w:tcW w:type="dxa" w:w="3458"/>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Ranks eligible requests using the four merit dimensions. It does not override missing evidence.</w:t>
            </w:r>
          </w:p>
        </w:tc>
        <w:tc>
          <w:tcPr>
            <w:tcW w:type="dxa" w:w="3005"/>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A clear rationale for each automatic allocation.</w:t>
            </w:r>
          </w:p>
        </w:tc>
      </w:tr>
      <w:tr>
        <w:tc>
          <w:tcPr>
            <w:tcW w:type="dxa" w:w="963"/>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6 Hold BU and EW conferences</w:t>
            </w:r>
          </w:p>
        </w:tc>
        <w:tc>
          <w:tcPr>
            <w:tcW w:type="dxa" w:w="2211"/>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Select or deselect whole initiatives and record the reason.</w:t>
            </w:r>
          </w:p>
        </w:tc>
        <w:tc>
          <w:tcPr>
            <w:tcW w:type="dxa" w:w="3458"/>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Adds the conference choice to the prioritised view and recalculates the variance.</w:t>
            </w:r>
          </w:p>
        </w:tc>
        <w:tc>
          <w:tcPr>
            <w:tcW w:type="dxa" w:w="3005"/>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BU-led and EW views with inclusion, exclusion and rationale.</w:t>
            </w:r>
          </w:p>
        </w:tc>
      </w:tr>
      <w:tr>
        <w:tc>
          <w:tcPr>
            <w:tcW w:type="dxa" w:w="963"/>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7 Finalise</w:t>
            </w:r>
          </w:p>
        </w:tc>
        <w:tc>
          <w:tcPr>
            <w:tcW w:type="dxa" w:w="2211"/>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Confirm the portfolio, accepted variance and exceptions.</w:t>
            </w:r>
          </w:p>
        </w:tc>
        <w:tc>
          <w:tcPr>
            <w:tcW w:type="dxa" w:w="3458"/>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Freezes the source hash, settings, decisions, budget and funding rationale.</w:t>
            </w:r>
          </w:p>
        </w:tc>
        <w:tc>
          <w:tcPr>
            <w:tcW w:type="dxa" w:w="3005"/>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A final AOP version that can be traced back to the source file.</w:t>
            </w:r>
          </w:p>
        </w:tc>
      </w:tr>
    </w:tbl>
    <w:p>
      <w:pPr>
        <w:spacing w:after="40"/>
      </w:pPr>
    </w:p>
    <w:p>
      <w:pPr>
        <w:pStyle w:val="Heading2"/>
      </w:pPr>
      <w:r>
        <w:t>How the flow protects the decision</w:t>
      </w:r>
    </w:p>
    <w:p>
      <w:pPr>
        <w:pStyle w:val="BodyText"/>
        <w:spacing w:after="100"/>
      </w:pPr>
      <w:r>
        <w:t>The process separates source evidence, funding settings, automatic ranking and conference choices. A blank field remains a blank field. A manual inclusion is recorded as a decision with a visible impact on the Total AOP variance. Refresh does not overwrite a frozen scenario. It starts a new version for review.</w:t>
      </w:r>
    </w:p>
    <w:p>
      <w:pPr>
        <w:pStyle w:val="Heading2"/>
      </w:pPr>
      <w:r>
        <w:t>Final AOP checkpoint</w:t>
      </w:r>
    </w:p>
    <w:p>
      <w:pPr>
        <w:pStyle w:val="BodyText"/>
        <w:spacing w:after="100"/>
      </w:pPr>
      <w:r>
        <w:t>Before finalising, Finance confirms the approved Total AOP and basis, CIO and ITLT confirm the funding settings, and BU and EW leaders confirm their conference choices. IT Portfolio and PMO reconcile totals and retain the source link for every request.</w:t>
      </w:r>
    </w:p>
    <w:p>
      <w:r>
        <w:br w:type="page"/>
      </w:r>
    </w:p>
    <w:p>
      <w:pPr>
        <w:pStyle w:val="Heading1"/>
      </w:pPr>
      <w:r>
        <w:t>Simplified scenarios for leadership comparison</w:t>
      </w:r>
    </w:p>
    <w:p>
      <w:pPr>
        <w:pStyle w:val="BodyText"/>
        <w:spacing w:after="100"/>
      </w:pPr>
      <w:r>
        <w:t>The scenarios use a 100.0 M€ illustrative planning envelope because the authoritative demand file does not contain an approved Total AOP. Leadership must replace this input with the confirmed envelope.</w:t>
      </w:r>
    </w:p>
    <w:tbl>
      <w:tblPr>
        <w:tblStyle w:val="TableGrid"/>
        <w:tblW w:type="dxa" w:w="9639"/>
        <w:tblLayout w:type="fixed"/>
        <w:tblLook w:firstColumn="1" w:firstRow="1" w:lastColumn="0" w:lastRow="0" w:noHBand="0" w:noVBand="1" w:val="04A0"/>
      </w:tblPr>
      <w:tblGrid>
        <w:gridCol w:w="1417"/>
        <w:gridCol w:w="2948"/>
        <w:gridCol w:w="1190"/>
        <w:gridCol w:w="1190"/>
        <w:gridCol w:w="850"/>
        <w:gridCol w:w="2041"/>
      </w:tblGrid>
      <w:tr>
        <w:trPr>
          <w:tblHeader w:val="true"/>
        </w:trPr>
        <w:tc>
          <w:tcPr>
            <w:tcW w:type="dxa" w:w="1417"/>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Scenario</w:t>
            </w:r>
          </w:p>
        </w:tc>
        <w:tc>
          <w:tcPr>
            <w:tcW w:type="dxa" w:w="2948"/>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Definition</w:t>
            </w:r>
          </w:p>
        </w:tc>
        <w:tc>
          <w:tcPr>
            <w:tcW w:type="dxa" w:w="1191"/>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Selected</w:t>
            </w:r>
          </w:p>
        </w:tc>
        <w:tc>
          <w:tcPr>
            <w:tcW w:type="dxa" w:w="1191"/>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Variance</w:t>
            </w:r>
          </w:p>
        </w:tc>
        <w:tc>
          <w:tcPr>
            <w:tcW w:type="dxa" w:w="850"/>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Initiatives</w:t>
            </w:r>
          </w:p>
        </w:tc>
        <w:tc>
          <w:tcPr>
            <w:tcW w:type="dxa" w:w="2041"/>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Use</w:t>
            </w:r>
          </w:p>
        </w:tc>
      </w:tr>
      <w:tr>
        <w:tc>
          <w:tcPr>
            <w:tcW w:type="dxa" w:w="1417"/>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1 Protect commitments</w:t>
            </w:r>
          </w:p>
        </w:tc>
        <w:tc>
          <w:tcPr>
            <w:tcW w:type="dxa" w:w="2948"/>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Legal and Compliance Must Do 100% of bucket; Sustain Engineering 100% of bucket; Hygiene 10% of AOP; Carryover 2x.</w:t>
            </w:r>
          </w:p>
        </w:tc>
        <w:tc>
          <w:tcPr>
            <w:tcW w:type="dxa" w:w="1190"/>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105.0 M€</w:t>
            </w:r>
          </w:p>
        </w:tc>
        <w:tc>
          <w:tcPr>
            <w:tcW w:type="dxa" w:w="1190"/>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5.0 M€ over</w:t>
            </w:r>
          </w:p>
        </w:tc>
        <w:tc>
          <w:tcPr>
            <w:tcW w:type="dxa" w:w="850"/>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153</w:t>
            </w:r>
          </w:p>
        </w:tc>
        <w:tc>
          <w:tcPr>
            <w:tcW w:type="dxa" w:w="2041"/>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Recommended conference baseline.</w:t>
            </w:r>
          </w:p>
        </w:tc>
      </w:tr>
      <w:tr>
        <w:tc>
          <w:tcPr>
            <w:tcW w:type="dxa" w:w="1417"/>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2 Evidence controlled</w:t>
            </w:r>
          </w:p>
        </w:tc>
        <w:tc>
          <w:tcPr>
            <w:tcW w:type="dxa" w:w="2948"/>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Same reservations; Carryover threshold rises to 3x; advanced merit gate stays 45.</w:t>
            </w:r>
          </w:p>
        </w:tc>
        <w:tc>
          <w:tcPr>
            <w:tcW w:type="dxa" w:w="1190"/>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105.0 M€</w:t>
            </w:r>
          </w:p>
        </w:tc>
        <w:tc>
          <w:tcPr>
            <w:tcW w:type="dxa" w:w="1190"/>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5.0 M€ over</w:t>
            </w:r>
          </w:p>
        </w:tc>
        <w:tc>
          <w:tcPr>
            <w:tcW w:type="dxa" w:w="850"/>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158</w:t>
            </w:r>
          </w:p>
        </w:tc>
        <w:tc>
          <w:tcPr>
            <w:tcW w:type="dxa" w:w="2041"/>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Tests stronger Carryover benefit evidence.</w:t>
            </w:r>
          </w:p>
        </w:tc>
      </w:tr>
      <w:tr>
        <w:tc>
          <w:tcPr>
            <w:tcW w:type="dxa" w:w="1417"/>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3 Capacity managed</w:t>
            </w:r>
          </w:p>
        </w:tc>
        <w:tc>
          <w:tcPr>
            <w:tcW w:type="dxa" w:w="2948"/>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Legal and Compliance Must Do 100%; Sustain Engineering 75% of bucket; Hygiene 10% of AOP; Carryover 2x.</w:t>
            </w:r>
          </w:p>
        </w:tc>
        <w:tc>
          <w:tcPr>
            <w:tcW w:type="dxa" w:w="1190"/>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105.0 M€</w:t>
            </w:r>
          </w:p>
        </w:tc>
        <w:tc>
          <w:tcPr>
            <w:tcW w:type="dxa" w:w="1190"/>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5.0 M€ over</w:t>
            </w:r>
          </w:p>
        </w:tc>
        <w:tc>
          <w:tcPr>
            <w:tcW w:type="dxa" w:w="850"/>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152</w:t>
            </w:r>
          </w:p>
        </w:tc>
        <w:tc>
          <w:tcPr>
            <w:tcW w:type="dxa" w:w="2041"/>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Tests partial Sustain Engineering coverage.</w:t>
            </w:r>
          </w:p>
        </w:tc>
      </w:tr>
    </w:tbl>
    <w:p>
      <w:pPr>
        <w:spacing w:after="40"/>
      </w:pPr>
    </w:p>
    <w:p>
      <w:pPr>
        <w:pStyle w:val="Heading2"/>
      </w:pPr>
      <w:r>
        <w:t>Scenario 1 stage allocation</w:t>
      </w:r>
    </w:p>
    <w:tbl>
      <w:tblPr>
        <w:tblStyle w:val="TableGrid"/>
        <w:tblW w:type="dxa" w:w="9639"/>
        <w:tblLayout w:type="fixed"/>
        <w:tblLook w:firstColumn="1" w:firstRow="1" w:lastColumn="0" w:lastRow="0" w:noHBand="0" w:noVBand="1" w:val="04A0"/>
      </w:tblPr>
      <w:tblGrid>
        <w:gridCol w:w="2381"/>
        <w:gridCol w:w="1530"/>
        <w:gridCol w:w="1587"/>
        <w:gridCol w:w="4139"/>
      </w:tblGrid>
      <w:tr>
        <w:trPr>
          <w:tblHeader w:val="true"/>
        </w:trPr>
        <w:tc>
          <w:tcPr>
            <w:tcW w:type="dxa" w:w="2381"/>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Stage</w:t>
            </w:r>
          </w:p>
        </w:tc>
        <w:tc>
          <w:tcPr>
            <w:tcW w:type="dxa" w:w="1531"/>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Selected</w:t>
            </w:r>
          </w:p>
        </w:tc>
        <w:tc>
          <w:tcPr>
            <w:tcW w:type="dxa" w:w="1587"/>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Funded initiatives</w:t>
            </w:r>
          </w:p>
        </w:tc>
        <w:tc>
          <w:tcPr>
            <w:tcW w:type="dxa" w:w="4139"/>
            <w:shd w:fill="00126E"/>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color w:val="FFFFFF"/>
                <w:sz w:val="16"/>
              </w:rPr>
              <w:t>Interpretation</w:t>
            </w:r>
          </w:p>
        </w:tc>
      </w:tr>
      <w:tr>
        <w:tc>
          <w:tcPr>
            <w:tcW w:type="dxa" w:w="2381"/>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Legal and Compliance Must Do</w:t>
            </w:r>
          </w:p>
        </w:tc>
        <w:tc>
          <w:tcPr>
            <w:tcW w:type="dxa" w:w="1530"/>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34.6 M€</w:t>
            </w:r>
          </w:p>
        </w:tc>
        <w:tc>
          <w:tcPr>
            <w:tcW w:type="dxa" w:w="1587"/>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36</w:t>
            </w:r>
          </w:p>
        </w:tc>
        <w:tc>
          <w:tcPr>
            <w:tcW w:type="dxa" w:w="4139"/>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Full Legal and Compliance Must Do reservation.</w:t>
            </w:r>
          </w:p>
        </w:tc>
      </w:tr>
      <w:tr>
        <w:tc>
          <w:tcPr>
            <w:tcW w:type="dxa" w:w="2381"/>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Sustain Engineering</w:t>
            </w:r>
          </w:p>
        </w:tc>
        <w:tc>
          <w:tcPr>
            <w:tcW w:type="dxa" w:w="1530"/>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12.4 M€</w:t>
            </w:r>
          </w:p>
        </w:tc>
        <w:tc>
          <w:tcPr>
            <w:tcW w:type="dxa" w:w="1587"/>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15</w:t>
            </w:r>
          </w:p>
        </w:tc>
        <w:tc>
          <w:tcPr>
            <w:tcW w:type="dxa" w:w="4139"/>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Full eligible Sustain Engineering demand.</w:t>
            </w:r>
          </w:p>
        </w:tc>
      </w:tr>
      <w:tr>
        <w:tc>
          <w:tcPr>
            <w:tcW w:type="dxa" w:w="2381"/>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Hygiene</w:t>
            </w:r>
          </w:p>
        </w:tc>
        <w:tc>
          <w:tcPr>
            <w:tcW w:type="dxa" w:w="1530"/>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10.5 M€</w:t>
            </w:r>
          </w:p>
        </w:tc>
        <w:tc>
          <w:tcPr>
            <w:tcW w:type="dxa" w:w="1587"/>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35</w:t>
            </w:r>
          </w:p>
        </w:tc>
        <w:tc>
          <w:tcPr>
            <w:tcW w:type="dxa" w:w="4139"/>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10% of AOP target, with whole-initiative tolerance.</w:t>
            </w:r>
          </w:p>
        </w:tc>
      </w:tr>
      <w:tr>
        <w:tc>
          <w:tcPr>
            <w:tcW w:type="dxa" w:w="2381"/>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Carryover</w:t>
            </w:r>
          </w:p>
        </w:tc>
        <w:tc>
          <w:tcPr>
            <w:tcW w:type="dxa" w:w="1530"/>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20.9 M€</w:t>
            </w:r>
          </w:p>
        </w:tc>
        <w:tc>
          <w:tcPr>
            <w:tcW w:type="dxa" w:w="1587"/>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22</w:t>
            </w:r>
          </w:p>
        </w:tc>
        <w:tc>
          <w:tcPr>
            <w:tcW w:type="dxa" w:w="4139"/>
            <w:shd w:fill="F2F8FC"/>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Eligible at 2x benefit / request threshold.</w:t>
            </w:r>
          </w:p>
        </w:tc>
      </w:tr>
      <w:tr>
        <w:tc>
          <w:tcPr>
            <w:tcW w:type="dxa" w:w="2381"/>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Value Based Portfolio</w:t>
            </w:r>
          </w:p>
        </w:tc>
        <w:tc>
          <w:tcPr>
            <w:tcW w:type="dxa" w:w="1530"/>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26.8 M€</w:t>
            </w:r>
          </w:p>
        </w:tc>
        <w:tc>
          <w:tcPr>
            <w:tcW w:type="dxa" w:w="1587"/>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center"/>
            </w:pPr>
            <w:r/>
            <w:r>
              <w:rPr>
                <w:rFonts w:ascii="Arial" w:hAnsi="Arial"/>
                <w:b w:val="0"/>
                <w:sz w:val="16"/>
              </w:rPr>
              <w:t>45</w:t>
            </w:r>
          </w:p>
        </w:tc>
        <w:tc>
          <w:tcPr>
            <w:tcW w:type="dxa" w:w="4139"/>
            <w:tcBorders>
              <w:top w:val="single" w:sz="6" w:space="0" w:color="D9D9D9"/>
              <w:left w:val="single" w:sz="6" w:space="0" w:color="D9D9D9"/>
              <w:bottom w:val="single" w:sz="6" w:space="0" w:color="D9D9D9"/>
              <w:right w:val="single" w:sz="6" w:space="0" w:color="D9D9D9"/>
            </w:tcBorders>
            <w:tcMar>
              <w:top w:w="80" w:type="dxa"/>
              <w:start w:w="100" w:type="dxa"/>
              <w:bottom w:w="80" w:type="dxa"/>
              <w:end w:w="100" w:type="dxa"/>
            </w:tcMar>
            <w:vAlign w:val="center"/>
          </w:tcPr>
          <w:p>
            <w:pPr>
              <w:spacing w:after="0" w:before="0" w:line="247" w:lineRule="auto"/>
              <w:jc w:val="left"/>
            </w:pPr>
            <w:r/>
            <w:r>
              <w:rPr>
                <w:rFonts w:ascii="Arial" w:hAnsi="Arial"/>
                <w:b w:val="0"/>
                <w:sz w:val="16"/>
              </w:rPr>
              <w:t>Receives remaining eligible capacity by merit rank.</w:t>
            </w:r>
          </w:p>
        </w:tc>
      </w:tr>
    </w:tbl>
    <w:p>
      <w:pPr>
        <w:spacing w:after="40"/>
      </w:pPr>
    </w:p>
    <w:p>
      <w:pPr>
        <w:pStyle w:val="Heading2"/>
      </w:pPr>
      <w:r>
        <w:t>Management interpretation</w:t>
      </w:r>
    </w:p>
    <w:p>
      <w:pPr>
        <w:pStyle w:val="BodyText"/>
        <w:spacing w:after="100"/>
      </w:pPr>
      <w:r>
        <w:t>Scenario 1 uses the current default configuration and protects the explicit obligation and Sustain Engineering positions. Its automatic whole-initiative selection reaches 105.0 M€, which is 5.0 M€ above the illustrative envelope but within the 5% automatic tolerance. Scenario 2 improves Carryover evidence quality. Scenario 3 creates headroom by reducing Sustain Engineering coverage and requires a clear business trade-off.</w:t>
      </w:r>
    </w:p>
    <w:p>
      <w:pPr>
        <w:pStyle w:val="BodyText"/>
        <w:spacing w:after="100"/>
      </w:pPr>
      <w:r>
        <w:t>All scenario values use the same normalized source records and deterministic calculation engine. No conference overrides are included.</w:t>
      </w:r>
    </w:p>
    <w:sectPr w:rsidR="00FC693F" w:rsidRPr="0006063C" w:rsidSect="00034616">
      <w:headerReference w:type="default" r:id="rId9"/>
      <w:footerReference w:type="default" r:id="rId10"/>
      <w:pgSz w:w="12240" w:h="15840"/>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96573"/>
        <w:sz w:val="15"/>
      </w:rPr>
      <w:t xml:space="preserve">Page </w:t>
    </w:r>
    <w:r>
      <w:rPr>
        <w:rFonts w:ascii="Arial" w:hAnsi="Arial"/>
        <w:color w:val="596573"/>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596573"/>
        <w:sz w:val="15"/>
      </w:rPr>
      <w:t>Annual Operating Plan 2027 | Prioritisation approach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596573"/>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