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Product Requirements</w:t>
      </w:r>
    </w:p>
    <w:p>
      <w:r>
        <w:t>Version 3.1 | 17 September 2026 | Tested build baseline</w:t>
      </w:r>
    </w:p>
    <w:p>
      <w:r>
        <w:t>Approve an updated modeler that turns one demand baseline into a consistent AOP scenario across four tabs. Leadership sets the funding position in AOP Scenarios. Function/EW followed by BU Led conferences refine program selections and amounts in their tables. Every change updates the same portfolio, preserves its source evidence and is recorded for the final scenario.</w:t>
      </w:r>
    </w:p>
    <w:p>
      <w:pPr>
        <w:pStyle w:val="Heading2"/>
      </w:pPr>
      <w:r>
        <w:t>Why the update is needed</w:t>
      </w:r>
    </w:p>
    <w:p>
      <w:r>
        <w:t>The current experience combines useful executive visuals with older funding labels and separate editing interactions. Conference users need to see the financial effect of a decision immediately, change funding in the table, compare scenarios and reproduce the agreed portfolio from the source workbook.</w:t>
      </w:r>
    </w:p>
    <w:p>
      <w:r>
        <w:t>The confirmed source contains 279.6 M€ requested across 509 demand rows: 167.9 M€ BU Led and 111.7 M€ Enterprise Wide. It contains no approved Total AOP envelope. The 100.0 M€ scenario envelope in the approach is an illustration until leadership supplies the approved amount.</w:t>
      </w:r>
    </w:p>
    <w:p>
      <w:pPr>
        <w:pStyle w:val="Heading2"/>
      </w:pPr>
      <w:r>
        <w:t>Product outcome</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Outcome</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Evidence of completion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funding position</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four tabs, exports and saved scenarios reconcile to the same scenario revision.</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Faster conference decisions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Select, deselect and change prioritised amounts inline; each committed change is logged without a funding dialog.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Explainable prioritisation</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Show funding order, four merit components, missing evidence and the reason for each result.</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Repeatable demand refresh</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Import the next equivalent demand workbook, validate changes and create a new source version.</w:t>
            </w:r>
          </w:p>
        </w:tc>
      </w:tr>
    </w:tbl>
    <w:p>
      <w:pPr>
        <w:spacing w:after="0"/>
      </w:pPr>
    </w:p>
    <w:p>
      <w:pPr>
        <w:pStyle w:val="Heading2"/>
      </w:pPr>
      <w:r>
        <w:t>Build authority</w:t>
      </w:r>
    </w:p>
    <w:p>
      <w:r>
        <w:t>This PRD defines the product scope, experience and choices for approval. The companion Detailed Requirements document defines calculations, state changes, data mappings, exports and acceptance criteria. Together they form the build baseline. The current user request authorises review closure, local implementation and skill updates.</w:t>
      </w:r>
    </w:p>
    <w:p>
      <w:r>
        <w:t>Reading order: product scope; navigation; scenario experience; conference experience; rules and scenarios; refresh and exports; design references; approval decisions. The appendix reproduces all eight reference images.</w:t>
      </w:r>
    </w:p>
    <w:p>
      <w:r>
        <w:br w:type="page"/>
      </w:r>
    </w:p>
    <w:p>
      <w:pPr>
        <w:pStyle w:val="Heading1"/>
      </w:pPr>
      <w:r>
        <w:t>Product scope and source authority</w:t>
      </w:r>
    </w:p>
    <w:p>
      <w:pPr>
        <w:pStyle w:val="Heading2"/>
      </w:pPr>
      <w:r>
        <w:t>Users and decisions</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User</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Decision supported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CIO and IT leadership</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Total AOP, compare funding settings and accept the final portfolio variance.</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and function leaders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their demand, include or exclude programs and record prioritised amounts during conferences.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Finance</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Reconcile requested demand, scenario funding, residual demand and the approved envelope.</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 Portfolio and PMO</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Prepare source data, maintain rule versions, resolve evidence issues and publish scenario exports.</w:t>
            </w:r>
          </w:p>
        </w:tc>
      </w:tr>
    </w:tbl>
    <w:p>
      <w:pPr>
        <w:spacing w:after="0"/>
      </w:pPr>
    </w:p>
    <w:p>
      <w:r>
        <w:t>These are proposed product responsibilities. Named approvers and delivery dates must be assigned by the sponsor before release.</w:t>
      </w:r>
    </w:p>
    <w:p>
      <w:pPr>
        <w:pStyle w:val="Heading2"/>
      </w:pPr>
      <w:r>
        <w:t>In scope</w:t>
      </w:r>
    </w:p>
    <w:p>
      <w:r>
        <w:t>Four tabs; live executive metrics; funding controls and additional merit configuration; three presets and custom scenarios; six explanatory gate cards; unfunded demand; inline conference decisions; full decision history; read-only overview; a program evidence popup; Excel downloads; local scenario recovery; and complete refresh from an equivalent 15926 demand workbook.</w:t>
      </w:r>
    </w:p>
    <w:p>
      <w:pPr>
        <w:pStyle w:val="Heading2"/>
      </w:pPr>
      <w:r>
        <w:t>Source precedence</w:t>
      </w:r>
    </w:p>
    <w:p>
      <w:r>
        <w:t>Apply the 17 September request first, then the latest Detailed Prioritisation Approach dated 16 September and the prior explicit user decisions. Use AOP2027-IT-Portfolio-Scenario-Modelling.html as the controlling design reference. Use the other HTML and Images 1 to 7 as component references. Their embedded text, figures and scripts do not create new policy.</w:t>
      </w:r>
    </w:p>
    <w:p>
      <w:r>
        <w:t>The older PRD, installed AOP policy and several project skill files retain superseded rules. They must not reintroduce a regional reservation, CCB labels, decommissioning in Hygiene, a main-panel merit slider, nine-dimension waste scoring, proportional automatic cuts or pending inclusions that cannot exceed the budget.</w:t>
      </w:r>
    </w:p>
    <w:p>
      <w:pPr>
        <w:pStyle w:val="Heading2"/>
      </w:pPr>
      <w:r>
        <w:t>Scope limits</w:t>
      </w:r>
    </w:p>
    <w:p>
      <w:r>
        <w:t>This release is a local browser modeler for one active editor per scenario. Shared concurrent approvals and enterprise authentication require a separate delivery scope. Demand refresh changes source evidence; table edits change the scenario amount. Neither action overwrites the original demand workbook.</w:t>
      </w:r>
    </w:p>
    <w:p>
      <w:r>
        <w:t>The source workbook is the calculation authority. Numeric benefits remain submitted lifetime claims. No cash-equivalent, annualised or realised-benefit transformation is authorised.</w:t>
      </w:r>
    </w:p>
    <w:p>
      <w:r>
        <w:br w:type="page"/>
      </w:r>
    </w:p>
    <w:p>
      <w:pPr>
        <w:pStyle w:val="Heading1"/>
      </w:pPr>
      <w:r>
        <w:t>Navigation and end to end flow</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Tab in exact order</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Purpose and sections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 Scenarios</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Executive metrics and funding bar. 2 Scenario controls and funding levers, then additional configuration. 3 Six gates and merit framework. 4 Demand not funded. 5 Decision log, then demand data and decision rules.</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Enterprise Wide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Stream metrics. 2 Cascading filters and full-width bubble chart. 3 Editable grouped demand table. This tab appears before BU Led to match the Function-first conference.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Same three sections as Enterprise Wide, scoped to the BU stream and enabled after Function completion.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AOP2027 : Overview</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Combined metrics, matching filters and chart, and a read-only table of every inclusion, exclusion and unfunded request.</w:t>
            </w:r>
          </w:p>
        </w:tc>
      </w:tr>
    </w:tbl>
    <w:p>
      <w:pPr>
        <w:spacing w:after="0"/>
      </w:pPr>
    </w:p>
    <w:p>
      <w:pPr>
        <w:pStyle w:val="Heading2"/>
      </w:pPr>
      <w:r>
        <w:t>Conference journey</w:t>
      </w:r>
    </w:p>
    <w:p>
      <w:pPr>
        <w:pStyle w:val="ListBullet"/>
      </w:pPr>
      <w:r>
        <w:t>Open the modeler and confirm the active source version, Total AOP and scenario status. The initial tab is AOP Scenarios.</w:t>
      </w:r>
    </w:p>
    <w:p>
      <w:pPr>
        <w:pStyle w:val="ListBullet"/>
      </w:pPr>
      <w:r>
        <w:t>Select a preset or set the funding controls. The model recalculates whole-program automatic selections, evidence holds and budget variance.</w:t>
      </w:r>
    </w:p>
    <w:p>
      <w:pPr>
        <w:pStyle w:val="ListBullet"/>
      </w:pPr>
      <w:r>
        <w:t>Review the six gates, merit framework and unfunded table to understand what receives funding and why.</w:t>
      </w:r>
    </w:p>
    <w:p>
      <w:pPr>
        <w:pStyle w:val="ListBullet"/>
      </w:pPr>
      <w:r>
        <w:t>Start the Function conference in Enterprise Wide, complete it, then move into BU Led. Filter from organisation to platform, demand type and investment area; review the chart and table together.</w:t>
      </w:r>
    </w:p>
    <w:p>
      <w:pPr>
        <w:pStyle w:val="ListBullet"/>
      </w:pPr>
      <w:r>
        <w:t>Change a program checkbox or prioritised amount directly in the table. Commit once, update all tabs and create a decision event. An inline Undo action reverses the change.</w:t>
      </w:r>
    </w:p>
    <w:p>
      <w:pPr>
        <w:pStyle w:val="ListBullet"/>
      </w:pPr>
      <w:r>
        <w:t>Review the combined AOP2027 : Overview and decision log. Save the choices as a named Custom Scenario and export inclusions or the full portfolio.</w:t>
      </w:r>
    </w:p>
    <w:p>
      <w:pPr>
        <w:pStyle w:val="ListBullet"/>
      </w:pPr>
      <w:r>
        <w:t>Finalise an agreed revision. Refreshing demand starts a new source version and a new working scenario while preserving the finalised version.</w:t>
      </w:r>
    </w:p>
    <w:p>
      <w:pPr>
        <w:pStyle w:val="Heading2"/>
      </w:pPr>
      <w:r>
        <w:t>Shared state is a product requirement</w:t>
      </w:r>
    </w:p>
    <w:p>
      <w:r>
        <w:t>Navigation, filtering and opening program details never recalculate an independent portfolio. The same program has one final prioritised amount, one automatic baseline amount and one explicit override state across all views. Filters change what is shown; they do not change funding.</w:t>
      </w:r>
    </w:p>
    <w:p>
      <w:r>
        <w:br w:type="page"/>
      </w:r>
    </w:p>
    <w:p>
      <w:pPr>
        <w:pStyle w:val="Heading1"/>
      </w:pPr>
      <w:r>
        <w:t>CIO conference sequence and review closure</w:t>
      </w:r>
    </w:p>
    <w:p>
      <w:r>
        <w:t>The CIO sets one portfolio envelope and one funding method. Conference order is Function/EW first, then BU Led. The visible tab order follows the same sequence: AOP Scenarios, Enterprise Wide, BU Led and AOP2027 : Overview.</w:t>
      </w:r>
    </w:p>
    <w:tbl>
      <w:tblPr>
        <w:tblW w:type="dxa" w:w="9792"/>
        <w:jc w:val="center"/>
        <w:tblLayout w:type="fixed"/>
        <w:tblLook w:firstColumn="1" w:firstRow="1" w:lastColumn="0" w:lastRow="0" w:noHBand="0" w:noVBand="1" w:val="04A0"/>
      </w:tblPr>
      <w:tblGrid>
        <w:gridCol w:w="1584"/>
        <w:gridCol w:w="3888"/>
        <w:gridCol w:w="4320"/>
      </w:tblGrid>
      <w:tr>
        <w:trPr>
          <w:cantSplit/>
          <w:tblHeader/>
        </w:trPr>
        <w:tc>
          <w:tcPr>
            <w:tcW w:type="dxa" w:w="158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Step</w:t>
            </w:r>
          </w:p>
        </w:tc>
        <w:tc>
          <w:tcPr>
            <w:tcW w:type="dxa" w:w="38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CIO action</w:t>
            </w:r>
          </w:p>
        </w:tc>
        <w:tc>
          <w:tcPr>
            <w:tcW w:type="dxa" w:w="432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System response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Prepare</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Confirm source, envelope, preset and evidence coverage.</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Recalculate a whole-program baseline; show mandatory shortfalls and variance.</w:t>
            </w:r>
          </w:p>
        </w:tc>
      </w:tr>
      <w:tr>
        <w:trPr>
          <w:cantSplit/>
        </w:trPr>
        <w:tc>
          <w:tcPr>
            <w:tcW w:type="dxa" w:w="15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Function / EW</w:t>
            </w:r>
          </w:p>
        </w:tc>
        <w:tc>
          <w:tcPr>
            <w:tcW w:type="dxa" w:w="38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each Function using organisation filters; decide inline; complete the Function checkpoint.</w:t>
            </w:r>
          </w:p>
        </w:tc>
        <w:tc>
          <w:tcPr>
            <w:tcW w:type="dxa" w:w="43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Lock EW conference edits. Store all EW program amounts and revision; enable BU Led editing.</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BUs against the same remaining portfolio position; decide inline; complete BU checkpoint.</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Keep EW checkpoint unchanged. Add manual inclusions without displacing existing programs.</w:t>
            </w:r>
          </w:p>
        </w:tc>
      </w:tr>
      <w:tr>
        <w:trPr>
          <w:cantSplit/>
        </w:trPr>
        <w:tc>
          <w:tcPr>
            <w:tcW w:type="dxa" w:w="15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 review</w:t>
            </w:r>
          </w:p>
        </w:tc>
        <w:tc>
          <w:tcPr>
            <w:tcW w:type="dxa" w:w="38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Overview, inspect all inclusions/exclusions and variance, then Finalise.</w:t>
            </w:r>
          </w:p>
        </w:tc>
        <w:tc>
          <w:tcPr>
            <w:tcW w:type="dxa" w:w="43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Freeze the revision and retain source, settings, decisions and both checkpoints.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later</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 the relevant conference or create a working version.</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Reopening EW or changing global controls invalidates both checkpoints. Reopening BU invalidates BU only.</w:t>
            </w:r>
          </w:p>
        </w:tc>
      </w:tr>
    </w:tbl>
    <w:p>
      <w:pPr>
        <w:spacing w:after="0"/>
      </w:pPr>
    </w:p>
    <w:p>
      <w:pPr>
        <w:pStyle w:val="Heading2"/>
      </w:pPr>
      <w:r>
        <w:t>Closed overlaps</w:t>
      </w:r>
    </w:p>
    <w:p>
      <w:r>
        <w:t>Corrected missing-demand evidence from 11 to 46 rows by counting whitespace-only cells. Removed carried-over decommissioning from Carryover and assigned it to Value Based Portfolio after mandatory/Sustain precedence. Preserved validated mandatory obligations where a Contain condition remains unresolved, with a visible warning.</w:t>
      </w:r>
    </w:p>
    <w:p>
      <w:r>
        <w:t>Closed the missing conference handoff, stale-checkpoint, refresh identity, manual-no-refill and finalisation rules. The review register records the implemented checks; missing business evidence is still an explicit source-data exception.</w:t>
      </w:r>
    </w:p>
    <w:p>
      <w:r>
        <w:t>No source file contains an approved Total AOP envelope. The starting 100.0 M€ is illustrative. Confirm the intended envelope before running a leadership conference.</w:t>
      </w:r>
    </w:p>
    <w:p>
      <w:r>
        <w:br w:type="page"/>
      </w:r>
    </w:p>
    <w:p>
      <w:pPr>
        <w:pStyle w:val="Heading1"/>
      </w:pPr>
      <w:r>
        <w:t>AOP Scenarios experience</w:t>
      </w:r>
    </w:p>
    <w:p>
      <w:pPr>
        <w:pStyle w:val="Heading2"/>
      </w:pPr>
      <w:r>
        <w:t>Section 1 Executive position</w:t>
      </w:r>
    </w:p>
    <w:p>
      <w:r>
        <w:t>Follow Image 1: five metrics above a segmented funding bar. Show final allocated amount, funded program count, BU Led share of final allocation, available AOP or over-budget variance, and remaining unfunded demand. The bar contains the five funding stages and totals the final allocated amount. Show Total AOP and automatic versus conference changes beside it.</w:t>
      </w:r>
    </w:p>
    <w:p>
      <w:pPr>
        <w:pStyle w:val="Heading2"/>
      </w:pPr>
      <w:r>
        <w:t>Section 2 Scenario and funding controls</w:t>
      </w:r>
    </w:p>
    <w:p>
      <w:r>
        <w:t>Use Image 2 for the control hierarchy, within the approved modeler styling. At desktop width, place the scenario selector and funding controls in one horizontal section, with the five lever cards in a single row. Place additional configuration underneath. Controls show their percentage basis and amount together.</w:t>
      </w:r>
    </w:p>
    <w:p>
      <w:r>
        <w:t>Legal and Compliance (Must Do), Sustain Engineering and Hygiene each have a slider and number input with switchable tabs for % of bucket demand and % of Total AOP. Carryover has a benefit/request threshold from 1.0x to 5.0x+ in 0.5x increments, default 2.0x. Value Based Portfolio displays the remaining AOP allocation automatically.</w:t>
      </w:r>
    </w:p>
    <w:p>
      <w:r>
        <w:t>Changing a preset setting or program decision marks the scenario Custom. Save Custom Scenario, open, compare and export inclusions are available in this section. Additional configuration contains the merit floor, the four weights and automatic tolerance. Minimum merit is never a primary business lever.</w:t>
      </w:r>
    </w:p>
    <w:p>
      <w:pPr>
        <w:pStyle w:val="Heading2"/>
      </w:pPr>
      <w:r>
        <w:t>Section 3 Explain the selection</w:t>
      </w:r>
    </w:p>
    <w:p>
      <w:r>
        <w:t>Adapt Image 3 into six cards: Gate 0 Evidence and decision check; then Legal and Compliance (Must Do), Sustain Engineering, Hygiene, Carryover and Value Based Portfolio. Gate 0 evaluates every request and has no allocation. A request belongs to one of the five funding stages only. Show the merit framework immediately below.</w:t>
      </w:r>
    </w:p>
    <w:p>
      <w:pPr>
        <w:pStyle w:val="Heading2"/>
      </w:pPr>
      <w:r>
        <w:t>Sections 4 and 5 Explain the gaps and changes</w:t>
      </w:r>
    </w:p>
    <w:p>
      <w:r>
        <w:t>Use Image 4 for unfunded demand. Required columns are BURF details, Program Name, Demand Type, Requested Demand, Merit Score, Benefit Details and Reason for Not Funded. Include residual demand from manually reduced programs and show both prioritised and unfunded amounts.</w:t>
      </w:r>
    </w:p>
    <w:p>
      <w:r>
        <w:t>Follow the table with a complete decision log of settings and program changes, then demand metadata, refresh controls, decision rules and rule version. Every record must remain traceable to its source sheet and row.</w:t>
      </w:r>
    </w:p>
    <w:p>
      <w:r>
        <w:br w:type="page"/>
      </w:r>
    </w:p>
    <w:p>
      <w:pPr>
        <w:pStyle w:val="Heading1"/>
      </w:pPr>
      <w:r>
        <w:t>Enterprise Wide BU Led and Overview</w:t>
      </w:r>
    </w:p>
    <w:p>
      <w:pPr>
        <w:pStyle w:val="Heading2"/>
      </w:pPr>
      <w:r>
        <w:t>Stream metrics and chart</w:t>
      </w:r>
    </w:p>
    <w:p>
      <w:r>
        <w:t>Use Image 5 for six stream metrics: programme demand, indicative programme envelope, prioritised demand, advanced merit threshold, demand gap and submitted numeric benefits associated with selected programs. Values are derived from the current scenario. BU and enterprise envelope amounts are reporting allocations from the automatic baseline, not independent funding ceilings.</w:t>
      </w:r>
    </w:p>
    <w:p>
      <w:r>
        <w:t>Use Image 6 for the filter row and bubble chart. All filters support multi-select checkboxes. Within one filter selected values are alternatives; between filters all conditions must hold. Organisation constrains platform, platform constrains demand type, and demand type constrains investment area. A selected filter with no remaining matches stays visible with zero results until cleared.</w:t>
      </w:r>
    </w:p>
    <w:p>
      <w:r>
        <w:t>The chart fills the available panel width, retains its proportions and uses requested investment against merit score. Bubble area represents requested demand; colour switches between Decision Band and Funding status. Show both the actual median merit for the plotted rows and the configured merit threshold. Hover or keyboard focus displays source ID, program, BURF, requested amount, final prioritised amount, benefit, score, stage and funding status. Download Excel exports the matching rows and their scenario context.</w:t>
      </w:r>
    </w:p>
    <w:p>
      <w:pPr>
        <w:pStyle w:val="Heading2"/>
      </w:pPr>
      <w:r>
        <w:t>Editable conference table</w:t>
      </w:r>
    </w:p>
    <w:p>
      <w:r>
        <w:t>Show one collapsed BURF summary row by default for each organisation. The summary displays child and funded counts, representative band, average merit score, requested total, prioritised total, unfunded total, submitted numeric-benefit total and evidence count. Totals sum underlying programs; the merit score is the arithmetic average of scored programs. Opening a BURF row reveals the program selection checkboxes and prioritised-amount inputs. Expand and Close all controls never change funding.</w:t>
      </w:r>
    </w:p>
    <w:p>
      <w:r>
        <w:t>A checkbox includes the whole request or excludes it. A direct amount edit is a manual scope decision, can be smaller than requested demand and is reflected immediately across the modeler. The source request remains visible. Automatic selection continues to use whole initiatives.</w:t>
      </w:r>
    </w:p>
    <w:p>
      <w:r>
        <w:t>No popup opens when selecting, deselecting or changing an amount. Log the old value, new value, affected program, source revision, scenario revision, time and originating tab. Offer an optional inline business note. Any required evidence acknowledgement is inline.</w:t>
      </w:r>
    </w:p>
    <w:p>
      <w:pPr>
        <w:pStyle w:val="Heading2"/>
      </w:pPr>
      <w:r>
        <w:t>Program details and Overview</w:t>
      </w:r>
    </w:p>
    <w:p>
      <w:r>
        <w:t>Image 7 supplies the evidence-field pattern only. Clicking Program Name opens a small read-only popup containing available nonblank details, grouped for readability. Remove its funding form and action buttons. Suppress absent fields; keep real zeros, source evidence and source references.</w:t>
      </w:r>
    </w:p>
    <w:p>
      <w:r>
        <w:t>AOP2027 : Overview uses the combined portfolio layout from the controlling HTML. Its table includes final inclusions, exclusions, partial scope decisions and automatic unfunded requests. It supports the same filters and downloads; funding controls and editable cells are absent.</w:t>
      </w:r>
    </w:p>
    <w:p>
      <w:r>
        <w:br w:type="page"/>
      </w:r>
    </w:p>
    <w:p>
      <w:pPr>
        <w:pStyle w:val="Heading1"/>
      </w:pPr>
      <w:r>
        <w:t>Funding method and proposed scenarios</w:t>
      </w:r>
    </w:p>
    <w:tbl>
      <w:tblPr>
        <w:tblW w:type="dxa" w:w="9792"/>
        <w:jc w:val="center"/>
        <w:tblLayout w:type="fixed"/>
        <w:tblLook w:firstColumn="1" w:firstRow="1" w:lastColumn="0" w:lastRow="0" w:noHBand="0" w:noVBand="1" w:val="04A0"/>
      </w:tblPr>
      <w:tblGrid>
        <w:gridCol w:w="792"/>
        <w:gridCol w:w="9000"/>
      </w:tblGrid>
      <w:tr>
        <w:trPr>
          <w:cantSplit/>
          <w:tblHeader/>
        </w:trPr>
        <w:tc>
          <w:tcPr>
            <w:tcW w:type="dxa" w:w="7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Order</w:t>
            </w:r>
          </w:p>
        </w:tc>
        <w:tc>
          <w:tcPr>
            <w:tcW w:type="dxa" w:w="90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Stage and business definition</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Legal and Compliance (Must Do): work needed to meet a legal, fiscal, regulatory or compliance obligation. Source P1 precedes P2, followed by the three approved exceptions.</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Sustain Engineering: the explicitly classified capacity that keeps current IT services reliable and supportable while agreed changes are delivered.</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Hygiene: Continuous Improvement and Upgrades &amp; Enhancements that improve the existing estate. Decommissioning and Replatforming belong to Value Based Portfolio after mandatory and Sustain precedence.</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existing work that must show numeric benefit evidence meeting the selected continuation threshold. It receives no automatic preference from past spending alone.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Value Based Portfolio: remaining discretionary work, including relevant AI and decommissioning, competing on merit for the remaining AOP.</w:t>
            </w:r>
          </w:p>
        </w:tc>
      </w:tr>
    </w:tbl>
    <w:p>
      <w:pPr>
        <w:spacing w:after="0"/>
      </w:pPr>
    </w:p>
    <w:p>
      <w:r>
        <w:t>Merit has four components: submitted benefit/request up to 50.0 points, submitted priority up to 25.0, Captured Consequence up to 15.0 and Decision Band up to 10.0. Captured Consequence uses only Impact and Cost of Not Doing, Problem Statement and Scope. The default advanced floor is 45.0 and does not gate Carryover.</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Preset</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Definition and management use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Protect commitments</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100.0% of Legal and Compliance and Sustain bucket demand; Hygiene 10.0% of Total AOP; Carryover 2.0x. Starting conference position.</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Tighten carryover evidence</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Same reservations; Carryover 3.0x. Tests the effect of stronger continuation evidence.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Release sustain capacity</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Legal and Compliance 100.0%, Sustain 75.0% of bucket demand; Hygiene 10.0% of Total AOP; Carryover 2.0x. Tests reduced Sustain capacity.</w:t>
            </w:r>
          </w:p>
        </w:tc>
      </w:tr>
    </w:tbl>
    <w:p>
      <w:pPr>
        <w:spacing w:after="0"/>
      </w:pPr>
    </w:p>
    <w:p>
      <w:r>
        <w:t>The default automatic tolerance is 5.0% on the stage target and Total AOP. It permits whole programs to fit slightly above a target; it does not force a minimum level of spending. Manual conference inclusions remain additive and may exceed this tolerance, with the variance visible and finalisation available.</w:t>
      </w:r>
    </w:p>
    <w:p>
      <w:r>
        <w:t>Preset outputs must be recalculated from the current workbook. Do not copy screenshot counts, benefit values or allocation amounts into the new product.</w:t>
      </w:r>
    </w:p>
    <w:p>
      <w:r>
        <w:br w:type="page"/>
      </w:r>
    </w:p>
    <w:p>
      <w:pPr>
        <w:pStyle w:val="Heading1"/>
      </w:pPr>
      <w:r>
        <w:t>Refresh exports and acceptance outcomes</w:t>
      </w:r>
    </w:p>
    <w:p>
      <w:pPr>
        <w:pStyle w:val="Heading2"/>
      </w:pPr>
      <w:r>
        <w:t>Complete refresh from the demand workbook</w:t>
      </w:r>
    </w:p>
    <w:p>
      <w:r>
        <w:t>Accept a workbook with the same business structure as 15926_IT AOP2027 Demand.xlsx, including EW and Bu sheets. Discover columns by heading and supporting subheadings. Preserve source values and distinguish missing amounts from numeric zero. Show added, changed, removed and unmatched records before applying a refresh.</w:t>
      </w:r>
    </w:p>
    <w:p>
      <w:r>
        <w:t>Keep manual choices on unchanged stable records. Place decisions on changed, removed or ambiguously matched records into a visible review queue. A row moving within a workbook must not inherit another program’s decision. Applying the refresh creates a new demand version; finalised scenarios remain reproducible.</w:t>
      </w:r>
    </w:p>
    <w:p>
      <w:pPr>
        <w:pStyle w:val="Heading2"/>
      </w:pPr>
      <w:r>
        <w:t>Excel and scenario portability</w:t>
      </w:r>
    </w:p>
    <w:p>
      <w:r>
        <w:t>Provide genuine .xlsx files for filtered views, inclusions and the full scenario. Include source provenance, requested amount, automatic allocation, final prioritised amount, unfunded balance, merit components, stage, evidence flags and decision rationale. Include scenario settings and source/rule versions. A portable scenario file preserves all decisions and the source snapshot for recovery.</w:t>
      </w:r>
    </w:p>
    <w:p>
      <w:r>
        <w:t>The workbook and dashboard must use the same calculation result and revision. Exporting Excel does not create a second set of financial rules. A scenario import must reject unsupported versions or report any required migration before applying it.</w:t>
      </w:r>
    </w:p>
    <w:p>
      <w:pPr>
        <w:pStyle w:val="Heading2"/>
      </w:pPr>
      <w:r>
        <w:t>Release acceptance</w:t>
      </w:r>
    </w:p>
    <w:tbl>
      <w:tblPr>
        <w:tblW w:type="dxa" w:w="9792"/>
        <w:jc w:val="center"/>
        <w:tblLayout w:type="fixed"/>
        <w:tblLook w:firstColumn="1" w:firstRow="1" w:lastColumn="0" w:lastRow="0" w:noHBand="0" w:noVBand="1" w:val="04A0"/>
      </w:tblPr>
      <w:tblGrid>
        <w:gridCol w:w="2088"/>
        <w:gridCol w:w="7704"/>
      </w:tblGrid>
      <w:tr>
        <w:trPr>
          <w:cantSplit/>
          <w:tblHeader/>
        </w:trPr>
        <w:tc>
          <w:tcPr>
            <w:tcW w:type="dxa" w:w="20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Area</w:t>
            </w:r>
          </w:p>
        </w:tc>
        <w:tc>
          <w:tcPr>
            <w:tcW w:type="dxa" w:w="77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Measurable release outcome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Financial consistency</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Every visible total reconciles to full-precision row results and the Excel export.</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Two-way decisions</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 scenario setting and a BU or EW amount edit propagate to every affected tab, log and saved revision.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Interaction</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 funding popup; program-name details remain read-only; filters combine predictably; bubble details work by mouse and keyboard.</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Data refresh</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current 509-row source and controlled changed-workbook fixture import without silent row loss or reused changed decisions.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Visual fidelity</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Match the controlling HTML palette and typography; show median and threshold on all three charts; open all demand tables as collapsed BURF summaries with reconciled totals and averages.</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Recovery</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Reopening a saved scenario reproduces source, settings, overrides, final allocation and variance.</w:t>
            </w:r>
          </w:p>
        </w:tc>
      </w:tr>
    </w:tbl>
    <w:p>
      <w:pPr>
        <w:spacing w:after="0"/>
      </w:pPr>
    </w:p>
    <w:p>
      <w:r>
        <w:t>Performance targets proposed for the build: committed edits refresh visible results within 500 milliseconds for 1,000 records; workbook preview within 10 seconds for 5,000 records on the agreed test laptop. Confirm the test environment during delivery planning.</w:t>
      </w:r>
    </w:p>
    <w:p>
      <w:r>
        <w:br w:type="page"/>
      </w:r>
    </w:p>
    <w:p>
      <w:pPr>
        <w:pStyle w:val="Heading1"/>
      </w:pPr>
      <w:r>
        <w:t>Design standard and review closure</w:t>
      </w:r>
    </w:p>
    <w:p>
      <w:pPr>
        <w:pStyle w:val="Heading2"/>
      </w:pPr>
      <w:r>
        <w:t>Design fidelity</w:t>
      </w:r>
    </w:p>
    <w:p>
      <w:r>
        <w:t>Retain the controlling HTML header, tab treatment, local font stack, white cards, compact grouped tables and blue controls. Palette: Philips Blue #0B5ED7; Dark Blue #00126E; Light Blue #BDF0FF; background #FAFBFC; borders #D5DAE0. Preserve semantic green, amber and coral status colours and provide text labels alongside colour.</w:t>
      </w:r>
    </w:p>
    <w:p>
      <w:r>
        <w:t>Use the screenshots for component layout. Their older typography, currency convention, CCB and waste wording, cash-equivalent claims and scenario values are not the new product specification. Appendix captions state what to retain and replace.</w:t>
      </w:r>
    </w:p>
    <w:p>
      <w:pPr>
        <w:pStyle w:val="Heading2"/>
      </w:pPr>
      <w:r>
        <w:t>Resolved build interpretations</w:t>
      </w:r>
    </w:p>
    <w:tbl>
      <w:tblPr>
        <w:tblW w:type="dxa" w:w="9792"/>
        <w:jc w:val="center"/>
        <w:tblLayout w:type="fixed"/>
        <w:tblLook w:firstColumn="1" w:firstRow="1" w:lastColumn="0" w:lastRow="0" w:noHBand="0" w:noVBand="1" w:val="04A0"/>
      </w:tblPr>
      <w:tblGrid>
        <w:gridCol w:w="2232"/>
        <w:gridCol w:w="7560"/>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Decision</w:t>
            </w:r>
          </w:p>
        </w:tc>
        <w:tc>
          <w:tcPr>
            <w:tcW w:type="dxa" w:w="75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Recommended build interpretation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gates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Gate 0 checks evidence; Gates 1 to 5 allocate demand. No sixth budget bucket.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Manual amount changes</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Allow 0.0 up to the requested amount inline, as a manual scope override. A checkbox restores full request funding.</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Logging and rationale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Automatically record operational reasons for every edit. Keep optional business notes; evidence exceptions require a visible inline acknowledgement.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boundary</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remains in its stage when below threshold; it does not bypass the threshold through Value Based Portfolio. Decommissioning is routed to Value Based Portfolio after earlier mandatory/Sustain precedence.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Blank decisions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Preserve blanks as Unassessed and award no band points. Blank alone does not invent a mandatory status or a favourable assessment. The detailed eligibility rules govern funding.</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Two-way behaviour</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Recalculate automatic choices when settings change, then reapply existing manual overrides. Table-only changes do not silently refill or displace other programs.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5.0x plus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last threshold position means at least 5.0x. Claims above 5.0x still require evidence review; the plus sign does not waive review.</w:t>
            </w:r>
          </w:p>
        </w:tc>
      </w:tr>
    </w:tbl>
    <w:p>
      <w:pPr>
        <w:spacing w:after="0"/>
      </w:pPr>
    </w:p>
    <w:p>
      <w:pPr>
        <w:pStyle w:val="Heading2"/>
      </w:pPr>
      <w:r>
        <w:t>Conference and delivery sequence</w:t>
      </w:r>
    </w:p>
    <w:p>
      <w:r>
        <w:t>Use the reviewed rule engine and source baseline. Run Function/EW, complete that checkpoint, then run BU Led. Review the combined portfolio and accepted variance, finalise and export. Product, Finance and IT Portfolio operating owners and dates are not supplied; do not invent them.</w:t>
      </w:r>
    </w:p>
    <w:p>
      <w:r>
        <w:t>Build status: authorised by the current request. This does not approve the illustrative AOP envelope or individual funding decisions. Leadership supplies the envelope and completes both conferences.</w:t>
      </w:r>
    </w:p>
    <w:p>
      <w:r>
        <w:br w:type="page"/>
      </w:r>
    </w:p>
    <w:p>
      <w:pPr>
        <w:pStyle w:val="Heading1"/>
      </w:pPr>
      <w:r>
        <w:t>Image references for scenario controls</w:t>
      </w:r>
    </w:p>
    <w:p>
      <w:r>
        <w:t>Reference images are embedded at their original resolution for zooming. They specify component layout; the approved labels, source data and rules in this document replace the older content visible in them.</w:t>
      </w:r>
    </w:p>
    <w:p>
      <w:pPr>
        <w:keepNext/>
      </w:pPr>
      <w:r>
        <w:drawing>
          <wp:inline xmlns:a="http://schemas.openxmlformats.org/drawingml/2006/main" xmlns:pic="http://schemas.openxmlformats.org/drawingml/2006/picture">
            <wp:extent cx="6217920" cy="1765087"/>
            <wp:docPr id="1" name="Picture 1" descr="User supplied Image 1: Scenario KPI cards and the allocation bar. Replace legacy stages and values with the five approved stages and current final scenario results."/>
            <wp:cNvGraphicFramePr>
              <a:graphicFrameLocks noChangeAspect="1"/>
            </wp:cNvGraphicFramePr>
            <a:graphic>
              <a:graphicData uri="http://schemas.openxmlformats.org/drawingml/2006/picture">
                <pic:pic>
                  <pic:nvPicPr>
                    <pic:cNvPr id="0" name="codex-clipboard-5fdf4b0a-eb29-4ca7-8eb0-ffa0888ae0e2.png"/>
                    <pic:cNvPicPr/>
                  </pic:nvPicPr>
                  <pic:blipFill>
                    <a:blip r:embed="rId10"/>
                    <a:stretch>
                      <a:fillRect/>
                    </a:stretch>
                  </pic:blipFill>
                  <pic:spPr>
                    <a:xfrm>
                      <a:off x="0" y="0"/>
                      <a:ext cx="6217920" cy="1765087"/>
                    </a:xfrm>
                    <a:prstGeom prst="rect"/>
                  </pic:spPr>
                </pic:pic>
              </a:graphicData>
            </a:graphic>
          </wp:inline>
        </w:drawing>
      </w:r>
    </w:p>
    <w:p>
      <w:pPr>
        <w:pStyle w:val="Caption"/>
        <w:spacing w:after="200"/>
      </w:pPr>
      <w:r>
        <w:t>Image 1. Scenario KPI cards and the allocation bar. Replace legacy stages and values with the five approved stages and current final scenario results.</w:t>
      </w:r>
    </w:p>
    <w:p>
      <w:pPr>
        <w:keepNext/>
      </w:pPr>
      <w:r>
        <w:drawing>
          <wp:inline xmlns:a="http://schemas.openxmlformats.org/drawingml/2006/main" xmlns:pic="http://schemas.openxmlformats.org/drawingml/2006/picture">
            <wp:extent cx="5394960" cy="4134891"/>
            <wp:docPr id="2" name="Picture 2" descr="User supplied Image 2: Slider and input hierarchy. Rebuild with the five approved levers in a horizontal desktop section; retain numeric entry, visible basis and target amounts. Old tranche percentages are not defaults."/>
            <wp:cNvGraphicFramePr>
              <a:graphicFrameLocks noChangeAspect="1"/>
            </wp:cNvGraphicFramePr>
            <a:graphic>
              <a:graphicData uri="http://schemas.openxmlformats.org/drawingml/2006/picture">
                <pic:pic>
                  <pic:nvPicPr>
                    <pic:cNvPr id="0" name="codex-clipboard-64f8fdec-496d-4b79-b4ad-e1cf75304e94.png"/>
                    <pic:cNvPicPr/>
                  </pic:nvPicPr>
                  <pic:blipFill>
                    <a:blip r:embed="rId11"/>
                    <a:stretch>
                      <a:fillRect/>
                    </a:stretch>
                  </pic:blipFill>
                  <pic:spPr>
                    <a:xfrm>
                      <a:off x="0" y="0"/>
                      <a:ext cx="5394960" cy="4134891"/>
                    </a:xfrm>
                    <a:prstGeom prst="rect"/>
                  </pic:spPr>
                </pic:pic>
              </a:graphicData>
            </a:graphic>
          </wp:inline>
        </w:drawing>
      </w:r>
    </w:p>
    <w:p>
      <w:pPr>
        <w:pStyle w:val="Caption"/>
        <w:spacing w:after="200"/>
      </w:pPr>
      <w:r>
        <w:t>Image 2. Slider and input hierarchy. Rebuild with the five approved levers in a horizontal desktop section; retain numeric entry, visible basis and target amounts. Old tranche percentages are not defaults.</w:t>
      </w:r>
    </w:p>
    <w:p>
      <w:r>
        <w:br w:type="page"/>
      </w:r>
    </w:p>
    <w:p>
      <w:pPr>
        <w:pStyle w:val="Heading1"/>
      </w:pPr>
      <w:r>
        <w:t>Image references for gates and demand</w:t>
      </w:r>
    </w:p>
    <w:p>
      <w:pPr>
        <w:keepNext/>
      </w:pPr>
      <w:r>
        <w:drawing>
          <wp:inline xmlns:a="http://schemas.openxmlformats.org/drawingml/2006/main" xmlns:pic="http://schemas.openxmlformats.org/drawingml/2006/picture">
            <wp:extent cx="6217920" cy="1413496"/>
            <wp:docPr id="3" name="Picture 3" descr="User supplied Image 3: Six gate cards. Gate 0 becomes Evidence and decision check; the next five cards follow the approved funding sequence. Remove legacy waste and CCB rules."/>
            <wp:cNvGraphicFramePr>
              <a:graphicFrameLocks noChangeAspect="1"/>
            </wp:cNvGraphicFramePr>
            <a:graphic>
              <a:graphicData uri="http://schemas.openxmlformats.org/drawingml/2006/picture">
                <pic:pic>
                  <pic:nvPicPr>
                    <pic:cNvPr id="0" name="codex-clipboard-7a47d558-0937-4081-8bbd-1de638b75d11.png"/>
                    <pic:cNvPicPr/>
                  </pic:nvPicPr>
                  <pic:blipFill>
                    <a:blip r:embed="rId12"/>
                    <a:stretch>
                      <a:fillRect/>
                    </a:stretch>
                  </pic:blipFill>
                  <pic:spPr>
                    <a:xfrm>
                      <a:off x="0" y="0"/>
                      <a:ext cx="6217920" cy="1413496"/>
                    </a:xfrm>
                    <a:prstGeom prst="rect"/>
                  </pic:spPr>
                </pic:pic>
              </a:graphicData>
            </a:graphic>
          </wp:inline>
        </w:drawing>
      </w:r>
    </w:p>
    <w:p>
      <w:pPr>
        <w:pStyle w:val="Caption"/>
        <w:spacing w:after="200"/>
      </w:pPr>
      <w:r>
        <w:t>Image 3. Six gate cards. Gate 0 becomes Evidence and decision check; the next five cards follow the approved funding sequence. Remove legacy waste and CCB rules.</w:t>
      </w:r>
    </w:p>
    <w:p>
      <w:pPr>
        <w:keepNext/>
      </w:pPr>
      <w:r>
        <w:drawing>
          <wp:inline xmlns:a="http://schemas.openxmlformats.org/drawingml/2006/main" xmlns:pic="http://schemas.openxmlformats.org/drawingml/2006/picture">
            <wp:extent cx="6217920" cy="1309036"/>
            <wp:docPr id="4" name="Picture 4" descr="User supplied Image 4: Unfunded demand table. Use BURF, program, demand type, requested amount, merit, benefit details and outcome reason, plus residual demand for partial scopes."/>
            <wp:cNvGraphicFramePr>
              <a:graphicFrameLocks noChangeAspect="1"/>
            </wp:cNvGraphicFramePr>
            <a:graphic>
              <a:graphicData uri="http://schemas.openxmlformats.org/drawingml/2006/picture">
                <pic:pic>
                  <pic:nvPicPr>
                    <pic:cNvPr id="0" name="codex-clipboard-bb13fa0e-49a6-48ec-8d4d-94210f6fb121.png"/>
                    <pic:cNvPicPr/>
                  </pic:nvPicPr>
                  <pic:blipFill>
                    <a:blip r:embed="rId13"/>
                    <a:stretch>
                      <a:fillRect/>
                    </a:stretch>
                  </pic:blipFill>
                  <pic:spPr>
                    <a:xfrm>
                      <a:off x="0" y="0"/>
                      <a:ext cx="6217920" cy="1309036"/>
                    </a:xfrm>
                    <a:prstGeom prst="rect"/>
                  </pic:spPr>
                </pic:pic>
              </a:graphicData>
            </a:graphic>
          </wp:inline>
        </w:drawing>
      </w:r>
    </w:p>
    <w:p>
      <w:pPr>
        <w:pStyle w:val="Caption"/>
        <w:spacing w:after="200"/>
      </w:pPr>
      <w:r>
        <w:t>Image 4. Unfunded demand table. Use BURF, program, demand type, requested amount, merit, benefit details and outcome reason, plus residual demand for partial scopes.</w:t>
      </w:r>
    </w:p>
    <w:p>
      <w:pPr>
        <w:keepNext/>
      </w:pPr>
      <w:r>
        <w:drawing>
          <wp:inline xmlns:a="http://schemas.openxmlformats.org/drawingml/2006/main" xmlns:pic="http://schemas.openxmlformats.org/drawingml/2006/picture">
            <wp:extent cx="6217920" cy="670937"/>
            <wp:docPr id="5" name="Picture 5" descr="User supplied Image 5: Stream KPI cards. Populate from the active scenario, make cards fill the row and distinguish the demand gap from budget variance."/>
            <wp:cNvGraphicFramePr>
              <a:graphicFrameLocks noChangeAspect="1"/>
            </wp:cNvGraphicFramePr>
            <a:graphic>
              <a:graphicData uri="http://schemas.openxmlformats.org/drawingml/2006/picture">
                <pic:pic>
                  <pic:nvPicPr>
                    <pic:cNvPr id="0" name="codex-clipboard-9417278b-012f-4060-bafc-3aba8f743287.png"/>
                    <pic:cNvPicPr/>
                  </pic:nvPicPr>
                  <pic:blipFill>
                    <a:blip r:embed="rId14"/>
                    <a:stretch>
                      <a:fillRect/>
                    </a:stretch>
                  </pic:blipFill>
                  <pic:spPr>
                    <a:xfrm>
                      <a:off x="0" y="0"/>
                      <a:ext cx="6217920" cy="670937"/>
                    </a:xfrm>
                    <a:prstGeom prst="rect"/>
                  </pic:spPr>
                </pic:pic>
              </a:graphicData>
            </a:graphic>
          </wp:inline>
        </w:drawing>
      </w:r>
    </w:p>
    <w:p>
      <w:pPr>
        <w:pStyle w:val="Caption"/>
        <w:spacing w:after="200"/>
      </w:pPr>
      <w:r>
        <w:t>Image 5. Stream KPI cards. Populate from the active scenario, make cards fill the row and distinguish the demand gap from budget variance.</w:t>
      </w:r>
    </w:p>
    <w:p>
      <w:pPr>
        <w:pStyle w:val="Heading2"/>
      </w:pPr>
      <w:r>
        <w:t>Reference file locations</w:t>
      </w:r>
    </w:p>
    <w:p>
      <w:pPr>
        <w:spacing w:after="100"/>
      </w:pPr>
      <w:r>
        <w:rPr>
          <w:sz w:val="16"/>
        </w:rPr>
        <w:t>Controlling design: C:\Users\320126040\Documents\Codex\2026-09-15\create-an-image-of-2\outputs\AOP2027-IT-Portfolio-Scenario-Modelling.html</w:t>
      </w:r>
    </w:p>
    <w:p>
      <w:pPr>
        <w:spacing w:after="100"/>
      </w:pPr>
      <w:r>
        <w:rPr>
          <w:sz w:val="16"/>
        </w:rPr>
        <w:t>Supporting component example: C:\Users\320126040\OneDrive - Philips\Download\IT Portfolio Prioritisation 2027 — Philips.html</w:t>
      </w:r>
    </w:p>
    <w:p>
      <w:pPr>
        <w:spacing w:after="100"/>
      </w:pPr>
      <w:r>
        <w:rPr>
          <w:sz w:val="16"/>
        </w:rPr>
        <w:t>Latest approach: C:\Users\320126040\Documents\Codex\AOP2027\Approach\AOP2027-Detailed-Prioritisation-Approach.docx</w:t>
      </w:r>
    </w:p>
    <w:p>
      <w:pPr>
        <w:spacing w:after="100"/>
      </w:pPr>
      <w:r>
        <w:rPr>
          <w:sz w:val="16"/>
        </w:rPr>
        <w:t>Calculation source: C:\Users\320126040\Documents\Codex\AOP2027\AOP 2027 Demand\15926_IT AOP2027 Demand.xlsx</w:t>
      </w:r>
    </w:p>
    <w:p>
      <w:r>
        <w:rPr>
          <w:sz w:val="16"/>
        </w:rPr>
        <w:t>Source workbook SHA-256: 4ca3c6d4295996c1ff3062d22679ef272ee88a38a6050e112014e5ce25e2ba89</w:t>
      </w:r>
    </w:p>
    <w:p>
      <w:r>
        <w:rPr>
          <w:sz w:val="16"/>
        </w:rPr>
        <w:t>Design HTML SHA-256: efabddd204187f62ccb077b94639344452ff9b38e0d3b3282b887553930a68c2</w:t>
      </w:r>
    </w:p>
    <w:p>
      <w:r>
        <w:br w:type="page"/>
      </w:r>
    </w:p>
    <w:p>
      <w:pPr>
        <w:pStyle w:val="Heading1"/>
      </w:pPr>
      <w:r>
        <w:t>Image references for filters and details</w:t>
      </w:r>
    </w:p>
    <w:p>
      <w:pPr>
        <w:keepNext/>
      </w:pPr>
      <w:r>
        <w:drawing>
          <wp:inline xmlns:a="http://schemas.openxmlformats.org/drawingml/2006/main" xmlns:pic="http://schemas.openxmlformats.org/drawingml/2006/picture">
            <wp:extent cx="6217920" cy="1969524"/>
            <wp:docPr id="6" name="Picture 6" descr="User supplied Image 6: Filter row and bubble chart. Filters combine left to right and use checkboxes. Expand the plot to fill its panel and export matching rows as Excel."/>
            <wp:cNvGraphicFramePr>
              <a:graphicFrameLocks noChangeAspect="1"/>
            </wp:cNvGraphicFramePr>
            <a:graphic>
              <a:graphicData uri="http://schemas.openxmlformats.org/drawingml/2006/picture">
                <pic:pic>
                  <pic:nvPicPr>
                    <pic:cNvPr id="0" name="codex-clipboard-4abfe067-bb1f-4509-b469-f766ead6a3e6.png"/>
                    <pic:cNvPicPr/>
                  </pic:nvPicPr>
                  <pic:blipFill>
                    <a:blip r:embed="rId15"/>
                    <a:stretch>
                      <a:fillRect/>
                    </a:stretch>
                  </pic:blipFill>
                  <pic:spPr>
                    <a:xfrm>
                      <a:off x="0" y="0"/>
                      <a:ext cx="6217920" cy="1969524"/>
                    </a:xfrm>
                    <a:prstGeom prst="rect"/>
                  </pic:spPr>
                </pic:pic>
              </a:graphicData>
            </a:graphic>
          </wp:inline>
        </w:drawing>
      </w:r>
    </w:p>
    <w:p>
      <w:pPr>
        <w:pStyle w:val="Caption"/>
        <w:spacing w:after="200"/>
      </w:pPr>
      <w:r>
        <w:t>Image 6. Filter row and bubble chart. Filters combine left to right and use checkboxes. Expand the plot to fill its panel and export matching rows as Excel.</w:t>
      </w:r>
    </w:p>
    <w:p>
      <w:pPr>
        <w:keepNext/>
      </w:pPr>
      <w:r>
        <w:drawing>
          <wp:inline xmlns:a="http://schemas.openxmlformats.org/drawingml/2006/main" xmlns:pic="http://schemas.openxmlformats.org/drawingml/2006/picture">
            <wp:extent cx="4297680" cy="4326653"/>
            <wp:docPr id="7" name="Picture 7" descr="User supplied Image 7: Program evidence reference. Show nonblank fields in a compact read-only popup opened from Program Name. Remove Record a funding decision and every funding input or action shown here."/>
            <wp:cNvGraphicFramePr>
              <a:graphicFrameLocks noChangeAspect="1"/>
            </wp:cNvGraphicFramePr>
            <a:graphic>
              <a:graphicData uri="http://schemas.openxmlformats.org/drawingml/2006/picture">
                <pic:pic>
                  <pic:nvPicPr>
                    <pic:cNvPr id="0" name="codex-clipboard-91e133eb-95b7-453d-9bb8-bce05c7b4d37.png"/>
                    <pic:cNvPicPr/>
                  </pic:nvPicPr>
                  <pic:blipFill>
                    <a:blip r:embed="rId16"/>
                    <a:stretch>
                      <a:fillRect/>
                    </a:stretch>
                  </pic:blipFill>
                  <pic:spPr>
                    <a:xfrm>
                      <a:off x="0" y="0"/>
                      <a:ext cx="4297680" cy="4326653"/>
                    </a:xfrm>
                    <a:prstGeom prst="rect"/>
                  </pic:spPr>
                </pic:pic>
              </a:graphicData>
            </a:graphic>
          </wp:inline>
        </w:drawing>
      </w:r>
    </w:p>
    <w:p>
      <w:pPr>
        <w:pStyle w:val="Caption"/>
        <w:spacing w:after="200"/>
      </w:pPr>
      <w:r>
        <w:t>Image 7. Program evidence reference. Show nonblank fields in a compact read-only popup opened from Program Name. Remove Record a funding decision and every funding input or action shown here.</w:t>
      </w:r>
    </w:p>
    <w:p>
      <w:pPr>
        <w:keepNext/>
      </w:pPr>
      <w:r>
        <w:drawing>
          <wp:inline xmlns:a="http://schemas.openxmlformats.org/drawingml/2006/main" xmlns:pic="http://schemas.openxmlformats.org/drawingml/2006/picture">
            <wp:extent cx="6217920" cy="924100"/>
            <wp:docPr id="8" name="Picture 8" descr="User supplied Image 8: Collapsed BURF table reference. Show aggregate child and funded counts, representative band, average merit, summed financial values and evidence count. Open a row to work with its programs."/>
            <wp:cNvGraphicFramePr>
              <a:graphicFrameLocks noChangeAspect="1"/>
            </wp:cNvGraphicFramePr>
            <a:graphic>
              <a:graphicData uri="http://schemas.openxmlformats.org/drawingml/2006/picture">
                <pic:pic>
                  <pic:nvPicPr>
                    <pic:cNvPr id="0" name="codex-clipboard-f4408623-2feb-43f8-b966-a8635348b45c.png"/>
                    <pic:cNvPicPr/>
                  </pic:nvPicPr>
                  <pic:blipFill>
                    <a:blip r:embed="rId17"/>
                    <a:stretch>
                      <a:fillRect/>
                    </a:stretch>
                  </pic:blipFill>
                  <pic:spPr>
                    <a:xfrm>
                      <a:off x="0" y="0"/>
                      <a:ext cx="6217920" cy="924100"/>
                    </a:xfrm>
                    <a:prstGeom prst="rect"/>
                  </pic:spPr>
                </pic:pic>
              </a:graphicData>
            </a:graphic>
          </wp:inline>
        </w:drawing>
      </w:r>
    </w:p>
    <w:p>
      <w:pPr>
        <w:pStyle w:val="Caption"/>
        <w:spacing w:after="200"/>
      </w:pPr>
      <w:r>
        <w:t>Image 8. Collapsed BURF table reference. Show aggregate child and funded counts, representative band, average merit, summed financial values and evidence count. Open a row to work with its programs.</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Tested build baseline v3.1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Product Requirements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