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8"/>
          <w:szCs w:val="48"/>
        </w:rPr>
        <w:t xml:space="preserve">AOP 2027 Modeler</w:t>
      </w:r>
    </w:p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80" w:before="0"/>
        <w:jc w:val="center"/>
      </w:pPr>
      <w:r>
        <w:rPr>
          <w:sz w:val="22"/>
          <w:szCs w:val="22"/>
        </w:rPr>
        <w:t xml:space="preserve">Version 5.0  |  24 September 2026  |  v5.0 Rebuild + Finance Model Reform</w:t>
      </w:r>
    </w:p>
    <w:p>
      <w:pPr>
        <w:spacing w:after="80" w:before="0"/>
      </w:pPr>
      <w:r>
        <w:rPr>
          <w:b w:val="false"/>
          <w:bCs w:val="false"/>
        </w:rPr>
        <w:t xml:space="preserve">Version 5.0 supersedes v4.0. Incorporates: live source data pivot (AOP 2027 Consolidated Live.xlsx), Enterprise-wide charging exclusion from demand, Tab 6 BU cost allocation redesign with EW charging key, 4-tab Excel export redesign, Finance QA harness, DRAFT header badge, and engine adaptations for live workbook structure.</w:t>
      </w:r>
    </w:p>
    <w:p>
      <w:pPr>
        <w:spacing w:after="60" w:before="0"/>
      </w:pPr>
    </w:p>
    <w:p>
      <w:pPr>
        <w:pStyle w:val="Heading1"/>
        <w:spacing w:after="120" w:before="400"/>
      </w:pPr>
      <w:r>
        <w:t xml:space="preserve">1. Product Scope</w:t>
      </w:r>
    </w:p>
    <w:p>
      <w:pPr>
        <w:pStyle w:val="Heading2"/>
        <w:spacing w:after="80" w:before="280"/>
      </w:pPr>
      <w:r>
        <w:t xml:space="preserve">1.1 Modeler state</w:t>
      </w:r>
    </w:p>
    <w:p>
      <w:pPr>
        <w:spacing w:after="80" w:before="0"/>
      </w:pPr>
      <w:r>
        <w:rPr>
          <w:b w:val="false"/>
          <w:bCs w:val="false"/>
        </w:rPr>
        <w:t xml:space="preserve">Standalone offline HTML: AOP2027-IT-Portfolio-Scenario-Modelling-v5.0.html. Six tabs. Engine v4.5.0. Session schema 4 (5 weights). No server or database.</w:t>
      </w:r>
    </w:p>
    <w:p>
      <w:pPr>
        <w:spacing w:after="80" w:before="0"/>
      </w:pPr>
      <w:r>
        <w:rPr>
          <w:b w:val="false"/>
          <w:bCs w:val="false"/>
        </w:rPr>
        <w:t xml:space="preserve">Header badge: RED "DRAFT / Work In Progress" visible until scenario is finalised and badge removed.</w:t>
      </w:r>
    </w:p>
    <w:p>
      <w:pPr>
        <w:pStyle w:val="Heading2"/>
        <w:spacing w:after="80" w:before="280"/>
      </w:pPr>
      <w:r>
        <w:t xml:space="preserve">1.2 Six-tab structure (unchanged from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900"/>
        <w:gridCol w:w="596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Editable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Demand Overview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KPIs: Total IT AOP, programme demand, operations, committed impact, YoY delta. Demand Split table.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Program AOP Scenarios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Levers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Four priority levers, 4 presets, 5-component merit framework, prioritized/unfunded tables, decision log.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 Wide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Yes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programmes. Filters, bubble chart, group controls. Shares scenario with Tab 4.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BU Led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Yes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BU programmes. Same layout as Tab 3.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Operations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TCO 3-level hierarchy, 167-service catalog. Pre-aligned costs.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AOP 2027: One Portfolio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Total IT AOP KPIs, Org IT Cost Allocation (BU clusters), Finance QA harness, Finalise.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t xml:space="preserve">1.3 Source authority (v5.0 CHANGE)</w:t>
      </w:r>
    </w:p>
    <w:p>
      <w:pPr>
        <w:spacing w:after="80" w:before="0"/>
      </w:pPr>
      <w:r>
        <w:rPr>
          <w:b/>
          <w:bCs/>
        </w:rPr>
        <w:t xml:space="preserve">Authoritative demand: AOP 2027 Consolidated Live.xlsx (SharePoint ITPFM).</w:t>
      </w:r>
    </w:p>
    <w:p>
      <w:pPr>
        <w:spacing w:after="80" w:before="0"/>
      </w:pPr>
      <w:r>
        <w:rPr>
          <w:b w:val="false"/>
          <w:bCs w:val="false"/>
        </w:rPr>
        <w:t xml:space="preserve">SHA-256: be5d9fad06f8cb4a3633e011c3b0c2ae8b97c3879ab329be57e8a3495567031e</w:t>
      </w:r>
    </w:p>
    <w:p>
      <w:pPr>
        <w:spacing w:after="80" w:before="0"/>
      </w:pPr>
      <w:r>
        <w:rPr>
          <w:b w:val="false"/>
          <w:bCs w:val="false"/>
        </w:rPr>
        <w:t xml:space="preserve">472 demand rows after exclusion of Enterprise-wide charging row. 285.1 M€ total demand.</w:t>
      </w:r>
    </w:p>
    <w:p>
      <w:pPr>
        <w:spacing w:after="80" w:before="0"/>
      </w:pPr>
      <w:r>
        <w:rPr>
          <w:b w:val="false"/>
          <w:bCs w:val="false"/>
        </w:rPr>
        <w:t xml:space="preserve">EXCLUDED from demand: Enterprise-wide charging row (Item: BU, 40 M€, Type III). Stored as ewChargingKey. Used ONLY for Tab 6 EW allocation split.</w:t>
      </w:r>
    </w:p>
    <w:p>
      <w:pPr>
        <w:pStyle w:val="Heading1"/>
        <w:spacing w:after="120" w:before="400"/>
      </w:pPr>
      <w:r>
        <w:t xml:space="preserve">2. Finance Model — v5.0 Changes</w:t>
      </w:r>
    </w:p>
    <w:p>
      <w:pPr>
        <w:pStyle w:val="Heading2"/>
        <w:spacing w:after="80" w:before="280"/>
      </w:pPr>
      <w:r>
        <w:t xml:space="preserve">2.1 Enterprise-Wide Charging Exclusion (NEW — FIN 01)</w:t>
      </w:r>
    </w:p>
    <w:p>
      <w:pPr>
        <w:spacing w:after="80" w:before="0"/>
      </w:pPr>
      <w:r>
        <w:rPr>
          <w:b w:val="false"/>
          <w:bCs w:val="false"/>
        </w:rPr>
        <w:t xml:space="preserve">The "Enterprise-wide charging" programme (Item No: BU, 40 M€, Type III) is permanently excluded from all demand totals, prioritisation ranking, scoring, exports, and stage buckets.</w:t>
      </w:r>
    </w:p>
    <w:p>
      <w:pPr>
        <w:spacing w:after="60" w:before="0"/>
        <w:ind w:left="360"/>
      </w:pPr>
      <w:r>
        <w:t xml:space="preserve">Engine rule: normalize() separates this row before creating programme records.</w:t>
      </w:r>
    </w:p>
    <w:p>
      <w:pPr>
        <w:spacing w:after="60" w:before="0"/>
        <w:ind w:left="360"/>
      </w:pPr>
      <w:r>
        <w:t xml:space="preserve">Stored as session.data.ewChargingKey — accessible ONLY for Tab 6 EW allocation.</w:t>
      </w:r>
    </w:p>
    <w:p>
      <w:pPr>
        <w:spacing w:after="60" w:before="0"/>
        <w:ind w:left="360"/>
      </w:pPr>
      <w:r>
        <w:t xml:space="preserve">Demand impact: 325.1 M€ → 285.1 M€. P4 bucket: 205.0 M€ → 165.0 M€. Rows: 473 → 472.</w:t>
      </w:r>
    </w:p>
    <w:p>
      <w:pPr>
        <w:spacing w:after="60" w:before="0"/>
        <w:ind w:left="360"/>
      </w:pPr>
      <w:r>
        <w:t xml:space="preserve">This row must never appear in any programme list, chart, export, or totals calculation.</w:t>
      </w:r>
    </w:p>
    <w:p>
      <w:pPr>
        <w:pStyle w:val="Heading2"/>
        <w:spacing w:after="80" w:before="280"/>
      </w:pPr>
      <w:r>
        <w:t xml:space="preserve">2.2 EW Charge to BU Calculation (NEW — FIN 02, FIN 03)</w:t>
      </w:r>
    </w:p>
    <w:p>
      <w:pPr>
        <w:spacing w:after="80" w:before="0"/>
      </w:pPr>
      <w:r>
        <w:rPr>
          <w:b w:val="false"/>
          <w:bCs w:val="false"/>
        </w:rPr>
        <w:t xml:space="preserve">EW-stream funded demand is allocated to BU clusters using the Enterprise-wide charging key.</w:t>
      </w:r>
    </w:p>
    <w:p>
      <w:pPr>
        <w:spacing w:after="80" w:before="0"/>
      </w:pPr>
      <w:r>
        <w:rPr>
          <w:b/>
          <w:bCs/>
        </w:rPr>
        <w:t xml:space="preserve">Allocation rule:</w:t>
      </w:r>
    </w:p>
    <w:p>
      <w:pPr>
        <w:spacing w:after="60" w:before="0"/>
        <w:ind w:left="360"/>
      </w:pPr>
      <w:r>
        <w:t xml:space="preserve">EW Charge to BU cluster C = Total EW Prioritised Allocation × (sum of charging fractions for C / sum of all charging fractions)</w:t>
      </w:r>
    </w:p>
    <w:p>
      <w:pPr>
        <w:spacing w:after="60" w:before="0"/>
        <w:ind w:left="360"/>
      </w:pPr>
      <w:r>
        <w:t xml:space="preserve">Fractions are read from % columns in the BU sheet of the live workbook (e.g. HPM ≈ 0.0105%).</w:t>
      </w:r>
    </w:p>
    <w:p>
      <w:pPr>
        <w:spacing w:after="60" w:before="0"/>
        <w:ind w:left="360"/>
      </w:pPr>
      <w:r>
        <w:t xml:space="preserve">Percentages remain constant — only the funded amount (numerator) changes when scenario changes.</w:t>
      </w:r>
    </w:p>
    <w:p>
      <w:pPr>
        <w:spacing w:after="60" w:before="0"/>
        <w:ind w:left="360"/>
      </w:pPr>
      <w:r>
        <w:t xml:space="preserve">When % columns are absent (old workbook): EW total shown as a summary line; per-BU column hidden.</w:t>
      </w:r>
    </w:p>
    <w:p>
      <w:pPr>
        <w:pStyle w:val="Heading2"/>
        <w:spacing w:after="80" w:before="280"/>
      </w:pPr>
      <w:r>
        <w:t xml:space="preserve">2.3 Organisation IT Cost Allocation Table — Tab 6 (CHANGED — FIN 02)</w:t>
      </w:r>
    </w:p>
    <w:p>
      <w:pPr>
        <w:spacing w:after="80" w:before="0"/>
      </w:pPr>
      <w:r>
        <w:rPr>
          <w:b w:val="false"/>
          <w:bCs w:val="false"/>
        </w:rPr>
        <w:t xml:space="preserve">Table now shows exactly 7 TCO BU clusters (matches Bill of IT structure):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BU Cluster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Includes (example orgs)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Personal Health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PH, CoE Marketing, G&amp;B, MCC, OHC, PH Other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Connected Care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Monitoring - HPM (MCH), SRC, AMD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Precision Diagnosis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MR, CT, DXR, US, PDU, PD Other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Image Guided Therapy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IGT-S, IGT-D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EI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 Informatics, Imaging Informatics, Clinical Informatics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Innovation &amp; Design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Innovation and Design Business Operations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Int. Property &amp; Standards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IP&amp;S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b w:val="false"/>
          <w:bCs w:val="false"/>
        </w:rPr>
        <w:t xml:space="preserve">Table columns: Organisation | BU Led (M€) | Enterprise Wide (M€) | Operations Cost (M€) | Total IT Charge (M€)</w:t>
      </w:r>
    </w:p>
    <w:p>
      <w:pPr>
        <w:spacing w:after="80" w:before="0"/>
      </w:pPr>
      <w:r>
        <w:rPr>
          <w:b w:val="false"/>
          <w:bCs w:val="false"/>
        </w:rPr>
        <w:t xml:space="preserve">Grand Total identity (must hold ±0.01 M€): BU Led + Enterprise Wide = Programme AOP; Grand Total = Programme AOP + Operations AOP = Total IT AOP.</w:t>
      </w:r>
    </w:p>
    <w:p>
      <w:pPr>
        <w:pStyle w:val="Heading2"/>
        <w:spacing w:after="80" w:before="280"/>
      </w:pPr>
      <w:r>
        <w:t xml:space="preserve">2.4 Finance QA Harness — Tab 6 (NEW — FIN 04)</w:t>
      </w:r>
    </w:p>
    <w:p>
      <w:pPr>
        <w:spacing w:after="80" w:before="0"/>
      </w:pPr>
      <w:r>
        <w:rPr>
          <w:b w:val="false"/>
          <w:bCs w:val="false"/>
        </w:rPr>
        <w:t xml:space="preserve">Inline QA panel rendered on every load of Tab 6. 7 checks (5 critical, 2 warning):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466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Pass Criterion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+ BU streams = Programme allocation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±0.001 M€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allocation % present on funded EW programmes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Warning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100% coverage expected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allocation % sums to 100% per programme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±1%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charges distributed = total EW allocation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±0.01 M€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Grand Total = Programme AOP + Operations AOP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Must equal Total IT AOP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 negative funded amounts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0 tolerance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Funded count = rows with final &gt; 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Exact match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400"/>
      </w:pPr>
      <w:r>
        <w:t xml:space="preserve">3. Data Source Adaptations (v5.0)</w:t>
      </w:r>
    </w:p>
    <w:p>
      <w:pPr>
        <w:pStyle w:val="Heading2"/>
        <w:spacing w:after="80" w:before="280"/>
      </w:pPr>
      <w:r>
        <w:t xml:space="preserve">3.1 Live workbook structural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15926 (archived)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Consolidated Live (active)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Sheet names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and Bu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and BU (uppercase)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Header row index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0 (first row)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 (0-indexed)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Data start row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Qualitative Benefit column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Quantified Benefits (details)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Qualitative Benefit (col 19)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Payback Period column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Not present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Payback Period (col 21)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Carry Over Baselined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Not present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Carry Over Baselined (col 17)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Allocation % columns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Not present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BU sub-org % cols 60–109, fractions 0–1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t xml:space="preserve">3.2 Engine adaptations (DATA 08–11)</w:t>
      </w:r>
    </w:p>
    <w:p>
      <w:pPr>
        <w:spacing w:after="60" w:before="0"/>
        <w:ind w:left="360"/>
      </w:pPr>
      <w:r>
        <w:t xml:space="preserve">Header auto-detection (DATA 09): normalize() scans first 10 rows for "Item No." to find header row.</w:t>
      </w:r>
    </w:p>
    <w:p>
      <w:pPr>
        <w:spacing w:after="60" w:before="0"/>
        <w:ind w:left="360"/>
      </w:pPr>
      <w:r>
        <w:t xml:space="preserve">Allocation % detection (DATA 10): columns ending in "%" (excl. Capitalization) on all sheets → r.allocations.</w:t>
      </w:r>
    </w:p>
    <w:p>
      <w:pPr>
        <w:spacing w:after="60" w:before="0"/>
        <w:ind w:left="360"/>
      </w:pPr>
      <w:r>
        <w:t xml:space="preserve">Zero-ID filtering (DATA 11): rows with numeric 0 in Item No. treated as blank.</w:t>
      </w:r>
    </w:p>
    <w:p>
      <w:pPr>
        <w:spacing w:after="60" w:before="0"/>
        <w:ind w:left="360"/>
      </w:pPr>
      <w:r>
        <w:t xml:space="preserve">Column aliases: "waste band" for Decision Band; "qualitative benefit" for benefit details.</w:t>
      </w:r>
    </w:p>
    <w:p>
      <w:pPr>
        <w:pStyle w:val="Heading1"/>
        <w:spacing w:after="120" w:before="400"/>
      </w:pPr>
      <w:r>
        <w:t xml:space="preserve">4. Prioritization Logic (reference v4.0 — no changes)</w:t>
      </w:r>
    </w:p>
    <w:p>
      <w:pPr>
        <w:spacing w:after="80" w:before="0"/>
      </w:pPr>
      <w:r>
        <w:rPr>
          <w:b w:val="false"/>
          <w:bCs w:val="false"/>
        </w:rPr>
        <w:t xml:space="preserve">See PRD v4.0 Section 2 for full specification. No changes to the prioritization algorithm in v5.0.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60"/>
        <w:gridCol w:w="1860"/>
        <w:gridCol w:w="404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Demand (Optimal)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Funded (Optimal)</w:t>
            </w:r>
          </w:p>
        </w:tc>
        <w:tc>
          <w:tcPr>
            <w:tcW w:type="dxa" w:w="4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Gate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P1: Legal &amp; Compliance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37.6 M€ (42 progs)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37.6 M€ (100%)</w:t>
            </w:r>
          </w:p>
        </w:tc>
        <w:tc>
          <w:tcPr>
            <w:tcW w:type="dxa" w:w="4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CCB or Must-Do P1/P2 + LFR Name + LFR Year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P2: High-Value Carry-Overs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27.7 M€ (23 progs)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16.8 M€</w:t>
            </w:r>
          </w:p>
        </w:tc>
        <w:tc>
          <w:tcPr>
            <w:tcW w:type="dxa" w:w="4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Carry Over + Baselined &gt; 0 + Priority Must Do/Have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P3: Sustain &amp; Hygiene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55.0 M€ (138 progs)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20.0 M€ (20M€ allocation)</w:t>
            </w:r>
          </w:p>
        </w:tc>
        <w:tc>
          <w:tcPr>
            <w:tcW w:type="dxa" w:w="4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Change &amp; Sustain or CI/Upgrades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P4: Value Portfolio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165.0 M€ (269 progs)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25.8 M€</w:t>
            </w:r>
          </w:p>
        </w:tc>
        <w:tc>
          <w:tcPr>
            <w:tcW w:type="dxa" w:w="4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 remaining — ranked by evidence + merit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400"/>
      </w:pPr>
      <w:r>
        <w:t xml:space="preserve">5. Merit Scoring Framework (reference v4.0 — no changes)</w:t>
      </w:r>
    </w:p>
    <w:p>
      <w:pPr>
        <w:spacing w:after="80" w:before="0"/>
      </w:pPr>
      <w:r>
        <w:rPr>
          <w:b w:val="false"/>
          <w:bCs w:val="false"/>
        </w:rPr>
        <w:t xml:space="preserve">Five components. Default weights: Benefit 40%, Priority 25%, Consequence 15%, Band 10%, Payback 10%. Session schema 4. See PRD v4.0 Section 3 for full tier tables and hybrid benefit scoring rules.</w:t>
      </w:r>
    </w:p>
    <w:p>
      <w:pPr>
        <w:pStyle w:val="Heading1"/>
        <w:spacing w:after="120" w:before="400"/>
      </w:pPr>
      <w:r>
        <w:t xml:space="preserve">6. Excel Export — v5.0 Four-Tab Structure (CHANGED — EXCEL 01)</w:t>
      </w:r>
    </w:p>
    <w:p>
      <w:pPr>
        <w:spacing w:after="80" w:before="0"/>
      </w:pPr>
      <w:r>
        <w:rPr>
          <w:b w:val="false"/>
          <w:bCs w:val="false"/>
        </w:rPr>
        <w:t xml:space="preserve">Both "Export inclusions · Excel" and "Export full · Excel" buttons produce the same 4-sheet workbook.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500"/>
        <w:gridCol w:w="63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Sheet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Cols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1. Scenario Overview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~47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5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Total IT AOP · Ops/Programme split · P1–P4 stage breakdown · BU cost allocation table · Preset comparison across 4 scenarios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2. Programmes Prioritised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149 (funded)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35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Funded rows sorted by stage/merit · 35 cols incl. Benefit Source, Payback Years, LFR Tier, Has LFR Evidence, Baselined M€, Carry Fund Cap M€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3. Operations Overview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~209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6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Ops KPIs · TCO by BU cluster with own/region/function splits · Full 167-service catalog with AOP2027/AOP2026/delta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4. Scoring Evidence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473 (all)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31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 472 programmes · 5-component weighted scores · Benefit source path · Qualitative tier · Payback detail · Raw points per component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400"/>
      </w:pPr>
      <w:r>
        <w:t xml:space="preserve">7. Header and UI — v5.0 (NEW — UI 01)</w:t>
      </w:r>
    </w:p>
    <w:p>
      <w:pPr>
        <w:pStyle w:val="Heading2"/>
        <w:spacing w:after="80" w:before="280"/>
      </w:pPr>
      <w:r>
        <w:t xml:space="preserve">7.1 DRAFT Badge</w:t>
      </w:r>
    </w:p>
    <w:p>
      <w:pPr>
        <w:spacing w:after="80" w:before="0"/>
      </w:pPr>
      <w:r>
        <w:rPr>
          <w:b w:val="false"/>
          <w:bCs w:val="false"/>
        </w:rPr>
        <w:t xml:space="preserve">"DRAFT / Work In Progress" displayed in red (#C4202A) in the header right area. CSS class: .draft-badge.</w:t>
      </w:r>
    </w:p>
    <w:p>
      <w:pPr>
        <w:spacing w:after="60" w:before="0"/>
        <w:ind w:left="360"/>
      </w:pPr>
      <w:r>
        <w:t xml:space="preserve">To remove for final publication: delete &lt;span class="draft-badge"&gt; from the HTML build template.</w:t>
      </w:r>
    </w:p>
    <w:p>
      <w:pPr>
        <w:spacing w:after="60" w:before="0"/>
        <w:ind w:left="360"/>
      </w:pPr>
      <w:r>
        <w:t xml:space="preserve">Technical status string (scenario name · revision · source hash) is retained in visually-hidden #status element for dashboard internal logic.</w:t>
      </w:r>
    </w:p>
    <w:p>
      <w:pPr>
        <w:pStyle w:val="Heading1"/>
        <w:spacing w:after="120" w:before="400"/>
      </w:pPr>
      <w:r>
        <w:t xml:space="preserve">8. QA and Acceptance Criteria</w:t>
      </w:r>
    </w:p>
    <w:p>
      <w:pPr>
        <w:spacing w:after="80" w:before="0"/>
      </w:pPr>
      <w:r>
        <w:rPr>
          <w:b/>
          <w:bCs/>
        </w:rPr>
        <w:t xml:space="preserve">QA Status: v5.0 — 12/12 automated checks PASS.</w:t>
      </w:r>
    </w:p>
    <w:p>
      <w:pPr>
        <w:pStyle w:val="Heading2"/>
        <w:spacing w:after="80" w:before="280"/>
      </w:pPr>
      <w:r>
        <w:t xml:space="preserve">8.1 Automated scenario QA (12 checks, all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+ BU = Portfolio allocation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EW 52.277 + BU 47.722 = 100.000 M€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Stage allocations sum = Portfolio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100.000 M€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Requested = Final + Unfunded (per row)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all 472 rows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Allocation ≤ Total AOP × (1 + tolerance)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99.999 ≤ 100.000 M€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Enterprise-wide charging excluded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40 M€ key preserved, not in rows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CCB exceptions EW-11/65/71 present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all 3 found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 scores 0–100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range 5.0–90.0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5 merit components on all rows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0 gaps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benefitSource on all rows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0 gaps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paybackYears field present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0 gaps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 duplicate IDs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472 rows, 472 unique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Override count consistent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PASS — 0 overrides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t xml:space="preserve">8.2 Excel export check</w:t>
      </w:r>
    </w:p>
    <w:p>
      <w:pPr>
        <w:spacing w:after="80" w:before="0"/>
      </w:pPr>
      <w:r>
        <w:rPr>
          <w:b w:val="false"/>
          <w:bCs w:val="false"/>
        </w:rPr>
        <w:t xml:space="preserve">4/4 export variants PASS. All 4 sheets generate without errors.</w:t>
      </w:r>
    </w:p>
    <w:p>
      <w:pPr>
        <w:pStyle w:val="Heading2"/>
        <w:spacing w:after="80" w:before="280"/>
      </w:pPr>
      <w:r>
        <w:t xml:space="preserve">8.3 6-tab render check</w:t>
      </w:r>
    </w:p>
    <w:p>
      <w:pPr>
        <w:spacing w:after="80" w:before="0"/>
      </w:pPr>
      <w:r>
        <w:rPr>
          <w:b w:val="false"/>
          <w:bCs w:val="false"/>
        </w:rPr>
        <w:t xml:space="preserve">All 6 tabs render, zero console errors on fresh page load from v5.0 HTML.</w:t>
      </w:r>
    </w:p>
    <w:p>
      <w:pPr>
        <w:pStyle w:val="Heading1"/>
        <w:spacing w:after="120" w:before="400"/>
      </w:pPr>
      <w:r>
        <w:t xml:space="preserve">9. Requirement Delta: v4.0 → v5.0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54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Change Type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 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Enterprise-wide charging exclusion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Enterprise-wide charging row (40 M€) permanently excluded from all demand totals. Stored as ewChargingKey.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 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Tab 6: BU cluster allocation table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CHANGED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Allocation table shows 7 TCO BU clusters. Columns: BU Led, Enterprise Wide, Operations, Total IT Charge.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 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charge calculation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allocation distributed to BU clusters using charging key fractions. Amounts recalculate with scenario.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 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Finance QA harness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Inline 7-check QA panel in Tab 6. Grand total reconciliation on every page load.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DATA 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Live workbook as source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CHANGED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Pivot from 15926 archive to AOP 2027 Consolidated Live.xlsx. 472 rows, 285.1 M€.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DATA 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Header auto-detection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Engine scans first 10 rows for Item No. to locate header row (row 4 in live workbook).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DATA 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Allocation % column detection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Engine detects % columns on all sheets; stores as r.allocations for EW split.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DATA 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Zero-ID row filtering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Rows with numeric 0 in Item No. treated as blank to prevent duplicate ID errors.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EXCEL 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4-tab Excel redesign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CHANGED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7 flat sheets → 4 purpose-built: Scenario Overview, Programmes Prioritised, Operations Overview, Scoring Evidence.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UI 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DRAFT badge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NEW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Red "DRAFT / Work In Progress" badge in header. Status text visually hidden but preserved in DOM.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AOP 2027 Modeler PRD v5.0</dc:title>
  <dc:creator>Claude Code</dc:creator>
  <cp:lastModifiedBy>Un-named</cp:lastModifiedBy>
  <cp:revision>1</cp:revision>
  <dcterms:created xsi:type="dcterms:W3CDTF">2026-09-24T15:53:18.395Z</dcterms:created>
  <dcterms:modified xsi:type="dcterms:W3CDTF">2026-09-24T15:53:18.398Z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