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4.4 | 22 September 2026 | One Portfolio Build</w:t>
      </w:r>
    </w:p>
    <w:p/>
    <w:p>
      <w:r>
        <w:t>The One Portfolio Dashboard brings together IT Programme demand prioritisation and Operations cost allocation into one decision tool for AOP 2027 planning. Leadership sets the funding position in Program AOP Scenarios. Enterprise Wide and BU Led independently refine programme selections. Operations provides the pre-aligned cost-of-ownership view. One Portfolio brings everything together for final review, showing each Organisation what they will be charged across Programme and Operations spend.</w:t>
      </w:r>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rPr>
                <w:sz w:val="18"/>
              </w:rPr>
              <w:t>Programme funding and Operations TCO shown side by side at Organisation level in One Portfolio. Grand Total reconciles to 469.7 M€ Operations + funded Programme AOP.</w:t>
            </w:r>
          </w:p>
        </w:tc>
      </w:tr>
      <w:tr>
        <w:tc>
          <w:tcPr>
            <w:tcW w:type="dxa" w:w="4320"/>
          </w:tcPr>
          <w:p>
            <w:r>
              <w:rPr>
                <w:sz w:val="18"/>
              </w:rPr>
              <w:t>Four-priority funded portfolio</w:t>
            </w:r>
          </w:p>
        </w:tc>
        <w:tc>
          <w:tcPr>
            <w:tcW w:type="dxa" w:w="4320"/>
          </w:tcPr>
          <w:p>
            <w:r>
              <w:rPr>
                <w:sz w:val="18"/>
              </w:rPr>
              <w:t>New four-priority structure allocates whole programmes within 100 M€. Ranked backlog with funded/unfunded status and cost-of-not-doing for every programme.</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 from the Bill of IT.</w:t>
            </w:r>
          </w:p>
        </w:tc>
      </w:tr>
      <w:tr>
        <w:tc>
          <w:tcPr>
            <w:tcW w:type="dxa" w:w="4320"/>
          </w:tcPr>
          <w:p>
            <w:r>
              <w:rPr>
                <w:sz w:val="18"/>
              </w:rPr>
              <w:t>Evidence-driven scoring</w:t>
            </w:r>
          </w:p>
        </w:tc>
        <w:tc>
          <w:tcPr>
            <w:tcW w:type="dxa" w:w="4320"/>
          </w:tcPr>
          <w:p>
            <w:r>
              <w:rPr>
                <w:sz w:val="18"/>
              </w:rPr>
              <w:t>Merit scoring includes Qualitative Benefits and Payback Period. Validation runs on every data refresh to confirm scoring integrity.</w:t>
            </w:r>
          </w:p>
        </w:tc>
      </w:tr>
      <w:tr>
        <w:tc>
          <w:tcPr>
            <w:tcW w:type="dxa" w:w="4320"/>
          </w:tcPr>
          <w:p>
            <w:r>
              <w:rPr>
                <w:sz w:val="18"/>
              </w:rPr>
              <w:t>Conference readiness</w:t>
            </w:r>
          </w:p>
        </w:tc>
        <w:tc>
          <w:tcPr>
            <w:tcW w:type="dxa" w:w="4320"/>
          </w:tcPr>
          <w:p>
            <w:r>
              <w:rPr>
                <w:sz w:val="18"/>
              </w:rPr>
              <w:t>Organisation-level allocation table in One Portfolio shows each BU leader their total IT charge (Programme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using four priority levers, accept the final portfolio position and variance.</w:t>
            </w:r>
          </w:p>
        </w:tc>
      </w:tr>
      <w:tr>
        <w:tc>
          <w:tcPr>
            <w:tcW w:type="dxa" w:w="4320"/>
          </w:tcPr>
          <w:p>
            <w:r>
              <w:rPr>
                <w:sz w:val="18"/>
              </w:rPr>
              <w:t>BU Representatives</w:t>
            </w:r>
          </w:p>
        </w:tc>
        <w:tc>
          <w:tcPr>
            <w:tcW w:type="dxa" w:w="4320"/>
          </w:tcPr>
          <w:p>
            <w:r>
              <w:rPr>
                <w:sz w:val="18"/>
              </w:rPr>
              <w:t>Review their Organisation’s Programme demand in BU Led, include or exclude programmes, record prioritised amounts.</w:t>
            </w:r>
          </w:p>
        </w:tc>
      </w:tr>
      <w:tr>
        <w:tc>
          <w:tcPr>
            <w:tcW w:type="dxa" w:w="4320"/>
          </w:tcPr>
          <w:p>
            <w:r>
              <w:rPr>
                <w:sz w:val="18"/>
              </w:rPr>
              <w:t>Global Portfolio Leaders</w:t>
            </w:r>
          </w:p>
        </w:tc>
        <w:tc>
          <w:tcPr>
            <w:tcW w:type="dxa" w:w="4320"/>
          </w:tcPr>
          <w:p>
            <w:r>
              <w:rPr>
                <w:sz w:val="18"/>
              </w:rPr>
              <w:t>Review Enterprise-Wide demand for their Function in Enterprise Wide, confirm priorities and committed impact.</w:t>
            </w:r>
          </w:p>
        </w:tc>
      </w:tr>
      <w:tr>
        <w:tc>
          <w:tcPr>
            <w:tcW w:type="dxa" w:w="4320"/>
          </w:tcPr>
          <w:p>
            <w:r>
              <w:rPr>
                <w:sz w:val="18"/>
              </w:rPr>
              <w:t>Finance</w:t>
            </w:r>
          </w:p>
        </w:tc>
        <w:tc>
          <w:tcPr>
            <w:tcW w:type="dxa" w:w="4320"/>
          </w:tcPr>
          <w:p>
            <w:r>
              <w:rPr>
                <w:sz w:val="18"/>
              </w:rPr>
              <w:t>Reconcile Programme demand, Operations TCO, scenario funding and the approved envelope. Validate BU-level charge-outs for Type 1, Type 2, Type 3 and Operations.</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workflow. Each step corresponds to a tab. The steps are connected through a shared scenario but independently accessible.</w:t>
      </w:r>
    </w:p>
    <w:p/>
    <w:p>
      <w:r>
        <w:t xml:space="preserve">  [1. Demand Overview] → [2. Program AOP Scenarios] → [3. Enterprise Wide] → [4. BU Led] → [5. Operations] → [6. One Portfolio]</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rPr>
                <w:sz w:val="18"/>
              </w:rPr>
              <w:t>Read-only executive summary of Programme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rPr>
                <w:sz w:val="18"/>
              </w:rPr>
              <w:t>Set the 100 M€ envelope, adjust four priority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rPr>
                <w:sz w:val="18"/>
              </w:rPr>
              <w:t>Review and edit Enterprise-Wide programme selections. Inline include/exclude and amount changes.</w:t>
            </w:r>
          </w:p>
        </w:tc>
        <w:tc>
          <w:tcPr>
            <w:tcW w:type="dxa" w:w="2160"/>
          </w:tcPr>
          <w:p>
            <w:r>
              <w:rPr>
                <w:sz w:val="18"/>
              </w:rPr>
              <w:t>Yes — programme decisions</w:t>
            </w:r>
          </w:p>
        </w:tc>
      </w:tr>
      <w:tr>
        <w:tc>
          <w:tcPr>
            <w:tcW w:type="dxa" w:w="2160"/>
          </w:tcPr>
          <w:p>
            <w:r>
              <w:rPr>
                <w:sz w:val="18"/>
              </w:rPr>
              <w:t>4</w:t>
            </w:r>
          </w:p>
        </w:tc>
        <w:tc>
          <w:tcPr>
            <w:tcW w:type="dxa" w:w="2160"/>
          </w:tcPr>
          <w:p>
            <w:r>
              <w:rPr>
                <w:sz w:val="18"/>
              </w:rPr>
              <w:t>BU Led</w:t>
            </w:r>
          </w:p>
        </w:tc>
        <w:tc>
          <w:tcPr>
            <w:tcW w:type="dxa" w:w="2160"/>
          </w:tcPr>
          <w:p>
            <w:r>
              <w:rPr>
                <w:sz w:val="18"/>
              </w:rPr>
              <w:t>Review and edit BU-Led programme selections. Same editing capability as Enterprise Wide.</w:t>
            </w:r>
          </w:p>
        </w:tc>
        <w:tc>
          <w:tcPr>
            <w:tcW w:type="dxa" w:w="2160"/>
          </w:tcPr>
          <w:p>
            <w:r>
              <w:rPr>
                <w:sz w:val="18"/>
              </w:rPr>
              <w:t>Yes — programme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One Portfolio</w:t>
            </w:r>
          </w:p>
        </w:tc>
        <w:tc>
          <w:tcPr>
            <w:tcW w:type="dxa" w:w="2160"/>
          </w:tcPr>
          <w:p>
            <w:r>
              <w:rPr>
                <w:sz w:val="18"/>
              </w:rPr>
              <w:t>Combined Programme + Operations view. Organisation-level BU charge allocation. Finalise the portfolio.</w:t>
            </w:r>
          </w:p>
        </w:tc>
        <w:tc>
          <w:tcPr>
            <w:tcW w:type="dxa" w:w="2160"/>
          </w:tcPr>
          <w:p>
            <w:r>
              <w:rPr>
                <w:sz w:val="18"/>
              </w:rPr>
              <w:t>No — finalise only</w:t>
            </w:r>
          </w:p>
        </w:tc>
      </w:tr>
    </w:tbl>
    <w:p>
      <w:pPr>
        <w:pStyle w:val="Heading2"/>
      </w:pPr>
      <w:r>
        <w:t>3.3 End-to-End Decision Flow</w:t>
      </w:r>
    </w:p>
    <w:p>
      <w:r>
        <w:t>The following describes the complete decision journey from demand assessment to final portfolio sign-off.</w:t>
      </w:r>
    </w:p>
    <w:p>
      <w:r>
        <w:rPr>
          <w:b/>
        </w:rPr>
        <w:t>Step 1: Assess the demand landscape</w:t>
      </w:r>
    </w:p>
    <w:p>
      <w:r>
        <w:t>Open Demand Overview. Review the total Programme demand (521 programmes, 280.2 M€) against the 100 M€ envelope. Review Operations demand (469.7 M€, pre-aligned). Identify data quality gaps: Payback Period and Qualitative/Quantitative Benefits are due by 24 September. Examine the Demand Split by Organisation table to understand which Organisations carry the largest combined IT demand.</w:t>
      </w:r>
    </w:p>
    <w:p>
      <w:r>
        <w:rPr>
          <w:b/>
        </w:rPr>
        <w:t>Step 2: Set the funding position</w:t>
      </w:r>
    </w:p>
    <w:p>
      <w:r>
        <w:t>Move to Program AOP Scenarios. Confirm the Total AOP envelope (default 100 M€). Select a scenario preset or adjust the four priority levers: (1) Legal, Fiscal and Regulatory requirements, (2) High-Value Carry-Overs, (3) Change and Sustaining Engineering, (4) Business and Function New Initiatives. The engine recalculates the entire portfolio in real time. Review the Funding Prioritization Gate to understand how demand flows through each priority level. Check the Merit Score Framework if scoring weights need adjustment.</w:t>
      </w:r>
    </w:p>
    <w:p>
      <w:r>
        <w:rPr>
          <w:b/>
        </w:rPr>
        <w:t>Step 3: Review Enterprise-Wide programmes</w:t>
      </w:r>
    </w:p>
    <w:p>
      <w:r>
        <w:t>Move to Enterprise Wide. The Global Portfolio Leader for each Function reviews their Organisation’s programmes. Use the Organisation and Platform filters to narrow the view. Review the bubble chart to identify programmes with strong merit but insufficient funding, or programmes with weak evidence that received automatic funding. Include or exclude programmes using inline checkboxes. Adjust prioritised amounts where partial scope is appropriate. Every change updates Program AOP Scenarios, BU Led and One Portfolio immediately.</w:t>
      </w:r>
    </w:p>
    <w:p>
      <w:r>
        <w:rPr>
          <w:b/>
        </w:rPr>
        <w:t>Step 4: Review BU-Led programmes</w:t>
      </w:r>
    </w:p>
    <w:p>
      <w:r>
        <w:t>Move to BU Led. The BU Representative for each Business reviews their programmes. The same editing capability applies. Changes made here do not override Enterprise-Wide decisions — both streams contribute to the same portfolio. If a BU Representative includes a programme that pushes the portfolio over budget, the variance is shown explicitly and must be accepted at finalisation.</w:t>
      </w:r>
    </w:p>
    <w:p>
      <w:r>
        <w:rPr>
          <w:b/>
        </w:rPr>
        <w:t>Step 5: Confirm Operations allocations</w:t>
      </w:r>
    </w:p>
    <w:p>
      <w:r>
        <w:t>Move to Operations. This tab is read-only because Operations costs are pre-aligned. Review the three-level TCO hierarchy to confirm each Organisation’s cost structure: BU Own Consumption, Region allocation and Function allocation. Expand sub-organisations to see individual services opted in. Use the Service Catalog to verify specific service costs and platform assignments.</w:t>
      </w:r>
    </w:p>
    <w:p>
      <w:r>
        <w:rPr>
          <w:b/>
        </w:rPr>
        <w:t>Step 6: Finalise the One Portfolio</w:t>
      </w:r>
    </w:p>
    <w:p>
      <w:r>
        <w:t>Move to One Portfolio. Review the five header KPIs: Total IT AOP, Operations AOP, Prioritised Programme AOP, Split of Programme AOP and Committed Benefit. These update live from the current scenario. Review the Organisation IT Cost Allocation table to confirm what each BU will be charged (Programme funded + Operations TCO). The bubble chart shows only funded programmes. When the portfolio position is agreed, click Finalise to freeze the scenario revision. A finalised scenario cannot be edited — fork it to create a new working draft.</w:t>
      </w:r>
    </w:p>
    <w:p>
      <w:r>
        <w:t>At any point, the user can return to any earlier tab without losing work. The shared scenario preserves all decisions, filter states are local to each tab, and every change is logged with timestamp, user action and affected programme.</w:t>
      </w:r>
    </w:p>
    <w:p>
      <w:pPr>
        <w:pStyle w:val="Heading2"/>
      </w:pPr>
      <w:r>
        <w:t>3.4 Cross-Tab Data Flow</w:t>
      </w:r>
    </w:p>
    <w:p>
      <w:r>
        <w:t>One shared scenario drives all tabs. When a user changes a lever in Program AOP Scenarios or edits a programme in Enterprise Wide or BU Led, the AOP engine recalculates the entire portfolio. The cascade is:</w:t>
      </w:r>
    </w:p>
    <w:p>
      <w:pPr>
        <w:pStyle w:val="ListBullet"/>
      </w:pPr>
      <w:r>
        <w:t>Program AOP Scenarios: KPIs, fund bar and demand tables recalculate.</w:t>
      </w:r>
    </w:p>
    <w:p>
      <w:pPr>
        <w:pStyle w:val="ListBullet"/>
      </w:pPr>
      <w:r>
        <w:t>Enterprise Wide and BU Led: Stream totals, bubble chart and table reflect the new portfolio position.</w:t>
      </w:r>
    </w:p>
    <w:p>
      <w:pPr>
        <w:pStyle w:val="ListBullet"/>
      </w:pPr>
      <w:r>
        <w:t>Demand Overview: Programme demand totals update. Operations data remains static.</w:t>
      </w:r>
    </w:p>
    <w:p>
      <w:pPr>
        <w:pStyle w:val="ListBullet"/>
      </w:pPr>
      <w:r>
        <w:t>One Portfolio: KPI tiles, allocation table and funded-only bubble chart update.</w:t>
      </w:r>
    </w:p>
    <w:p>
      <w:pPr>
        <w:pStyle w:val="ListBullet"/>
      </w:pPr>
      <w:r>
        <w:t>Operations: Unaffected. Operations costs are pre-aligned and do not change with Programme decisions.</w:t>
      </w:r>
    </w:p>
    <w:p/>
    <w:p>
      <w:r>
        <w:t>Filters are local to each tab. Applying a filter in Enterprise Wide does not affect BU Led or any other tab. Filters change what is displayed; they never change funding.</w:t>
      </w:r>
    </w:p>
    <w:p>
      <w:pPr>
        <w:pStyle w:val="Heading1"/>
      </w:pPr>
      <w:r>
        <w:t>4. Per-Tab Detailed Specification</w:t>
      </w:r>
    </w:p>
    <w:p>
      <w:pPr>
        <w:pStyle w:val="Heading2"/>
      </w:pPr>
      <w:r>
        <w:t>4.1 Demand Overview</w:t>
      </w:r>
    </w:p>
    <w:p>
      <w:r>
        <w:t>A read-only executive summary showing the full demand landscape before any prioritisation decisions.</w:t>
      </w:r>
    </w:p>
    <w:p>
      <w:pPr>
        <w:pStyle w:val="Heading3"/>
      </w:pPr>
      <w:r>
        <w:t>Section 1: Executive Cards (three-column grid)</w:t>
      </w:r>
    </w:p>
    <w:p>
      <w:r>
        <w:rPr>
          <w:b/>
        </w:rPr>
        <w:t>Programme Demand Overview card:</w:t>
      </w:r>
    </w:p>
    <w:p>
      <w:pPr>
        <w:pStyle w:val="ListBullet"/>
      </w:pPr>
      <w:r>
        <w:t>Total Programme Demand: 521 programmes, 280.2 M€.</w:t>
      </w:r>
    </w:p>
    <w:p>
      <w:pPr>
        <w:pStyle w:val="ListBullet"/>
      </w:pPr>
      <w:r>
        <w:t>Enterprise Wide: 180 programmes, 111.7 M€.</w:t>
      </w:r>
    </w:p>
    <w:p>
      <w:pPr>
        <w:pStyle w:val="ListBullet"/>
      </w:pPr>
      <w:r>
        <w:t>BU Led: 341 programmes, 168.5 M€.</w:t>
      </w:r>
    </w:p>
    <w:p>
      <w:pPr>
        <w:pStyle w:val="ListBullet"/>
      </w:pPr>
      <w:r>
        <w:t>Committed Impact (Proposed): Shows total quantified benefits of funded programmes, split by BU Led and EW.</w:t>
      </w:r>
    </w:p>
    <w:p>
      <w:r>
        <w:rPr>
          <w:b/>
        </w:rPr>
        <w:t>Operations Overview (Pre-aligned) card:</w:t>
      </w:r>
    </w:p>
    <w:p>
      <w:pPr>
        <w:pStyle w:val="ListBullet"/>
      </w:pPr>
      <w:r>
        <w:t>Total Operations Demand: 167 services, 469.7 M€.</w:t>
      </w:r>
    </w:p>
    <w:p>
      <w:pPr>
        <w:pStyle w:val="ListBullet"/>
      </w:pPr>
      <w:r>
        <w:t>2026 Run-Rate: 470.7 M€.</w:t>
      </w:r>
    </w:p>
    <w:p>
      <w:pPr>
        <w:pStyle w:val="ListBullet"/>
      </w:pPr>
      <w:r>
        <w:t>Cost breakdown grid: BU Own Consumption 317.6 M€, From Regions 63.5 M€, From Functions 88.5 M€, Total 469.7 M€.</w:t>
      </w:r>
    </w:p>
    <w:p>
      <w:r>
        <w:rPr>
          <w:b/>
        </w:rPr>
        <w:t>Data Quality card:</w:t>
      </w:r>
    </w:p>
    <w:p>
      <w:pPr>
        <w:pStyle w:val="ListBullet"/>
      </w:pPr>
      <w:r>
        <w:t>Programmes with Benefits: count out of total.</w:t>
      </w:r>
    </w:p>
    <w:p>
      <w:pPr>
        <w:pStyle w:val="ListBullet"/>
      </w:pPr>
      <w:r>
        <w:t>Programmes with Impact: count out of total.</w:t>
      </w:r>
    </w:p>
    <w:p>
      <w:pPr>
        <w:pStyle w:val="ListBullet"/>
      </w:pPr>
      <w:r>
        <w:t>Payback Period: TBD, due 24 September.</w:t>
      </w:r>
    </w:p>
    <w:p>
      <w:pPr>
        <w:pStyle w:val="ListBullet"/>
      </w:pPr>
      <w:r>
        <w:t>Qualitative Benefits: TBD.</w:t>
      </w:r>
    </w:p>
    <w:p>
      <w:pPr>
        <w:pStyle w:val="ListBullet"/>
      </w:pPr>
      <w:r>
        <w:t>Quantitative Benefits: TBD.</w:t>
      </w:r>
    </w:p>
    <w:p>
      <w:r>
        <w:rPr>
          <w:b/>
          <w:color w:val="0050A0"/>
          <w:sz w:val="20"/>
        </w:rPr>
        <w:t>✉ PENDING: Data Quality Governance (Discussion with Byronie)</w:t>
      </w:r>
    </w:p>
    <w:p>
      <w:r>
        <w:rPr>
          <w:color w:val="003C78"/>
          <w:sz w:val="18"/>
        </w:rPr>
        <w:t>Recommendations for the data quality governance framework:</w:t>
        <w:br/>
        <w:t>1. Define ownership: which team is accountable for collecting Payback Period, Qualitative Benefits and Quantitative Benefits evidence for each programme.</w:t>
        <w:br/>
        <w:t>2. Define validation rules: automated checks on benefit claims (e.g., benefit/cost ratio above 5.0x triggers review, missing payback blocks automatic funding).</w:t>
        <w:br/>
        <w:t>3. Define escalation path: how gaps are reported to programme owners and what happens if the 24 September deadline is missed.</w:t>
        <w:br/>
        <w:t>4. Define refresh cadence: how often the data quality card updates after new evidence is submitted.</w:t>
        <w:br/>
        <w:t>5. Consider adding a data quality score per Organisation to track evidence completeness.</w:t>
        <w:br/>
        <w:br/>
        <w:t>Final context to be added after discussion with Byronie. The Data Quality card currently shows aggregate counts; a per-Organisation breakdown may be warranted depending on the governance model agreed.</w:t>
      </w:r>
    </w:p>
    <w:p>
      <w:pPr>
        <w:pStyle w:val="Heading3"/>
      </w:pPr>
      <w:r>
        <w:t>Section 2: Demand Split by Organisation</w:t>
      </w:r>
    </w:p>
    <w:p>
      <w:r>
        <w:t>A filterable, sortable table showing each Organisation’s Programme demand alongside its Operations cost.</w:t>
      </w:r>
    </w:p>
    <w:p>
      <w:pPr>
        <w:pStyle w:val="ListBullet"/>
      </w:pPr>
      <w:r>
        <w:t>Columns: Organisation, Programme Demand (Count), Programme Demand M€, Operations Cost M€, Total IT Demand M€.</w:t>
      </w:r>
    </w:p>
    <w:p>
      <w:pPr>
        <w:pStyle w:val="ListBullet"/>
      </w:pPr>
      <w:r>
        <w:t>Filters: Organisation (checkbox multi-select), Platform (checkbox multi-select). Counts update dynamically when cross-filtering.</w:t>
      </w:r>
    </w:p>
    <w:p>
      <w:pPr>
        <w:pStyle w:val="ListBullet"/>
      </w:pPr>
      <w:r>
        <w:t>Sort: Programme Demand, Operations Cost, Total IT — each High-to-Low and Low-to-High.</w:t>
      </w:r>
    </w:p>
    <w:p>
      <w:pPr>
        <w:pStyle w:val="ListBullet"/>
      </w:pPr>
      <w:r>
        <w:t>Clear All button resets all filters.</w:t>
      </w:r>
    </w:p>
    <w:p>
      <w:r>
        <w:rPr>
          <w:b/>
          <w:color w:val="B45000"/>
          <w:sz w:val="20"/>
        </w:rPr>
        <w:t>⚠ OUTSTANDING CHANGE: Dynamic Total Row with Filter Context</w:t>
      </w:r>
    </w:p>
    <w:p>
      <w:r>
        <w:rPr>
          <w:color w:val="785000"/>
          <w:sz w:val="18"/>
        </w:rPr>
        <w:t>When no filters are applied, the total row shows: 521 programmes | 280.2 M€ | 469.7 M€ | 749.9 M€.</w:t>
        <w:br/>
        <w:t>When filters are applied, the total row should show: X/521 programmes | YY.Y of 280.2 M€ | ZZ.Z of 469.7 M€ | total.</w:t>
        <w:br/>
        <w:t>This gives the user immediate context of what fraction of the full demand they are viewing. The denominator (521, 280.2, 469.7) remains visible as the reference baseline.</w:t>
        <w:br/>
        <w:br/>
        <w:t>STATUS: Outstanding change. Current implementation updates the total but does not show the "X of Y" format.</w:t>
      </w:r>
    </w:p>
    <w:p>
      <w:pPr>
        <w:pStyle w:val="Heading3"/>
      </w:pPr>
      <w:r>
        <w:t>Section 3: High-Level Insights</w:t>
      </w:r>
    </w:p>
    <w:p>
      <w:r>
        <w:t>Three-column table: Insight, Detail, Implication. Covers Total IT Budget, Demand vs Envelope oversubscription, and Evidence Gaps.</w:t>
      </w:r>
    </w:p>
    <w:p>
      <w:pPr>
        <w:pStyle w:val="Heading2"/>
      </w:pPr>
      <w:r>
        <w:t>4.2 Program AOP Scenarios</w:t>
      </w:r>
    </w:p>
    <w:p>
      <w:r>
        <w:t>The central prioritisation workspace. Sets the funding position for the 100 M€ Programme AOP envelope using four priority levels.</w:t>
      </w:r>
    </w:p>
    <w:p>
      <w:pPr>
        <w:pStyle w:val="Heading3"/>
      </w:pPr>
      <w:r>
        <w:t>Section 1: Executive Position</w:t>
      </w:r>
    </w:p>
    <w:p>
      <w:r>
        <w:t>Five KPI cards showing the current portfolio position:</w:t>
      </w:r>
    </w:p>
    <w:p>
      <w:pPr>
        <w:pStyle w:val="ListBullet"/>
      </w:pPr>
      <w:r>
        <w:t>Allocated AOP: Total amount funded across all four priorities.</w:t>
      </w:r>
    </w:p>
    <w:p>
      <w:pPr>
        <w:pStyle w:val="ListBullet"/>
      </w:pPr>
      <w:r>
        <w:t>Initiatives Funded: Count of programmes with a positive prioritised amount. Partial-scope count shown separately.</w:t>
      </w:r>
    </w:p>
    <w:p>
      <w:pPr>
        <w:pStyle w:val="ListBullet"/>
      </w:pPr>
      <w:r>
        <w:t>EW and BU Led Share: Percentage split of the final allocation between Enterprise Wide and BU Led streams.</w:t>
      </w:r>
    </w:p>
    <w:p>
      <w:pPr>
        <w:pStyle w:val="ListBullet"/>
      </w:pPr>
      <w:r>
        <w:t>Available AOP or Over-Budget Variance: Remaining envelope or explicit overspend amount.</w:t>
      </w:r>
    </w:p>
    <w:p>
      <w:pPr>
        <w:pStyle w:val="ListBullet"/>
      </w:pPr>
      <w:r>
        <w:t>Demand Left Unfunded: Total unfunded demand. Missing-request count shown separately.</w:t>
      </w:r>
    </w:p>
    <w:p/>
    <w:p>
      <w:r>
        <w:t>Horizontal funding bar showing the four priority stages with their allocated amounts and stage colours.</w:t>
      </w:r>
    </w:p>
    <w:p>
      <w:pPr>
        <w:pStyle w:val="Heading3"/>
      </w:pPr>
      <w:r>
        <w:t>Section 2: Funding Levers — Four Priority Structure</w:t>
      </w:r>
    </w:p>
    <w:p>
      <w:r>
        <w:rPr>
          <w:b/>
          <w:color w:val="B45000"/>
          <w:sz w:val="20"/>
        </w:rPr>
        <w:t>⚠ OUTSTANDING CHANGE: New Four-Priority Funding Structure</w:t>
      </w:r>
    </w:p>
    <w:p>
      <w:r>
        <w:rPr>
          <w:color w:val="785000"/>
          <w:sz w:val="18"/>
        </w:rPr>
        <w:t>The funding lever structure has been redesigned from the previous five-stage model to a four-priority model that reflects the agreed investment philosophy. The current engine uses the v3.5 five-stage logic and must be rebuilt to implement this new structure. Until rebuilt, the dashboard operates on the legacy five-stage model.</w:t>
        <w:br/>
        <w:br/>
        <w:t>STATUS: Outstanding change to be built. The prioritisation engine, merit scoring, preset definitions, Funding Prioritization Gate cards, and all downstream tables must be updated to reflect the four-priority structure.</w:t>
      </w:r>
    </w:p>
    <w:p>
      <w:r>
        <w:rPr>
          <w:b/>
        </w:rPr>
        <w:t>The four priority levels, in strict funding order:</w:t>
      </w:r>
    </w:p>
    <w:p/>
    <w:p>
      <w:r>
        <w:rPr>
          <w:b/>
        </w:rPr>
        <w:t>Priority 1: Legal, Fiscal and Regulatory Requirements</w:t>
      </w:r>
    </w:p>
    <w:p>
      <w:r>
        <w:t>Demand supported with evidence: quantified benefits, potential fines, business disruption risks, regulatory deadlines and compliance obligations. This priority funds work that the organisation is legally required to deliver. P1 Immediate obligations are funded first, followed by P2 Scheduled, followed by the three CCB exceptions (EW-11 Group Functions, EW-65 Supply Chain, EW-71 Finance). Within each tier, programmes with specific LFR name and compliance year evidence receive stronger preference.</w:t>
      </w:r>
    </w:p>
    <w:p>
      <w:r>
        <w:t>Funding control: Directional budget lever (e.g., 15 M€ in the recommended scenario). The engine funds whole programmes in priority order until the budget cap is reached. Unfunded LFR programmes remain in the ranked backlog with their cost-of-not-doing visible.</w:t>
      </w:r>
    </w:p>
    <w:p>
      <w:r>
        <w:rPr>
          <w:b/>
        </w:rPr>
        <w:t>Priority 2: 2026 High-Value Project Carry-Overs</w:t>
      </w:r>
    </w:p>
    <w:p>
      <w:r>
        <w:t>Finish what we started, but only if the original business case is still solid and substantial. This priority funds carry-over programmes that have demonstrated return on the investment already committed. Programmes must show data-backed evidence: quantified benefits, payback period or substantive impact assessment. The engine ranks eligible carry-overs by benefit/cost ratio (highest first), then payback presence, then consequence evidence strength, then merit score. Programmes without evidence are held outside automatic selection.</w:t>
      </w:r>
    </w:p>
    <w:p>
      <w:r>
        <w:t>Funding control: Directional budget lever (e.g., 50 M€ in the recommended scenario).</w:t>
      </w:r>
    </w:p>
    <w:p>
      <w:r>
        <w:rPr>
          <w:b/>
        </w:rPr>
        <w:t>Priority 3: Change and Sustaining Engineering</w:t>
      </w:r>
    </w:p>
    <w:p>
      <w:r>
        <w:t>Allocation per Function for necessary small modifications (under 250K€), upgrades, continuous improvement and similar operational needs. This envelope includes IT hygienic initiatives and technical debt reduction. The engine funds full eligible Sustain demand first, then allocates the remaining budget to Hygiene programmes ranked by merit.</w:t>
      </w:r>
    </w:p>
    <w:p>
      <w:r>
        <w:t>Funding control: Directional budget lever (e.g., 20 M€ in the recommended scenario).</w:t>
      </w:r>
    </w:p>
    <w:p>
      <w:r>
        <w:rPr>
          <w:b/>
        </w:rPr>
        <w:t>Priority 4: Business and Function New Initiatives</w:t>
      </w:r>
    </w:p>
    <w:p>
      <w:r>
        <w:t>Value-based projects with strong business value and enterprise impact. This priority receives the remaining capacity after Priorities 1–3. Includes decommissioning/replatforming, AI enablement and all other discretionary demand. Ranked by evidence strength first (programmes with both benefit and impact evidence preferred), then merit score.</w:t>
      </w:r>
    </w:p>
    <w:p>
      <w:r>
        <w:t>Funding control: Automatic residual allocation. No separate slider.</w:t>
      </w:r>
    </w:p>
    <w:p/>
    <w:p>
      <w:r>
        <w:t>Changing any priority lever recalculates the entire portfolio. All funded/unfunded tables, KPIs, bubble charts and the One Portfolio view update immediately. The Funding Prioritization Gate cards in Section 3 reflect the recalculated position.</w:t>
      </w:r>
    </w:p>
    <w:p>
      <w:pPr>
        <w:pStyle w:val="Heading3"/>
      </w:pPr>
      <w:r>
        <w:t>Section 3: Funding Prioritization Gate</w:t>
      </w:r>
    </w:p>
    <w:p>
      <w:r>
        <w:t>Five cards explaining the selection logic: Gate 0 (Evidence and Decision Check, no funding), then the four priority stages with their demand, target and allocation amounts. Gate 0 evaluates every request for identity, amount and recorded decision evidence. Each programme belongs to exactly one priority stage.</w:t>
      </w:r>
    </w:p>
    <w:p/>
    <w:p>
      <w:r>
        <w:t>When the user changes a priority lever in Section 2, the Gate cards update their demand, target and allocation figures in real time. This provides immediate visual feedback on how budget shifts affect each priority level.</w:t>
      </w:r>
    </w:p>
    <w:p>
      <w:pPr>
        <w:pStyle w:val="Heading3"/>
      </w:pPr>
      <w:r>
        <w:t>Section 4: Merit Score Framework (collapsed by default)</w:t>
      </w:r>
    </w:p>
    <w:p>
      <w:r>
        <w:t>The merit score determines the ranking of programmes within each priority stage. Each programme receives a score from 0 to 100 based on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Current Scoring Tiers</w:t>
            </w:r>
          </w:p>
        </w:tc>
      </w:tr>
      <w:tr>
        <w:tc>
          <w:tcPr>
            <w:tcW w:type="dxa" w:w="2880"/>
          </w:tcPr>
          <w:p>
            <w:r>
              <w:rPr>
                <w:sz w:val="18"/>
              </w:rPr>
              <w:t>Submitted Benefit</w:t>
            </w:r>
          </w:p>
        </w:tc>
        <w:tc>
          <w:tcPr>
            <w:tcW w:type="dxa" w:w="2880"/>
          </w:tcPr>
          <w:p>
            <w:r>
              <w:rPr>
                <w:sz w:val="18"/>
              </w:rPr>
              <w:t>50 points</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rPr>
                <w:sz w:val="18"/>
              </w:rPr>
              <w:t>25 points</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rPr>
                <w:sz w:val="18"/>
              </w:rPr>
              <w:t>15 points</w:t>
            </w:r>
          </w:p>
        </w:tc>
        <w:tc>
          <w:tcPr>
            <w:tcW w:type="dxa" w:w="2880"/>
          </w:tcPr>
          <w:p>
            <w:r>
              <w:rPr>
                <w:sz w:val="18"/>
              </w:rPr>
              <w:t>No evidence = 0; contextual = 5; explicit harm + stakeholder = 10; quantified/enterprise = 15.</w:t>
            </w:r>
          </w:p>
        </w:tc>
      </w:tr>
      <w:tr>
        <w:tc>
          <w:tcPr>
            <w:tcW w:type="dxa" w:w="2880"/>
          </w:tcPr>
          <w:p>
            <w:r>
              <w:rPr>
                <w:sz w:val="18"/>
              </w:rPr>
              <w:t>Decision Band</w:t>
            </w:r>
          </w:p>
        </w:tc>
        <w:tc>
          <w:tcPr>
            <w:tcW w:type="dxa" w:w="2880"/>
          </w:tcPr>
          <w:p>
            <w:r>
              <w:rPr>
                <w:sz w:val="18"/>
              </w:rPr>
              <w:t>10 points</w:t>
            </w:r>
          </w:p>
        </w:tc>
        <w:tc>
          <w:tcPr>
            <w:tcW w:type="dxa" w:w="2880"/>
          </w:tcPr>
          <w:p>
            <w:r>
              <w:rPr>
                <w:sz w:val="18"/>
              </w:rPr>
              <w:t>Healthy = 10; Contain = 6; blank/other = 0.</w:t>
            </w:r>
          </w:p>
        </w:tc>
      </w:tr>
    </w:tbl>
    <w:p>
      <w:r>
        <w:rPr>
          <w:b/>
          <w:color w:val="B45000"/>
          <w:sz w:val="20"/>
        </w:rPr>
        <w:t>⚠ OUTSTANDING CHANGE: Scoring Methodology Enhancement — Qualitative Benefits and Payback Period</w:t>
      </w:r>
    </w:p>
    <w:p>
      <w:r>
        <w:rPr>
          <w:color w:val="785000"/>
          <w:sz w:val="18"/>
        </w:rPr>
        <w:t>The current merit scoring uses four components. Two additional data points are due by 24 September 2026 and should be incorporated into the scoring methodology:</w:t>
        <w:br/>
        <w:br/>
        <w:t>1. QUALITATIVE BENEFITS: Programmes submitting qualitative benefit descriptions (strategic alignment, customer impact, employee experience, operational resilience) should receive additional scoring consideration. Recommended approach: add a Qualitative Benefit component (0–10 points) or weight it into the existing Captured Consequence component.</w:t>
        <w:br/>
        <w:br/>
        <w:t>2. PAYBACK PERIOD: Programmes with shorter payback periods represent faster return on investment. Recommended approach: add a Payback component (0–10 points) with tiers such as &lt;1 year = 10, 1–2 years = 7, 2–3 years = 4, &gt;3 years = 2, no data = 0.</w:t>
        <w:br/>
        <w:br/>
        <w:t>3. VALIDATION ON DATA REFRESH: Every data refresh must run a validation pass that:</w:t>
        <w:br/>
        <w:t xml:space="preserve">   a. Recalculates all merit scores from the refreshed source values.</w:t>
        <w:br/>
        <w:t xml:space="preserve">   b. Compares pre-refresh and post-refresh scores to identify material changes.</w:t>
        <w:br/>
        <w:t xml:space="preserve">   c. Flags programmes where the score changed by more than 10 points for manual review.</w:t>
        <w:br/>
        <w:t xml:space="preserve">   d. Ensures no programme has a score component that exceeds its defined maximum.</w:t>
        <w:br/>
        <w:t xml:space="preserve">   e. Confirms the four component weights still total 100.0.</w:t>
        <w:br/>
        <w:t xml:space="preserve">   f. Reports a validation summary before the refresh is applied.</w:t>
        <w:br/>
        <w:br/>
        <w:t>The updated scoring must be consistent across Program AOP Scenarios, Enterprise Wide and BU Led. All three tabs derive scores from the same engine; a change to the scoring formula must propagate uniformly.</w:t>
        <w:br/>
        <w:br/>
        <w:t>STATUS: Outstanding change to be built once Qualitative Benefit and Payback Period data is collected (deadline 24 Sep 2026). The scoring engine, merit display, filter by merit, and sort by merit must all be updated together.</w:t>
      </w:r>
    </w:p>
    <w:p>
      <w:r>
        <w:rPr>
          <w:b/>
          <w:color w:val="0050A0"/>
          <w:sz w:val="20"/>
        </w:rPr>
        <w:t>✉ PENDING: Scoring Governance (Discussion with Byronie)</w:t>
      </w:r>
    </w:p>
    <w:p>
      <w:r>
        <w:rPr>
          <w:color w:val="003C78"/>
          <w:sz w:val="18"/>
        </w:rPr>
        <w:t>Pending discussion items:</w:t>
        <w:br/>
        <w:t>1. Should Qualitative Benefits be a new 5th component or folded into Captured Consequence?</w:t>
        <w:br/>
        <w:t>2. What Payback Period thresholds reflect the business’s investment horizon?</w:t>
        <w:br/>
        <w:t>3. Should the component weights be rebalanced (currently 50/25/15/10) to accommodate new components?</w:t>
        <w:br/>
        <w:t>4. What validation tolerance is acceptable for score changes on data refresh (recommended: 10-point threshold)?</w:t>
        <w:br/>
        <w:t>5. Who approves changes to the scoring methodology?</w:t>
        <w:br/>
        <w:br/>
        <w:t>Final scoring model to be confirmed after discussion with Byronie.</w:t>
      </w:r>
    </w:p>
    <w:p>
      <w:pPr>
        <w:pStyle w:val="Heading3"/>
      </w:pPr>
      <w:r>
        <w:t>Sections 5–7: Demand Tables, Decision Log and Rules</w:t>
      </w:r>
    </w:p>
    <w:p>
      <w:r>
        <w:rPr>
          <w:b/>
        </w:rPr>
        <w:t>Section 5: Demand Prioritized</w:t>
      </w:r>
    </w:p>
    <w:p>
      <w:r>
        <w:t>This table shows all programmes that received funding in the current scenario. It opens by default with Organisation groups collapsed.</w:t>
      </w:r>
    </w:p>
    <w:p>
      <w:pPr>
        <w:pStyle w:val="ListBullet"/>
      </w:pPr>
      <w:r>
        <w:t>Population logic: The AOP engine calculates which programmes are funded based on the four priority levers and the Total AOP envelope. Every programme with a positive final amount appears in this table.</w:t>
      </w:r>
    </w:p>
    <w:p>
      <w:pPr>
        <w:pStyle w:val="ListBullet"/>
      </w:pPr>
      <w:r>
        <w:t>Grouping: Programmes are grouped by Organisation. Each Organisation summary row shows: child count, funded count, representative Decision Band, average merit score, summed requested amount, summed prioritised amount, summed unfunded residual, summed numeric benefits and evidence count.</w:t>
      </w:r>
    </w:p>
    <w:p>
      <w:pPr>
        <w:pStyle w:val="ListBullet"/>
      </w:pPr>
      <w:r>
        <w:t>Filters: Multi-select checkbox filters for Organisation (BUR), Platform and Priority (the four priority stages). Selected values combine with OR within a field, AND across fields.</w:t>
      </w:r>
    </w:p>
    <w:p>
      <w:pPr>
        <w:pStyle w:val="ListBullet"/>
      </w:pPr>
      <w:r>
        <w:t>Sort: The sort dropdown offers Benefit (High/Low), Merit Score (High/Low) and Investment Requested (High/Low). Sorting works within the filtered view.</w:t>
      </w:r>
    </w:p>
    <w:p>
      <w:pPr>
        <w:pStyle w:val="ListBullet"/>
      </w:pPr>
      <w:r>
        <w:t>Columns: Organisation/Programme, Decision Band, Score, Requested M€, Prioritised M€, Unfunded M€, Benefits M€, Evidence count, Funding Status.</w:t>
      </w:r>
    </w:p>
    <w:p>
      <w:pPr>
        <w:pStyle w:val="ListBullet"/>
      </w:pPr>
      <w:r>
        <w:t>Update trigger: This table recalculates whenever a lever changes in Section 2, or a programme is edited in Enterprise Wide or BU Led.</w:t>
      </w:r>
    </w:p>
    <w:p>
      <w:r>
        <w:rPr>
          <w:b/>
        </w:rPr>
        <w:t>Section 6: Demand Not Funded</w:t>
      </w:r>
    </w:p>
    <w:p>
      <w:r>
        <w:t>This table shows all programmes that did not receive funding, including programmes held for evidence review.</w:t>
      </w:r>
    </w:p>
    <w:p>
      <w:pPr>
        <w:pStyle w:val="ListBullet"/>
      </w:pPr>
      <w:r>
        <w:t>Population logic: Every programme with a zero final amount and a positive requested amount appears here. Programmes held for missing evidence appear with an amber "Held" badge and their specific hold reason (e.g., "Missing data-backed evidence").</w:t>
      </w:r>
    </w:p>
    <w:p>
      <w:pPr>
        <w:pStyle w:val="ListBullet"/>
      </w:pPr>
      <w:r>
        <w:t>Columns: Organisation/Programme, Decision Band, Score, Requested M€, Benefits M€, Merit, Reason Not Funded / Cost of Not Doing.</w:t>
      </w:r>
    </w:p>
    <w:p>
      <w:pPr>
        <w:pStyle w:val="ListBullet"/>
      </w:pPr>
      <w:r>
        <w:t>The "Reason Not Funded" column shows: (a) "Budget exceeded" if the programme was eligible but did not fit within the priority budget; (b) the specific hold reason if evidence was missing; (c) the Impact and Cost of Not Doing text from the source data.</w:t>
      </w:r>
    </w:p>
    <w:p>
      <w:pPr>
        <w:pStyle w:val="ListBullet"/>
      </w:pPr>
      <w:r>
        <w:t>Both tables together account for all 521 programmes. No programme is missing from both tables.</w:t>
      </w:r>
    </w:p>
    <w:p>
      <w:r>
        <w:rPr>
          <w:b/>
        </w:rPr>
        <w:t>Section 7: Decision Log and Rules (collapsed by default)</w:t>
      </w:r>
    </w:p>
    <w:p>
      <w:r>
        <w:t>The decision log provides a complete audit trail of every change made to the portfolio.</w:t>
      </w:r>
    </w:p>
    <w:p>
      <w:r>
        <w:rPr>
          <w:b/>
        </w:rPr>
        <w:t>Business-readable view:</w:t>
      </w:r>
    </w:p>
    <w:p>
      <w:pPr>
        <w:pStyle w:val="ListBullet"/>
      </w:pPr>
      <w:r>
        <w:t>Each row in the log shows: When (timestamp), Who (originating tab), What (action type: setting change, programme include/exclude, amount edit, evidence review, preset selection), Which programme(s), What changed (old value → new value), and an optional business note.</w:t>
      </w:r>
    </w:p>
    <w:p>
      <w:pPr>
        <w:pStyle w:val="ListBullet"/>
      </w:pPr>
      <w:r>
        <w:t>The log is chronological, most recent first. An Undo button reverses the most recent non-undone action.</w:t>
      </w:r>
    </w:p>
    <w:p>
      <w:pPr>
        <w:pStyle w:val="ListBullet"/>
      </w:pPr>
      <w:r>
        <w:t>A Reset button clears all manual overrides and returns to the automatic baseline.</w:t>
      </w:r>
    </w:p>
    <w:p>
      <w:pPr>
        <w:pStyle w:val="ListBullet"/>
      </w:pPr>
      <w:r>
        <w:t>Below the log: source file name, source hash/version, last refresh timestamp, row counts, evidence coverage statistics, rule version and refresh controls.</w:t>
      </w:r>
    </w:p>
    <w:p>
      <w:r>
        <w:rPr>
          <w:b/>
        </w:rPr>
        <w:t>Technical event schema:</w:t>
      </w:r>
    </w:p>
    <w:p>
      <w:pPr>
        <w:pStyle w:val="ListBullet"/>
      </w:pPr>
      <w:r>
        <w:t>Each event is a JSON object: { revision: number, timestamp: ISO8601, origin: "Enterprise Wide"|"BU Led"|"Program AOP Scenarios", action: "program"|"group"|"setting"|"preset"|"review"|"reset"|"resolve"|"finalise"|"fork", details: { id, field, before, after, note }, before: snapshot }.</w:t>
      </w:r>
    </w:p>
    <w:p>
      <w:pPr>
        <w:pStyle w:val="ListBullet"/>
      </w:pPr>
      <w:r>
        <w:t>The "before" field stores the pre-change state, enabling Undo to restore exactly.</w:t>
      </w:r>
    </w:p>
    <w:p>
      <w:pPr>
        <w:pStyle w:val="ListBullet"/>
      </w:pPr>
      <w:r>
        <w:t>Every transaction increments the scenario revision number.</w:t>
      </w:r>
    </w:p>
    <w:p>
      <w:r>
        <w:rPr>
          <w:b/>
        </w:rPr>
        <w:t>Allocation and Evidence Rules (below the log):</w:t>
      </w:r>
    </w:p>
    <w:p>
      <w:pPr>
        <w:pStyle w:val="ListBullet"/>
      </w:pPr>
      <w:r>
        <w:t>Plain-language explanation of the four priority stages, their classification rules and sort order.</w:t>
      </w:r>
    </w:p>
    <w:p>
      <w:pPr>
        <w:pStyle w:val="ListBullet"/>
      </w:pPr>
      <w:r>
        <w:t>Explanation of the merit score components and their weights.</w:t>
      </w:r>
    </w:p>
    <w:p>
      <w:pPr>
        <w:pStyle w:val="ListBullet"/>
      </w:pPr>
      <w:r>
        <w:t>Explanation of the evidence hold mechanism and how held programmes can be explicitly included.</w:t>
      </w:r>
    </w:p>
    <w:p>
      <w:pPr>
        <w:pStyle w:val="ListBullet"/>
      </w:pPr>
      <w:r>
        <w:t>Source data coverage: Decision Band distribution, Overall AOP Decision distribution.</w:t>
      </w:r>
    </w:p>
    <w:p>
      <w:pPr>
        <w:pStyle w:val="ListBullet"/>
      </w:pPr>
      <w:r>
        <w:t>These rules are embedded in the dashboard for transparency. They are not editable by the user.</w:t>
      </w:r>
    </w:p>
    <w:p>
      <w:pPr>
        <w:pStyle w:val="Heading2"/>
      </w:pPr>
      <w:r>
        <w:t>4.3 Enterprise Wide</w:t>
      </w:r>
    </w:p>
    <w:p>
      <w:r>
        <w:t>The Enterprise-Wide programme review tab. Global Portfolio Leaders review and edit programme selections for their Functions.</w:t>
      </w:r>
    </w:p>
    <w:p>
      <w:pPr>
        <w:pStyle w:val="Heading3"/>
      </w:pPr>
      <w:r>
        <w:t>Section 1: Stream KPIs</w:t>
      </w:r>
    </w:p>
    <w:p>
      <w:r>
        <w:t>Six KPI cards scoped to the Enterprise Wide stream:</w:t>
      </w:r>
    </w:p>
    <w:p>
      <w:pPr>
        <w:pStyle w:val="ListBullet"/>
      </w:pPr>
      <w:r>
        <w:t>Programme Demand: Sum of all EW requested amounts.</w:t>
      </w:r>
    </w:p>
    <w:p>
      <w:pPr>
        <w:pStyle w:val="ListBullet"/>
      </w:pPr>
      <w:r>
        <w:t>Indicative Programme Envelope: EW share of the automatic baseline allocation (reporting only, not a ceiling).</w:t>
      </w:r>
    </w:p>
    <w:p>
      <w:pPr>
        <w:pStyle w:val="ListBullet"/>
      </w:pPr>
      <w:r>
        <w:t>Prioritised Demand: Sum of EW final amounts, with funded count and variance vs indicative.</w:t>
      </w:r>
    </w:p>
    <w:p>
      <w:pPr>
        <w:pStyle w:val="ListBullet"/>
      </w:pPr>
      <w:r>
        <w:t>Merit Floor: The configured advanced Value eligibility setting.</w:t>
      </w:r>
    </w:p>
    <w:p>
      <w:pPr>
        <w:pStyle w:val="ListBullet"/>
      </w:pPr>
      <w:r>
        <w:t>Demand Gap: EW requested minus EW final allocation.</w:t>
      </w:r>
    </w:p>
    <w:p>
      <w:pPr>
        <w:pStyle w:val="ListBullet"/>
      </w:pPr>
      <w:r>
        <w:t>Submitted Benefits: Sum of numeric benefits for funded EW programmes.</w:t>
      </w:r>
    </w:p>
    <w:p>
      <w:pPr>
        <w:pStyle w:val="Heading3"/>
      </w:pPr>
      <w:r>
        <w:t>Section 2: Filters and Bubble Chart</w:t>
      </w:r>
    </w:p>
    <w:p>
      <w:r>
        <w:t>Filter population: Each filter reads from the current EW programme data. Five cascading checkbox filters:</w:t>
      </w:r>
    </w:p>
    <w:p>
      <w:pPr>
        <w:pStyle w:val="ListBullet"/>
      </w:pPr>
      <w:r>
        <w:t>Organisation: Lists all Organisations that have EW programmes. Selecting an Organisation constrains the Platform filter to show only platforms used by that Organisation’s programmes.</w:t>
      </w:r>
    </w:p>
    <w:p>
      <w:pPr>
        <w:pStyle w:val="ListBullet"/>
      </w:pPr>
      <w:r>
        <w:t>Platform: Lists IT platforms. Constrained by Organisation selection.</w:t>
      </w:r>
    </w:p>
    <w:p>
      <w:pPr>
        <w:pStyle w:val="ListBullet"/>
      </w:pPr>
      <w:r>
        <w:t>New / Carryover / Sustain: Demand type filter.</w:t>
      </w:r>
    </w:p>
    <w:p>
      <w:pPr>
        <w:pStyle w:val="ListBullet"/>
      </w:pPr>
      <w:r>
        <w:t>Investment Area: Constrained by upstream selections.</w:t>
      </w:r>
    </w:p>
    <w:p>
      <w:pPr>
        <w:pStyle w:val="ListBullet"/>
      </w:pPr>
      <w:r>
        <w:t>Funding Status: Funded, Unfunded, Partial Scope, Excluded.</w:t>
      </w:r>
    </w:p>
    <w:p>
      <w:pPr>
        <w:pStyle w:val="ListBullet"/>
      </w:pPr>
      <w:r>
        <w:t>Plus a text search across programme name, ID and Organisation.</w:t>
      </w:r>
    </w:p>
    <w:p/>
    <w:p>
      <w:r>
        <w:t>Bubble chart population: Plots all EW programmes with a positive requested amount. X-axis: merit score (0–100). Y-axis: requested investment (logarithmic). Bubble area proportional to requested demand. Colour: Funded (green), Partial (amber), Excluded (red), Not funded (pink) — or Decision Band mode. Compact colour legend only, no explanatory paragraph. Median merit line and merit threshold line shown.</w:t>
      </w:r>
    </w:p>
    <w:p>
      <w:pPr>
        <w:pStyle w:val="Heading3"/>
      </w:pPr>
      <w:r>
        <w:t>Section 3: Editable Grouped Table</w:t>
      </w:r>
    </w:p>
    <w:p>
      <w:r>
        <w:t>Table population: All EW programmes from the current scenario, grouped by Organisation. Default state: all Organisation groups collapsed.</w:t>
      </w:r>
    </w:p>
    <w:p>
      <w:pPr>
        <w:pStyle w:val="ListBullet"/>
      </w:pPr>
      <w:r>
        <w:t>Organisation summary row: child count, funded count, Decision Band, average merit, summed requested/prioritised/unfunded/benefits, evidence count.</w:t>
      </w:r>
    </w:p>
    <w:p>
      <w:pPr>
        <w:pStyle w:val="ListBullet"/>
      </w:pPr>
      <w:r>
        <w:t>Expanding an Organisation reveals individual programme rows with inline editing controls.</w:t>
      </w:r>
    </w:p>
    <w:p>
      <w:pPr>
        <w:pStyle w:val="ListBullet"/>
      </w:pPr>
      <w:r>
        <w:t>Checkbox: tick to include (full request) or untick to exclude (zero). No popup.</w:t>
      </w:r>
    </w:p>
    <w:p>
      <w:pPr>
        <w:pStyle w:val="ListBullet"/>
      </w:pPr>
      <w:r>
        <w:t>Amount input: type a value between 0 and the requested amount for partial scope.</w:t>
      </w:r>
    </w:p>
    <w:p>
      <w:pPr>
        <w:pStyle w:val="ListBullet"/>
      </w:pPr>
      <w:r>
        <w:t>Every edit commits immediately, updates all tabs, and creates a decision log event.</w:t>
      </w:r>
    </w:p>
    <w:p>
      <w:pPr>
        <w:pStyle w:val="Heading2"/>
      </w:pPr>
      <w:r>
        <w:t>4.4 BU Led</w:t>
      </w:r>
    </w:p>
    <w:p>
      <w:r>
        <w:t>Same structure as Enterprise Wide, scoped to the BU Led demand stream. BU Representatives review and edit their Organisation’s programmes. All sections (KPIs, filters, bubble chart, editable table) follow the same logic described in Section 4.3, with data filtered to BU Led programmes only.</w:t>
      </w:r>
    </w:p>
    <w:p>
      <w:r>
        <w:t>Enterprise Wide and BU Led are independently editable views of the same portfolio. A decision in either tab updates Program AOP Scenarios, the other stream tab and One Portfolio immediately.</w:t>
      </w:r>
    </w:p>
    <w:p>
      <w:pPr>
        <w:pStyle w:val="Heading2"/>
      </w:pPr>
      <w:r>
        <w:t>4.5 Operations</w:t>
      </w:r>
    </w:p>
    <w:p>
      <w:r>
        <w:t>Pre-aligned Operations cost-of-ownership. This tab is read-only because Operations costs are defined through the Bill of IT process, not through the Programme AOP prioritisation.</w:t>
      </w:r>
    </w:p>
    <w:p>
      <w:pPr>
        <w:pStyle w:val="Heading3"/>
      </w:pPr>
      <w:r>
        <w:t>Section 1: KPI Tiles</w:t>
      </w:r>
    </w:p>
    <w:p>
      <w:pPr>
        <w:pStyle w:val="ListBullet"/>
      </w:pPr>
      <w:r>
        <w:t>Total Operations 2027: 469.7 M€.</w:t>
      </w:r>
    </w:p>
    <w:p>
      <w:pPr>
        <w:pStyle w:val="ListBullet"/>
      </w:pPr>
      <w:r>
        <w:t>2026 Run-Rate: 470.7 M€.</w:t>
      </w:r>
    </w:p>
    <w:p>
      <w:pPr>
        <w:pStyle w:val="ListBullet"/>
      </w:pPr>
      <w:r>
        <w:t>Δ YoY: -1.0 M€.</w:t>
      </w:r>
    </w:p>
    <w:p>
      <w:pPr>
        <w:pStyle w:val="ListBullet"/>
      </w:pPr>
      <w:r>
        <w:t>BU Own Consumption: 317.6 M€.</w:t>
      </w:r>
    </w:p>
    <w:p>
      <w:pPr>
        <w:pStyle w:val="ListBullet"/>
      </w:pPr>
      <w:r>
        <w:t>From Regions: 63.5 M€.</w:t>
      </w:r>
    </w:p>
    <w:p>
      <w:pPr>
        <w:pStyle w:val="ListBullet"/>
      </w:pPr>
      <w:r>
        <w:t>From Functions: 88.5 M€.</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Click ▶ to expand sub-organisations.</w:t>
      </w:r>
    </w:p>
    <w:p>
      <w:pPr>
        <w:pStyle w:val="ListBullet"/>
      </w:pPr>
      <w:r>
        <w:t>Level 2 (Sub-Organisation): Click ▶ to expand services opted in.</w:t>
      </w:r>
    </w:p>
    <w:p>
      <w:pPr>
        <w:pStyle w:val="ListBullet"/>
      </w:pPr>
      <w:r>
        <w:t>Level 3 (Services): Individual service name and AOP2027 cost in M€.</w:t>
      </w:r>
    </w:p>
    <w:p>
      <w:pPr>
        <w:pStyle w:val="ListBullet"/>
      </w:pPr>
      <w:r>
        <w:t>Filters: Organisation, Platform. Sort: AOP2027 Costs.</w:t>
      </w:r>
    </w:p>
    <w:p>
      <w:pPr>
        <w:pStyle w:val="Heading3"/>
      </w:pPr>
      <w:r>
        <w:t>Section 3: Service Catalog</w:t>
      </w:r>
    </w:p>
    <w:p>
      <w:r>
        <w:t>Flat table of all 167 IT services. Columns: Service ID, Service Name, Platform, AOP2027 Costs M€, 2027 Demand Estimate, AOP2026 Costs M€, 2026 Demand Estimate.</w:t>
      </w:r>
    </w:p>
    <w:p>
      <w:pPr>
        <w:pStyle w:val="Heading2"/>
      </w:pPr>
      <w:r>
        <w:t>4.6 One Portfolio</w:t>
      </w:r>
    </w:p>
    <w:p>
      <w:r>
        <w:t>The final combined view for leadership sign-off. Merges Programme prioritisation results with Operations costs at the Organisation level.</w:t>
      </w:r>
    </w:p>
    <w:p>
      <w:pPr>
        <w:pStyle w:val="Heading3"/>
      </w:pPr>
      <w:r>
        <w:t>Section 1: Header KPI Tiles (live from current scenario)</w:t>
      </w:r>
    </w:p>
    <w:p>
      <w:pPr>
        <w:pStyle w:val="ListBullet"/>
      </w:pPr>
      <w:r>
        <w:t>Total IT AOP: Operations 469.7 M€ + Prioritised Programme AOP.</w:t>
      </w:r>
    </w:p>
    <w:p>
      <w:pPr>
        <w:pStyle w:val="ListBullet"/>
      </w:pPr>
      <w:r>
        <w:t>Operations AOP: 469.7 M€ (dark tile, pre-aligned).</w:t>
      </w:r>
    </w:p>
    <w:p>
      <w:pPr>
        <w:pStyle w:val="ListBullet"/>
      </w:pPr>
      <w:r>
        <w:t>Prioritised Programme AOP: funded amount and programme count (green tile).</w:t>
      </w:r>
    </w:p>
    <w:p>
      <w:pPr>
        <w:pStyle w:val="ListBullet"/>
      </w:pPr>
      <w:r>
        <w:t>Split of Programme AOP: EW amount | BU Led amount.</w:t>
      </w:r>
    </w:p>
    <w:p>
      <w:pPr>
        <w:pStyle w:val="ListBullet"/>
      </w:pPr>
      <w:r>
        <w:t>Committed Benefit: total quantified benefits of funded programmes.</w:t>
      </w:r>
    </w:p>
    <w:p>
      <w:pPr>
        <w:pStyle w:val="Heading3"/>
      </w:pPr>
      <w:r>
        <w:t>Section 2: Programme Demand Overview</w:t>
      </w:r>
    </w:p>
    <w:p>
      <w:r>
        <w:t>Bubble chart showing funded programmes only (unfunded hidden). Median merit line removed. Heading: "AOP2027 : Programme Demand Overview". Compact colour legend.</w:t>
      </w:r>
    </w:p>
    <w:p>
      <w:pPr>
        <w:pStyle w:val="Heading3"/>
      </w:pPr>
      <w:r>
        <w:t>Section 3: Organisation IT Cost Allocation</w:t>
      </w:r>
    </w:p>
    <w:p>
      <w:r>
        <w:t>Table showing what each Organisation will be charged:</w:t>
      </w:r>
    </w:p>
    <w:p>
      <w:pPr>
        <w:pStyle w:val="ListBullet"/>
      </w:pPr>
      <w:r>
        <w:t>Columns: Organisation, Programmes (count), Programme Funded M€, Operations Cost M€, Total IT Charge M€.</w:t>
      </w:r>
    </w:p>
    <w:p>
      <w:pPr>
        <w:pStyle w:val="ListBullet"/>
      </w:pPr>
      <w:r>
        <w:t>Only active Organisations (demand &gt; 0 or operations cost &gt; 0).</w:t>
      </w:r>
    </w:p>
    <w:p>
      <w:pPr>
        <w:pStyle w:val="ListBullet"/>
      </w:pPr>
      <w:r>
        <w:t>Sort dropdown. Grand Total = 469.7 M€ Operations + Programme funded.</w:t>
      </w:r>
    </w:p>
    <w:p>
      <w:pPr>
        <w:pStyle w:val="Heading3"/>
      </w:pPr>
      <w:r>
        <w:t>Section 4: Read-Only Programme Table</w:t>
      </w:r>
    </w:p>
    <w:p>
      <w:r>
        <w:t>Grouped table showing all programme inclusions, exclusions and unfunded requests. Same Organisation-grouped layout as Enterprise Wide and BU Led, but with no editing controls. Provides the complete picture alongside the allocation table above.</w:t>
      </w:r>
    </w:p>
    <w:p>
      <w:pPr>
        <w:pStyle w:val="Heading3"/>
      </w:pPr>
      <w:r>
        <w:t>Section 5: Finalise and Source Coverage</w:t>
      </w:r>
    </w:p>
    <w:p>
      <w:pPr>
        <w:pStyle w:val="ListBullet"/>
      </w:pPr>
      <w:r>
        <w:t>Finalise button: freezes the scenario revision. A finalised scenario cannot be edited.</w:t>
      </w:r>
    </w:p>
    <w:p>
      <w:pPr>
        <w:pStyle w:val="ListBullet"/>
      </w:pPr>
      <w:r>
        <w:t>Fork: creates a new editable draft from a finalised scenario, preserving all decisions and source data.</w:t>
      </w:r>
    </w:p>
    <w:p>
      <w:pPr>
        <w:pStyle w:val="ListBullet"/>
      </w:pPr>
      <w:r>
        <w:t>Source Decision Coverage: tables showing Decision Band and Overall AOP Decision distributions for audit completeness.</w:t>
      </w:r>
    </w:p>
    <w:p>
      <w:pPr>
        <w:pStyle w:val="Heading1"/>
      </w:pPr>
      <w:r>
        <w:t>5. Prioritisation Engine — Lever Logic and Funding Order</w:t>
      </w:r>
    </w:p>
    <w:p>
      <w:pPr>
        <w:pStyle w:val="Heading2"/>
      </w:pPr>
      <w:r>
        <w:t>5.1 Four-Priority Funding Precedence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Classification Rule</w:t>
            </w:r>
          </w:p>
        </w:tc>
        <w:tc>
          <w:tcPr>
            <w:tcW w:type="dxa" w:w="2160"/>
            <w:shd w:fill="00126E" w:val="clear"/>
          </w:tcPr>
          <w:p>
            <w:r>
              <w:rPr>
                <w:b/>
                <w:color w:val="FFFFFF"/>
                <w:sz w:val="18"/>
              </w:rPr>
              <w:t>Sort Order</w:t>
            </w:r>
          </w:p>
        </w:tc>
        <w:tc>
          <w:tcPr>
            <w:tcW w:type="dxa" w:w="2160"/>
            <w:shd w:fill="00126E" w:val="clear"/>
          </w:tcPr>
          <w:p>
            <w:r>
              <w:rPr>
                <w:b/>
                <w:color w:val="FFFFFF"/>
                <w:sz w:val="18"/>
              </w:rPr>
              <w:t>Funding Control</w:t>
            </w:r>
          </w:p>
        </w:tc>
      </w:tr>
      <w:tr>
        <w:tc>
          <w:tcPr>
            <w:tcW w:type="dxa" w:w="2160"/>
          </w:tcPr>
          <w:p>
            <w:r>
              <w:rPr>
                <w:sz w:val="18"/>
              </w:rPr>
              <w:t>P1: Legal, Fiscal &amp; Regulatory</w:t>
            </w:r>
          </w:p>
        </w:tc>
        <w:tc>
          <w:tcPr>
            <w:tcW w:type="dxa" w:w="2160"/>
          </w:tcPr>
          <w:p>
            <w:r>
              <w:rPr>
                <w:sz w:val="18"/>
              </w:rPr>
              <w:t>Overall AOP decision contains P1 Immediate or P2 Scheduled; or source ID is EW-11, EW-65, EW-71. Evidence: quantified benefits, fines, disruption risks.</w:t>
            </w:r>
          </w:p>
        </w:tc>
        <w:tc>
          <w:tcPr>
            <w:tcW w:type="dxa" w:w="2160"/>
          </w:tcPr>
          <w:p>
            <w:r>
              <w:rPr>
                <w:sz w:val="18"/>
              </w:rPr>
              <w:t>P1 before P2, then CCB exceptions. Within tier: LFR evidence preference, then merit.</w:t>
            </w:r>
          </w:p>
        </w:tc>
        <w:tc>
          <w:tcPr>
            <w:tcW w:type="dxa" w:w="2160"/>
          </w:tcPr>
          <w:p>
            <w:r>
              <w:rPr>
                <w:sz w:val="18"/>
              </w:rPr>
              <w:t>Directional budget lever (default 15 M€).</w:t>
            </w:r>
          </w:p>
        </w:tc>
      </w:tr>
      <w:tr>
        <w:tc>
          <w:tcPr>
            <w:tcW w:type="dxa" w:w="2160"/>
          </w:tcPr>
          <w:p>
            <w:r>
              <w:rPr>
                <w:sz w:val="18"/>
              </w:rPr>
              <w:t>P2: High-Value Carry-Overs</w:t>
            </w:r>
          </w:p>
        </w:tc>
        <w:tc>
          <w:tcPr>
            <w:tcW w:type="dxa" w:w="2160"/>
          </w:tcPr>
          <w:p>
            <w:r>
              <w:rPr>
                <w:sz w:val="18"/>
              </w:rPr>
              <w:t>Source New/Carry-over is "Carry Over", excluding decommissioning. Must have data-backed evidence (benefit, payback or impact).</w:t>
            </w:r>
          </w:p>
        </w:tc>
        <w:tc>
          <w:tcPr>
            <w:tcW w:type="dxa" w:w="2160"/>
          </w:tcPr>
          <w:p>
            <w:r>
              <w:rPr>
                <w:sz w:val="18"/>
              </w:rPr>
              <w:t>Benefit/cost ratio desc → payback presence → consequence → merit.</w:t>
            </w:r>
          </w:p>
        </w:tc>
        <w:tc>
          <w:tcPr>
            <w:tcW w:type="dxa" w:w="2160"/>
          </w:tcPr>
          <w:p>
            <w:r>
              <w:rPr>
                <w:sz w:val="18"/>
              </w:rPr>
              <w:t>Directional budget lever (default 50 M€).</w:t>
            </w:r>
          </w:p>
        </w:tc>
      </w:tr>
      <w:tr>
        <w:tc>
          <w:tcPr>
            <w:tcW w:type="dxa" w:w="2160"/>
          </w:tcPr>
          <w:p>
            <w:r>
              <w:rPr>
                <w:sz w:val="18"/>
              </w:rPr>
              <w:t>P3: Change &amp; Sustaining</w:t>
            </w:r>
          </w:p>
        </w:tc>
        <w:tc>
          <w:tcPr>
            <w:tcW w:type="dxa" w:w="2160"/>
          </w:tcPr>
          <w:p>
            <w:r>
              <w:rPr>
                <w:sz w:val="18"/>
              </w:rPr>
              <w:t>Sustain: source equals "Change &amp; Sustain". Hygiene: category is Continuous Improvement or Upgrades &amp; Enhancements. Small modifications &lt;250K€, tech debt.</w:t>
            </w:r>
          </w:p>
        </w:tc>
        <w:tc>
          <w:tcPr>
            <w:tcW w:type="dxa" w:w="2160"/>
          </w:tcPr>
          <w:p>
            <w:r>
              <w:rPr>
                <w:sz w:val="18"/>
              </w:rPr>
              <w:t>Sustain funded first (merit desc), then Hygiene (merit desc).</w:t>
            </w:r>
          </w:p>
        </w:tc>
        <w:tc>
          <w:tcPr>
            <w:tcW w:type="dxa" w:w="2160"/>
          </w:tcPr>
          <w:p>
            <w:r>
              <w:rPr>
                <w:sz w:val="18"/>
              </w:rPr>
              <w:t>Directional budget lever (default 20 M€).</w:t>
            </w:r>
          </w:p>
        </w:tc>
      </w:tr>
      <w:tr>
        <w:tc>
          <w:tcPr>
            <w:tcW w:type="dxa" w:w="2160"/>
          </w:tcPr>
          <w:p>
            <w:r>
              <w:rPr>
                <w:sz w:val="18"/>
              </w:rPr>
              <w:t>P4: Business &amp; Function New</w:t>
            </w:r>
          </w:p>
        </w:tc>
        <w:tc>
          <w:tcPr>
            <w:tcW w:type="dxa" w:w="2160"/>
          </w:tcPr>
          <w:p>
            <w:r>
              <w:rPr>
                <w:sz w:val="18"/>
              </w:rPr>
              <w:t>All remaining demand including decommissioning, AI, new initiatives.</w:t>
            </w:r>
          </w:p>
        </w:tc>
        <w:tc>
          <w:tcPr>
            <w:tcW w:type="dxa" w:w="2160"/>
          </w:tcPr>
          <w:p>
            <w:r>
              <w:rPr>
                <w:sz w:val="18"/>
              </w:rPr>
              <w:t>Evidence strength first, then merit desc.</w:t>
            </w:r>
          </w:p>
        </w:tc>
        <w:tc>
          <w:tcPr>
            <w:tcW w:type="dxa" w:w="2160"/>
          </w:tcPr>
          <w:p>
            <w:r>
              <w:rPr>
                <w:sz w:val="18"/>
              </w:rPr>
              <w:t>Automatic residual.</w:t>
            </w:r>
          </w:p>
        </w:tc>
      </w:tr>
    </w:tbl>
    <w:p>
      <w:pPr>
        <w:pStyle w:val="Heading2"/>
      </w:pPr>
      <w:r>
        <w:t>5.2 LFR Prioritisation Logic (Priority 1 Detail)</w:t>
      </w:r>
    </w:p>
    <w:p>
      <w:pPr>
        <w:pStyle w:val="ListBullet"/>
      </w:pPr>
      <w:r>
        <w:t>P1 Immediate obligations funded first.</w:t>
      </w:r>
    </w:p>
    <w:p>
      <w:pPr>
        <w:pStyle w:val="ListBullet"/>
      </w:pPr>
      <w:r>
        <w:t>P2 Scheduled obligations funded second.</w:t>
      </w:r>
    </w:p>
    <w:p>
      <w:pPr>
        <w:pStyle w:val="ListBullet"/>
      </w:pPr>
      <w:r>
        <w:t>Three CCB exceptions funded third: EW-11 (Group Functions), EW-65 (Supply Chain/ISC), EW-71 (Finance). Classified by source ID.</w:t>
      </w:r>
    </w:p>
    <w:p>
      <w:pPr>
        <w:pStyle w:val="ListBullet"/>
      </w:pPr>
      <w:r>
        <w:t>Within each tier: programmes with specific LFR name and compliance year receive stronger preference.</w:t>
      </w:r>
    </w:p>
    <w:p>
      <w:pPr>
        <w:pStyle w:val="ListBullet"/>
      </w:pPr>
      <w:r>
        <w:t>The engine funds whole programmes in priority order. It does not reduce all LFRs proportionally.</w:t>
      </w:r>
    </w:p>
    <w:p>
      <w:pPr>
        <w:pStyle w:val="ListBullet"/>
      </w:pPr>
      <w:r>
        <w:t>When directional budget (15 M€) is below total LFR demand (34.6 M€), unfunded LFRs remain in the backlog with cost-of-not-doing visible.</w:t>
      </w:r>
    </w:p>
    <w:p>
      <w:pPr>
        <w:pStyle w:val="Heading2"/>
      </w:pPr>
      <w:r>
        <w:t>5.3 Evidence Hold Mechanism</w:t>
      </w:r>
    </w:p>
    <w:p>
      <w:r>
        <w:t>Across all priority stages, programmes without sufficient evidence are held outside automatic selection. Held programmes appear with an amber status badge and their hold reason. They can be explicitly included in Enterprise Wide or BU Led. Explicit inclusion records the rationale and accountable leader in the decision log.</w:t>
      </w:r>
    </w:p>
    <w:p>
      <w:pPr>
        <w:pStyle w:val="Heading2"/>
      </w:pPr>
      <w:r>
        <w:t>5.4 Scenario Presets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rPr>
                <w:b/>
                <w:color w:val="FFFFFF"/>
                <w:sz w:val="18"/>
              </w:rPr>
              <w:t>Preset</w:t>
            </w:r>
          </w:p>
        </w:tc>
        <w:tc>
          <w:tcPr>
            <w:tcW w:type="dxa" w:w="1440"/>
            <w:shd w:fill="00126E" w:val="clear"/>
          </w:tcPr>
          <w:p>
            <w:r>
              <w:rPr>
                <w:b/>
                <w:color w:val="FFFFFF"/>
                <w:sz w:val="18"/>
              </w:rPr>
              <w:t>P1: LFR</w:t>
            </w:r>
          </w:p>
        </w:tc>
        <w:tc>
          <w:tcPr>
            <w:tcW w:type="dxa" w:w="1440"/>
            <w:shd w:fill="00126E" w:val="clear"/>
          </w:tcPr>
          <w:p>
            <w:r>
              <w:rPr>
                <w:b/>
                <w:color w:val="FFFFFF"/>
                <w:sz w:val="18"/>
              </w:rPr>
              <w:t>P2: Carry-Overs</w:t>
            </w:r>
          </w:p>
        </w:tc>
        <w:tc>
          <w:tcPr>
            <w:tcW w:type="dxa" w:w="1440"/>
            <w:shd w:fill="00126E" w:val="clear"/>
          </w:tcPr>
          <w:p>
            <w:r>
              <w:rPr>
                <w:b/>
                <w:color w:val="FFFFFF"/>
                <w:sz w:val="18"/>
              </w:rPr>
              <w:t>P3: Sustain+Hygiene</w:t>
            </w:r>
          </w:p>
        </w:tc>
        <w:tc>
          <w:tcPr>
            <w:tcW w:type="dxa" w:w="1440"/>
            <w:shd w:fill="00126E" w:val="clear"/>
          </w:tcPr>
          <w:p>
            <w:r>
              <w:rPr>
                <w:b/>
                <w:color w:val="FFFFFF"/>
                <w:sz w:val="18"/>
              </w:rPr>
              <w:t>P4: Value</w:t>
            </w:r>
          </w:p>
        </w:tc>
        <w:tc>
          <w:tcPr>
            <w:tcW w:type="dxa" w:w="1440"/>
            <w:shd w:fill="00126E" w:val="clear"/>
          </w:tcPr>
          <w:p>
            <w:r>
              <w:rPr>
                <w:b/>
                <w:color w:val="FFFFFF"/>
                <w:sz w:val="18"/>
              </w:rPr>
              <w:t>Use Case</w:t>
            </w:r>
          </w:p>
        </w:tc>
      </w:tr>
      <w:tr>
        <w:tc>
          <w:tcPr>
            <w:tcW w:type="dxa" w:w="1440"/>
          </w:tcPr>
          <w:p>
            <w:r>
              <w:rPr>
                <w:sz w:val="18"/>
              </w:rPr>
              <w:t>Optimal Segmentation (Recommended)</w:t>
            </w:r>
          </w:p>
        </w:tc>
        <w:tc>
          <w:tcPr>
            <w:tcW w:type="dxa" w:w="1440"/>
          </w:tcPr>
          <w:p>
            <w:r>
              <w:rPr>
                <w:sz w:val="18"/>
              </w:rPr>
              <w:t>15 M€</w:t>
            </w:r>
          </w:p>
        </w:tc>
        <w:tc>
          <w:tcPr>
            <w:tcW w:type="dxa" w:w="1440"/>
          </w:tcPr>
          <w:p>
            <w:r>
              <w:rPr>
                <w:sz w:val="18"/>
              </w:rPr>
              <w:t>50 M€</w:t>
            </w:r>
          </w:p>
        </w:tc>
        <w:tc>
          <w:tcPr>
            <w:tcW w:type="dxa" w:w="1440"/>
          </w:tcPr>
          <w:p>
            <w:r>
              <w:rPr>
                <w:sz w:val="18"/>
              </w:rPr>
              <w:t>20 M€</w:t>
            </w:r>
          </w:p>
        </w:tc>
        <w:tc>
          <w:tcPr>
            <w:tcW w:type="dxa" w:w="1440"/>
          </w:tcPr>
          <w:p>
            <w:r>
              <w:rPr>
                <w:sz w:val="18"/>
              </w:rPr>
              <w:t>15 M€</w:t>
            </w:r>
          </w:p>
        </w:tc>
        <w:tc>
          <w:tcPr>
            <w:tcW w:type="dxa" w:w="1440"/>
          </w:tcPr>
          <w:p>
            <w:r>
              <w:rPr>
                <w:sz w:val="18"/>
              </w:rPr>
              <w:t>Finance-recommended 100M spread.</w:t>
            </w:r>
          </w:p>
        </w:tc>
      </w:tr>
      <w:tr>
        <w:tc>
          <w:tcPr>
            <w:tcW w:type="dxa" w:w="1440"/>
          </w:tcPr>
          <w:p>
            <w:r>
              <w:rPr>
                <w:sz w:val="18"/>
              </w:rPr>
              <w:t>Protect Commitments</w:t>
            </w:r>
          </w:p>
        </w:tc>
        <w:tc>
          <w:tcPr>
            <w:tcW w:type="dxa" w:w="1440"/>
          </w:tcPr>
          <w:p>
            <w:r>
              <w:rPr>
                <w:sz w:val="18"/>
              </w:rPr>
              <w:t>20 M€</w:t>
            </w:r>
          </w:p>
        </w:tc>
        <w:tc>
          <w:tcPr>
            <w:tcW w:type="dxa" w:w="1440"/>
          </w:tcPr>
          <w:p>
            <w:r>
              <w:rPr>
                <w:sz w:val="18"/>
              </w:rPr>
              <w:t>50 M€</w:t>
            </w:r>
          </w:p>
        </w:tc>
        <w:tc>
          <w:tcPr>
            <w:tcW w:type="dxa" w:w="1440"/>
          </w:tcPr>
          <w:p>
            <w:r>
              <w:rPr>
                <w:sz w:val="18"/>
              </w:rPr>
              <w:t>23 M€</w:t>
            </w:r>
          </w:p>
        </w:tc>
        <w:tc>
          <w:tcPr>
            <w:tcW w:type="dxa" w:w="1440"/>
          </w:tcPr>
          <w:p>
            <w:r>
              <w:rPr>
                <w:sz w:val="18"/>
              </w:rPr>
              <w:t>7 M€</w:t>
            </w:r>
          </w:p>
        </w:tc>
        <w:tc>
          <w:tcPr>
            <w:tcW w:type="dxa" w:w="1440"/>
          </w:tcPr>
          <w:p>
            <w:r>
              <w:rPr>
                <w:sz w:val="18"/>
              </w:rPr>
              <w:t>Maximise LFR and carry-over coverage.</w:t>
            </w:r>
          </w:p>
        </w:tc>
      </w:tr>
      <w:tr>
        <w:tc>
          <w:tcPr>
            <w:tcW w:type="dxa" w:w="1440"/>
          </w:tcPr>
          <w:p>
            <w:r>
              <w:rPr>
                <w:sz w:val="18"/>
              </w:rPr>
              <w:t>Tighten Carryover Evidence</w:t>
            </w:r>
          </w:p>
        </w:tc>
        <w:tc>
          <w:tcPr>
            <w:tcW w:type="dxa" w:w="1440"/>
          </w:tcPr>
          <w:p>
            <w:r>
              <w:rPr>
                <w:sz w:val="18"/>
              </w:rPr>
              <w:t>15 M€</w:t>
            </w:r>
          </w:p>
        </w:tc>
        <w:tc>
          <w:tcPr>
            <w:tcW w:type="dxa" w:w="1440"/>
          </w:tcPr>
          <w:p>
            <w:r>
              <w:rPr>
                <w:sz w:val="18"/>
              </w:rPr>
              <w:t>40 M€</w:t>
            </w:r>
          </w:p>
        </w:tc>
        <w:tc>
          <w:tcPr>
            <w:tcW w:type="dxa" w:w="1440"/>
          </w:tcPr>
          <w:p>
            <w:r>
              <w:rPr>
                <w:sz w:val="18"/>
              </w:rPr>
              <w:t>20 M€</w:t>
            </w:r>
          </w:p>
        </w:tc>
        <w:tc>
          <w:tcPr>
            <w:tcW w:type="dxa" w:w="1440"/>
          </w:tcPr>
          <w:p>
            <w:r>
              <w:rPr>
                <w:sz w:val="18"/>
              </w:rPr>
              <w:t>25 M€</w:t>
            </w:r>
          </w:p>
        </w:tc>
        <w:tc>
          <w:tcPr>
            <w:tcW w:type="dxa" w:w="1440"/>
          </w:tcPr>
          <w:p>
            <w:r>
              <w:rPr>
                <w:sz w:val="18"/>
              </w:rPr>
              <w:t>Redirect from carry-overs to new value.</w:t>
            </w:r>
          </w:p>
        </w:tc>
      </w:tr>
      <w:tr>
        <w:tc>
          <w:tcPr>
            <w:tcW w:type="dxa" w:w="1440"/>
          </w:tcPr>
          <w:p>
            <w:r>
              <w:rPr>
                <w:sz w:val="18"/>
              </w:rPr>
              <w:t>Release Sustain Capacity</w:t>
            </w:r>
          </w:p>
        </w:tc>
        <w:tc>
          <w:tcPr>
            <w:tcW w:type="dxa" w:w="1440"/>
          </w:tcPr>
          <w:p>
            <w:r>
              <w:rPr>
                <w:sz w:val="18"/>
              </w:rPr>
              <w:t>15 M€</w:t>
            </w:r>
          </w:p>
        </w:tc>
        <w:tc>
          <w:tcPr>
            <w:tcW w:type="dxa" w:w="1440"/>
          </w:tcPr>
          <w:p>
            <w:r>
              <w:rPr>
                <w:sz w:val="18"/>
              </w:rPr>
              <w:t>58 M€</w:t>
            </w:r>
          </w:p>
        </w:tc>
        <w:tc>
          <w:tcPr>
            <w:tcW w:type="dxa" w:w="1440"/>
          </w:tcPr>
          <w:p>
            <w:r>
              <w:rPr>
                <w:sz w:val="18"/>
              </w:rPr>
              <w:t>12 M€</w:t>
            </w:r>
          </w:p>
        </w:tc>
        <w:tc>
          <w:tcPr>
            <w:tcW w:type="dxa" w:w="1440"/>
          </w:tcPr>
          <w:p>
            <w:r>
              <w:rPr>
                <w:sz w:val="18"/>
              </w:rPr>
              <w:t>15 M€</w:t>
            </w:r>
          </w:p>
        </w:tc>
        <w:tc>
          <w:tcPr>
            <w:tcW w:type="dxa" w:w="1440"/>
          </w:tcPr>
          <w:p>
            <w:r>
              <w:rPr>
                <w:sz w:val="18"/>
              </w:rPr>
              <w:t>Reduce sustain, give more to carry-overs.</w:t>
            </w:r>
          </w:p>
        </w:tc>
      </w:tr>
    </w:tbl>
    <w:p>
      <w:pPr>
        <w:pStyle w:val="Heading2"/>
      </w:pPr>
      <w:r>
        <w:t>5.5 Merit Score Formula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Tiers</w:t>
            </w:r>
          </w:p>
        </w:tc>
      </w:tr>
      <w:tr>
        <w:tc>
          <w:tcPr>
            <w:tcW w:type="dxa" w:w="2880"/>
          </w:tcPr>
          <w:p>
            <w:r>
              <w:rPr>
                <w:sz w:val="18"/>
              </w:rPr>
              <w:t>Submitted Benefit</w:t>
            </w:r>
          </w:p>
        </w:tc>
        <w:tc>
          <w:tcPr>
            <w:tcW w:type="dxa" w:w="2880"/>
          </w:tcPr>
          <w:p>
            <w:r>
              <w:rPr>
                <w:sz w:val="18"/>
              </w:rPr>
              <w:t>50</w:t>
            </w:r>
          </w:p>
        </w:tc>
        <w:tc>
          <w:tcPr>
            <w:tcW w:type="dxa" w:w="2880"/>
          </w:tcPr>
          <w:p>
            <w:r>
              <w:rPr>
                <w:sz w:val="18"/>
              </w:rPr>
              <w:t>&lt;1x=0; ≥1x=20; ≥2x=30; ≥3x=40; ≥5x=50</w:t>
            </w:r>
          </w:p>
        </w:tc>
      </w:tr>
      <w:tr>
        <w:tc>
          <w:tcPr>
            <w:tcW w:type="dxa" w:w="2880"/>
          </w:tcPr>
          <w:p>
            <w:r>
              <w:rPr>
                <w:sz w:val="18"/>
              </w:rPr>
              <w:t>Submitted Priority</w:t>
            </w:r>
          </w:p>
        </w:tc>
        <w:tc>
          <w:tcPr>
            <w:tcW w:type="dxa" w:w="2880"/>
          </w:tcPr>
          <w:p>
            <w:r>
              <w:rPr>
                <w:sz w:val="18"/>
              </w:rPr>
              <w:t>25</w:t>
            </w:r>
          </w:p>
        </w:tc>
        <w:tc>
          <w:tcPr>
            <w:tcW w:type="dxa" w:w="2880"/>
          </w:tcPr>
          <w:p>
            <w:r>
              <w:rPr>
                <w:sz w:val="18"/>
              </w:rPr>
              <w:t>Must Do=25; Must Have=18; Deprioritised=5; blank=0</w:t>
            </w:r>
          </w:p>
        </w:tc>
      </w:tr>
      <w:tr>
        <w:tc>
          <w:tcPr>
            <w:tcW w:type="dxa" w:w="2880"/>
          </w:tcPr>
          <w:p>
            <w:r>
              <w:rPr>
                <w:sz w:val="18"/>
              </w:rPr>
              <w:t>Captured Consequence</w:t>
            </w:r>
          </w:p>
        </w:tc>
        <w:tc>
          <w:tcPr>
            <w:tcW w:type="dxa" w:w="2880"/>
          </w:tcPr>
          <w:p>
            <w:r>
              <w:rPr>
                <w:sz w:val="18"/>
              </w:rPr>
              <w:t>15</w:t>
            </w:r>
          </w:p>
        </w:tc>
        <w:tc>
          <w:tcPr>
            <w:tcW w:type="dxa" w:w="2880"/>
          </w:tcPr>
          <w:p>
            <w:r>
              <w:rPr>
                <w:sz w:val="18"/>
              </w:rPr>
              <w:t>No evidence=0; contextual=5; explicit harm=10; quantified=15</w:t>
            </w:r>
          </w:p>
        </w:tc>
      </w:tr>
      <w:tr>
        <w:tc>
          <w:tcPr>
            <w:tcW w:type="dxa" w:w="2880"/>
          </w:tcPr>
          <w:p>
            <w:r>
              <w:rPr>
                <w:sz w:val="18"/>
              </w:rPr>
              <w:t>Decision Band</w:t>
            </w:r>
          </w:p>
        </w:tc>
        <w:tc>
          <w:tcPr>
            <w:tcW w:type="dxa" w:w="2880"/>
          </w:tcPr>
          <w:p>
            <w:r>
              <w:rPr>
                <w:sz w:val="18"/>
              </w:rPr>
              <w:t>10</w:t>
            </w:r>
          </w:p>
        </w:tc>
        <w:tc>
          <w:tcPr>
            <w:tcW w:type="dxa" w:w="2880"/>
          </w:tcPr>
          <w:p>
            <w:r>
              <w:rPr>
                <w:sz w:val="18"/>
              </w:rPr>
              <w:t>Healthy=10; Contain=6; blank=0</w:t>
            </w:r>
          </w:p>
        </w:tc>
      </w:tr>
    </w:tbl>
    <w:p>
      <w:r>
        <w:t>Weights are configurable (default 50/25/15/10, must total 100). Benefit multiple = submitted benefit / original requested amount. Claims above 5.0x require inline evidence review.</w:t>
      </w:r>
    </w:p>
    <w:p>
      <w:pPr>
        <w:pStyle w:val="Heading1"/>
      </w:pPr>
      <w:r>
        <w:t>6. Operations Data Model</w:t>
      </w:r>
    </w:p>
    <w:p>
      <w:pPr>
        <w:pStyle w:val="Heading2"/>
      </w:pPr>
      <w:r>
        <w:t>6.1 Data Sources and Cost Allocation</w:t>
      </w:r>
    </w:p>
    <w:p>
      <w:pPr>
        <w:pStyle w:val="ListBullet"/>
      </w:pPr>
      <w:r>
        <w:t>Source: Frozen Preliminary AOP2027 Bill of IT for BU_R_F - 15.Sep.xlsx.</w:t>
      </w:r>
    </w:p>
    <w:p>
      <w:pPr>
        <w:pStyle w:val="ListBullet"/>
      </w:pPr>
      <w:r>
        <w:t>BU own consumption based on per-service consumption data.</w:t>
      </w:r>
    </w:p>
    <w:p>
      <w:pPr>
        <w:pStyle w:val="ListBullet"/>
      </w:pPr>
      <w:r>
        <w:t>Region-to-BU: cost-centre allocations weighted by employee count.</w:t>
      </w:r>
    </w:p>
    <w:p>
      <w:pPr>
        <w:pStyle w:val="ListBullet"/>
      </w:pPr>
      <w:r>
        <w:t>Function-to-BU: FP&amp;A AOP function cost allocations.</w:t>
      </w:r>
    </w:p>
    <w:p>
      <w:pPr>
        <w:pStyle w:val="ListBullet"/>
      </w:pPr>
      <w:r>
        <w:t>If a service is not used by a BU (0/1 flag), no cost allocated.</w:t>
      </w:r>
    </w:p>
    <w:p>
      <w:pPr>
        <w:pStyle w:val="Heading2"/>
      </w:pPr>
      <w:r>
        <w:t>6.2 Organisation-to-Operations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Programme Organisation</w:t>
            </w:r>
          </w:p>
        </w:tc>
        <w:tc>
          <w:tcPr>
            <w:tcW w:type="dxa" w:w="2880"/>
            <w:shd w:fill="00126E" w:val="clear"/>
          </w:tcPr>
          <w:p>
            <w:r>
              <w:rPr>
                <w:b/>
                <w:color w:val="FFFFFF"/>
                <w:sz w:val="18"/>
              </w:rPr>
              <w:t>TCO Entry</w:t>
            </w:r>
          </w:p>
        </w:tc>
        <w:tc>
          <w:tcPr>
            <w:tcW w:type="dxa" w:w="2880"/>
            <w:shd w:fill="00126E" w:val="clear"/>
          </w:tcPr>
          <w:p>
            <w:r>
              <w:rPr>
                <w:b/>
                <w:color w:val="FFFFFF"/>
                <w:sz w:val="18"/>
              </w:rPr>
              <w:t>AOP2027 M€</w:t>
            </w:r>
          </w:p>
        </w:tc>
      </w:tr>
      <w:tr>
        <w:tc>
          <w:tcPr>
            <w:tcW w:type="dxa" w:w="2880"/>
          </w:tcPr>
          <w:p>
            <w:r>
              <w:rPr>
                <w:sz w:val="18"/>
              </w:rPr>
              <w:t>Precision Diagnosis - MR</w:t>
            </w:r>
          </w:p>
        </w:tc>
        <w:tc>
          <w:tcPr>
            <w:tcW w:type="dxa" w:w="2880"/>
          </w:tcPr>
          <w:p>
            <w:r>
              <w:rPr>
                <w:sz w:val="18"/>
              </w:rPr>
              <w:t>MR</w:t>
            </w:r>
          </w:p>
        </w:tc>
        <w:tc>
          <w:tcPr>
            <w:tcW w:type="dxa" w:w="2880"/>
          </w:tcPr>
          <w:p>
            <w:r>
              <w:rPr>
                <w:sz w:val="18"/>
              </w:rPr>
              <w:t>38.0</w:t>
            </w:r>
          </w:p>
        </w:tc>
      </w:tr>
      <w:tr>
        <w:tc>
          <w:tcPr>
            <w:tcW w:type="dxa" w:w="2880"/>
          </w:tcPr>
          <w:p>
            <w:r>
              <w:rPr>
                <w:sz w:val="18"/>
              </w:rPr>
              <w:t>Precision Diagnosis - CT</w:t>
            </w:r>
          </w:p>
        </w:tc>
        <w:tc>
          <w:tcPr>
            <w:tcW w:type="dxa" w:w="2880"/>
          </w:tcPr>
          <w:p>
            <w:r>
              <w:rPr>
                <w:sz w:val="18"/>
              </w:rPr>
              <w:t>CT/AMI</w:t>
            </w:r>
          </w:p>
        </w:tc>
        <w:tc>
          <w:tcPr>
            <w:tcW w:type="dxa" w:w="2880"/>
          </w:tcPr>
          <w:p>
            <w:r>
              <w:rPr>
                <w:sz w:val="18"/>
              </w:rPr>
              <w:t>25.3</w:t>
            </w:r>
          </w:p>
        </w:tc>
      </w:tr>
      <w:tr>
        <w:tc>
          <w:tcPr>
            <w:tcW w:type="dxa" w:w="2880"/>
          </w:tcPr>
          <w:p>
            <w:r>
              <w:rPr>
                <w:sz w:val="18"/>
              </w:rPr>
              <w:t>Precision Diagnosis - ULS</w:t>
            </w:r>
          </w:p>
        </w:tc>
        <w:tc>
          <w:tcPr>
            <w:tcW w:type="dxa" w:w="2880"/>
          </w:tcPr>
          <w:p>
            <w:r>
              <w:rPr>
                <w:sz w:val="18"/>
              </w:rPr>
              <w:t>ULS</w:t>
            </w:r>
          </w:p>
        </w:tc>
        <w:tc>
          <w:tcPr>
            <w:tcW w:type="dxa" w:w="2880"/>
          </w:tcPr>
          <w:p>
            <w:r>
              <w:rPr>
                <w:sz w:val="18"/>
              </w:rPr>
              <w:t>38.1</w:t>
            </w:r>
          </w:p>
        </w:tc>
      </w:tr>
      <w:tr>
        <w:tc>
          <w:tcPr>
            <w:tcW w:type="dxa" w:w="2880"/>
          </w:tcPr>
          <w:p>
            <w:r>
              <w:rPr>
                <w:sz w:val="18"/>
              </w:rPr>
              <w:t>Precision Diagnosis - DXR</w:t>
            </w:r>
          </w:p>
        </w:tc>
        <w:tc>
          <w:tcPr>
            <w:tcW w:type="dxa" w:w="2880"/>
          </w:tcPr>
          <w:p>
            <w:r>
              <w:rPr>
                <w:sz w:val="18"/>
              </w:rPr>
              <w:t>DXR</w:t>
            </w:r>
          </w:p>
        </w:tc>
        <w:tc>
          <w:tcPr>
            <w:tcW w:type="dxa" w:w="2880"/>
          </w:tcPr>
          <w:p>
            <w:r>
              <w:rPr>
                <w:sz w:val="18"/>
              </w:rPr>
              <w:t>11.7</w:t>
            </w:r>
          </w:p>
        </w:tc>
      </w:tr>
      <w:tr>
        <w:tc>
          <w:tcPr>
            <w:tcW w:type="dxa" w:w="2880"/>
          </w:tcPr>
          <w:p>
            <w:r>
              <w:rPr>
                <w:sz w:val="18"/>
              </w:rPr>
              <w:t>IGT - Devices</w:t>
            </w:r>
          </w:p>
        </w:tc>
        <w:tc>
          <w:tcPr>
            <w:tcW w:type="dxa" w:w="2880"/>
          </w:tcPr>
          <w:p>
            <w:r>
              <w:rPr>
                <w:sz w:val="18"/>
              </w:rPr>
              <w:t>IGT-D</w:t>
            </w:r>
          </w:p>
        </w:tc>
        <w:tc>
          <w:tcPr>
            <w:tcW w:type="dxa" w:w="2880"/>
          </w:tcPr>
          <w:p>
            <w:r>
              <w:rPr>
                <w:sz w:val="18"/>
              </w:rPr>
              <w:t>33.4</w:t>
            </w:r>
          </w:p>
        </w:tc>
      </w:tr>
      <w:tr>
        <w:tc>
          <w:tcPr>
            <w:tcW w:type="dxa" w:w="2880"/>
          </w:tcPr>
          <w:p>
            <w:r>
              <w:rPr>
                <w:sz w:val="18"/>
              </w:rPr>
              <w:t>IGT - Systems</w:t>
            </w:r>
          </w:p>
        </w:tc>
        <w:tc>
          <w:tcPr>
            <w:tcW w:type="dxa" w:w="2880"/>
          </w:tcPr>
          <w:p>
            <w:r>
              <w:rPr>
                <w:sz w:val="18"/>
              </w:rPr>
              <w:t>IGT-S</w:t>
            </w:r>
          </w:p>
        </w:tc>
        <w:tc>
          <w:tcPr>
            <w:tcW w:type="dxa" w:w="2880"/>
          </w:tcPr>
          <w:p>
            <w:r>
              <w:rPr>
                <w:sz w:val="18"/>
              </w:rPr>
              <w:t>51.5</w:t>
            </w:r>
          </w:p>
        </w:tc>
      </w:tr>
      <w:tr>
        <w:tc>
          <w:tcPr>
            <w:tcW w:type="dxa" w:w="2880"/>
          </w:tcPr>
          <w:p>
            <w:r>
              <w:rPr>
                <w:sz w:val="18"/>
              </w:rPr>
              <w:t>Monitoring - HPM</w:t>
            </w:r>
          </w:p>
        </w:tc>
        <w:tc>
          <w:tcPr>
            <w:tcW w:type="dxa" w:w="2880"/>
          </w:tcPr>
          <w:p>
            <w:r>
              <w:rPr>
                <w:sz w:val="18"/>
              </w:rPr>
              <w:t>HPM</w:t>
            </w:r>
          </w:p>
        </w:tc>
        <w:tc>
          <w:tcPr>
            <w:tcW w:type="dxa" w:w="2880"/>
          </w:tcPr>
          <w:p>
            <w:r>
              <w:rPr>
                <w:sz w:val="18"/>
              </w:rPr>
              <w:t>60.1</w:t>
            </w:r>
          </w:p>
        </w:tc>
      </w:tr>
      <w:tr>
        <w:tc>
          <w:tcPr>
            <w:tcW w:type="dxa" w:w="2880"/>
          </w:tcPr>
          <w:p>
            <w:r>
              <w:rPr>
                <w:sz w:val="18"/>
              </w:rPr>
              <w:t>Sleep &amp; Respiratory Care</w:t>
            </w:r>
          </w:p>
        </w:tc>
        <w:tc>
          <w:tcPr>
            <w:tcW w:type="dxa" w:w="2880"/>
          </w:tcPr>
          <w:p>
            <w:r>
              <w:rPr>
                <w:sz w:val="18"/>
              </w:rPr>
              <w:t>SRC</w:t>
            </w:r>
          </w:p>
        </w:tc>
        <w:tc>
          <w:tcPr>
            <w:tcW w:type="dxa" w:w="2880"/>
          </w:tcPr>
          <w:p>
            <w:r>
              <w:rPr>
                <w:sz w:val="18"/>
              </w:rPr>
              <w:t>32.7</w:t>
            </w:r>
          </w:p>
        </w:tc>
      </w:tr>
      <w:tr>
        <w:tc>
          <w:tcPr>
            <w:tcW w:type="dxa" w:w="2880"/>
          </w:tcPr>
          <w:p>
            <w:r>
              <w:rPr>
                <w:sz w:val="18"/>
              </w:rPr>
              <w:t>AM&amp;D</w:t>
            </w:r>
          </w:p>
        </w:tc>
        <w:tc>
          <w:tcPr>
            <w:tcW w:type="dxa" w:w="2880"/>
          </w:tcPr>
          <w:p>
            <w:r>
              <w:rPr>
                <w:sz w:val="18"/>
              </w:rPr>
              <w:t>AMD</w:t>
            </w:r>
          </w:p>
        </w:tc>
        <w:tc>
          <w:tcPr>
            <w:tcW w:type="dxa" w:w="2880"/>
          </w:tcPr>
          <w:p>
            <w:r>
              <w:rPr>
                <w:sz w:val="18"/>
              </w:rPr>
              <w:t>9.1</w:t>
            </w:r>
          </w:p>
        </w:tc>
      </w:tr>
      <w:tr>
        <w:tc>
          <w:tcPr>
            <w:tcW w:type="dxa" w:w="2880"/>
          </w:tcPr>
          <w:p>
            <w:r>
              <w:rPr>
                <w:sz w:val="18"/>
              </w:rPr>
              <w:t>Enterprise Informatics</w:t>
            </w:r>
          </w:p>
        </w:tc>
        <w:tc>
          <w:tcPr>
            <w:tcW w:type="dxa" w:w="2880"/>
          </w:tcPr>
          <w:p>
            <w:r>
              <w:rPr>
                <w:sz w:val="18"/>
              </w:rPr>
              <w:t>EI</w:t>
            </w:r>
          </w:p>
        </w:tc>
        <w:tc>
          <w:tcPr>
            <w:tcW w:type="dxa" w:w="2880"/>
          </w:tcPr>
          <w:p>
            <w:r>
              <w:rPr>
                <w:sz w:val="18"/>
              </w:rPr>
              <w:t>34.1</w:t>
            </w:r>
          </w:p>
        </w:tc>
      </w:tr>
      <w:tr>
        <w:tc>
          <w:tcPr>
            <w:tcW w:type="dxa" w:w="2880"/>
          </w:tcPr>
          <w:p>
            <w:r>
              <w:rPr>
                <w:sz w:val="18"/>
              </w:rPr>
              <w:t>Personal Health</w:t>
            </w:r>
          </w:p>
        </w:tc>
        <w:tc>
          <w:tcPr>
            <w:tcW w:type="dxa" w:w="2880"/>
          </w:tcPr>
          <w:p>
            <w:r>
              <w:rPr>
                <w:sz w:val="18"/>
              </w:rPr>
              <w:t>PH</w:t>
            </w:r>
          </w:p>
        </w:tc>
        <w:tc>
          <w:tcPr>
            <w:tcW w:type="dxa" w:w="2880"/>
          </w:tcPr>
          <w:p>
            <w:r>
              <w:rPr>
                <w:sz w:val="18"/>
              </w:rPr>
              <w:t>75.9</w:t>
            </w:r>
          </w:p>
        </w:tc>
      </w:tr>
      <w:tr>
        <w:tc>
          <w:tcPr>
            <w:tcW w:type="dxa" w:w="2880"/>
          </w:tcPr>
          <w:p>
            <w:r>
              <w:rPr>
                <w:sz w:val="18"/>
              </w:rPr>
              <w:t>IP &amp; Standards</w:t>
            </w:r>
          </w:p>
        </w:tc>
        <w:tc>
          <w:tcPr>
            <w:tcW w:type="dxa" w:w="2880"/>
          </w:tcPr>
          <w:p>
            <w:r>
              <w:rPr>
                <w:sz w:val="18"/>
              </w:rPr>
              <w:t>IP&amp;S</w:t>
            </w:r>
          </w:p>
        </w:tc>
        <w:tc>
          <w:tcPr>
            <w:tcW w:type="dxa" w:w="2880"/>
          </w:tcPr>
          <w:p>
            <w:r>
              <w:rPr>
                <w:sz w:val="18"/>
              </w:rPr>
              <w:t>4.6</w:t>
            </w:r>
          </w:p>
        </w:tc>
      </w:tr>
      <w:tr>
        <w:tc>
          <w:tcPr>
            <w:tcW w:type="dxa" w:w="2880"/>
          </w:tcPr>
          <w:p>
            <w:r>
              <w:rPr>
                <w:sz w:val="18"/>
              </w:rPr>
              <w:t>Innovation &amp; Design</w:t>
            </w:r>
          </w:p>
        </w:tc>
        <w:tc>
          <w:tcPr>
            <w:tcW w:type="dxa" w:w="2880"/>
          </w:tcPr>
          <w:p>
            <w:r>
              <w:rPr>
                <w:sz w:val="18"/>
              </w:rPr>
              <w:t>I&amp;D</w:t>
            </w:r>
          </w:p>
        </w:tc>
        <w:tc>
          <w:tcPr>
            <w:tcW w:type="dxa" w:w="2880"/>
          </w:tcPr>
          <w:p>
            <w:r>
              <w:rPr>
                <w:sz w:val="18"/>
              </w:rPr>
              <w:t>9.7</w:t>
            </w:r>
          </w:p>
        </w:tc>
      </w:tr>
      <w:tr>
        <w:tc>
          <w:tcPr>
            <w:tcW w:type="dxa" w:w="2880"/>
          </w:tcPr>
          <w:p>
            <w:r>
              <w:rPr>
                <w:sz w:val="18"/>
              </w:rPr>
              <w:t>Functions / Regions / ISC</w:t>
            </w:r>
          </w:p>
        </w:tc>
        <w:tc>
          <w:tcPr>
            <w:tcW w:type="dxa" w:w="2880"/>
          </w:tcPr>
          <w:p>
            <w:r>
              <w:rPr>
                <w:sz w:val="18"/>
              </w:rPr>
              <w:t>— (allocators)</w:t>
            </w:r>
          </w:p>
        </w:tc>
        <w:tc>
          <w:tcPr>
            <w:tcW w:type="dxa" w:w="2880"/>
          </w:tcPr>
          <w:p>
            <w:r>
              <w:rPr>
                <w:sz w:val="18"/>
              </w:rPr>
              <w:t>0.0</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w:t>
            </w:r>
          </w:p>
        </w:tc>
        <w:tc>
          <w:tcPr>
            <w:tcW w:type="dxa" w:w="4320"/>
          </w:tcPr>
          <w:p>
            <w:r>
              <w:rPr>
                <w:sz w:val="18"/>
              </w:rPr>
              <w:t>#0B5ED7 (Philips blue)</w:t>
            </w:r>
          </w:p>
        </w:tc>
      </w:tr>
      <w:tr>
        <w:tc>
          <w:tcPr>
            <w:tcW w:type="dxa" w:w="4320"/>
          </w:tcPr>
          <w:p>
            <w:r>
              <w:rPr>
                <w:sz w:val="18"/>
              </w:rPr>
              <w:t>Dark</w:t>
            </w:r>
          </w:p>
        </w:tc>
        <w:tc>
          <w:tcPr>
            <w:tcW w:type="dxa" w:w="4320"/>
          </w:tcPr>
          <w:p>
            <w:r>
              <w:rPr>
                <w:sz w:val="18"/>
              </w:rPr>
              <w:t>#00126E (navy)</w:t>
            </w:r>
          </w:p>
        </w:tc>
      </w:tr>
      <w:tr>
        <w:tc>
          <w:tcPr>
            <w:tcW w:type="dxa" w:w="4320"/>
          </w:tcPr>
          <w:p>
            <w:r>
              <w:rPr>
                <w:sz w:val="18"/>
              </w:rPr>
              <w:t>Light</w:t>
            </w:r>
          </w:p>
        </w:tc>
        <w:tc>
          <w:tcPr>
            <w:tcW w:type="dxa" w:w="4320"/>
          </w:tcPr>
          <w:p>
            <w:r>
              <w:rPr>
                <w:sz w:val="18"/>
              </w:rPr>
              <w:t>#BDF0FF (active states)</w:t>
            </w:r>
          </w:p>
        </w:tc>
      </w:tr>
      <w:tr>
        <w:tc>
          <w:tcPr>
            <w:tcW w:type="dxa" w:w="4320"/>
          </w:tcPr>
          <w:p>
            <w:r>
              <w:rPr>
                <w:sz w:val="18"/>
              </w:rPr>
              <w:t>Background</w:t>
            </w:r>
          </w:p>
        </w:tc>
        <w:tc>
          <w:tcPr>
            <w:tcW w:type="dxa" w:w="4320"/>
          </w:tcPr>
          <w:p>
            <w:r>
              <w:rPr>
                <w:sz w:val="18"/>
              </w:rPr>
              <w:t>#FAFBFC / #FFFFFF</w:t>
            </w:r>
          </w:p>
        </w:tc>
      </w:tr>
      <w:tr>
        <w:tc>
          <w:tcPr>
            <w:tcW w:type="dxa" w:w="4320"/>
          </w:tcPr>
          <w:p>
            <w:r>
              <w:rPr>
                <w:sz w:val="18"/>
              </w:rPr>
              <w:t>Status: funded</w:t>
            </w:r>
          </w:p>
        </w:tc>
        <w:tc>
          <w:tcPr>
            <w:tcW w:type="dxa" w:w="4320"/>
          </w:tcPr>
          <w:p>
            <w:r>
              <w:rPr>
                <w:sz w:val="18"/>
              </w:rPr>
              <w:t>#008800 / #ADFFB5</w:t>
            </w:r>
          </w:p>
        </w:tc>
      </w:tr>
      <w:tr>
        <w:tc>
          <w:tcPr>
            <w:tcW w:type="dxa" w:w="4320"/>
          </w:tcPr>
          <w:p>
            <w:r>
              <w:rPr>
                <w:sz w:val="18"/>
              </w:rPr>
              <w:t>Status: TBD/partial</w:t>
            </w:r>
          </w:p>
        </w:tc>
        <w:tc>
          <w:tcPr>
            <w:tcW w:type="dxa" w:w="4320"/>
          </w:tcPr>
          <w:p>
            <w:r>
              <w:rPr>
                <w:sz w:val="18"/>
              </w:rPr>
              <w:t>#FCA708 / #FCFCC2</w:t>
            </w:r>
          </w:p>
        </w:tc>
      </w:tr>
      <w:tr>
        <w:tc>
          <w:tcPr>
            <w:tcW w:type="dxa" w:w="4320"/>
          </w:tcPr>
          <w:p>
            <w:r>
              <w:rPr>
                <w:sz w:val="18"/>
              </w:rPr>
              <w:t>Status: unfunded</w:t>
            </w:r>
          </w:p>
        </w:tc>
        <w:tc>
          <w:tcPr>
            <w:tcW w:type="dxa" w:w="4320"/>
          </w:tcPr>
          <w:p>
            <w:r>
              <w:rPr>
                <w:sz w:val="18"/>
              </w:rPr>
              <w:t>#D43F44 / #FFDEDB</w:t>
            </w:r>
          </w:p>
        </w:tc>
      </w:tr>
      <w:tr>
        <w:tc>
          <w:tcPr>
            <w:tcW w:type="dxa" w:w="4320"/>
          </w:tcPr>
          <w:p>
            <w:r>
              <w:rPr>
                <w:sz w:val="18"/>
              </w:rPr>
              <w:t>Font</w:t>
            </w:r>
          </w:p>
        </w:tc>
        <w:tc>
          <w:tcPr>
            <w:tcW w:type="dxa" w:w="4320"/>
          </w:tcPr>
          <w:p>
            <w:r>
              <w:rPr>
                <w:sz w:val="18"/>
              </w:rPr>
              <w:t>Neue Frutiger World, Calibri, Segoe UI</w:t>
            </w:r>
          </w:p>
        </w:tc>
      </w:tr>
      <w:tr>
        <w:tc>
          <w:tcPr>
            <w:tcW w:type="dxa" w:w="4320"/>
          </w:tcPr>
          <w:p>
            <w:r>
              <w:rPr>
                <w:sz w:val="18"/>
              </w:rPr>
              <w:t>Table headers</w:t>
            </w:r>
          </w:p>
        </w:tc>
        <w:tc>
          <w:tcPr>
            <w:tcW w:type="dxa" w:w="4320"/>
          </w:tcPr>
          <w:p>
            <w:r>
              <w:rPr>
                <w:sz w:val="18"/>
              </w:rPr>
              <w:t>11px white on dark, sticky</w:t>
            </w:r>
          </w:p>
        </w:tc>
      </w:tr>
      <w:tr>
        <w:tc>
          <w:tcPr>
            <w:tcW w:type="dxa" w:w="4320"/>
          </w:tcPr>
          <w:p>
            <w:r>
              <w:rPr>
                <w:sz w:val="18"/>
              </w:rPr>
              <w:t>Numbers</w:t>
            </w:r>
          </w:p>
        </w:tc>
        <w:tc>
          <w:tcPr>
            <w:tcW w:type="dxa" w:w="4320"/>
          </w:tcPr>
          <w:p>
            <w:r>
              <w:rPr>
                <w:sz w:val="18"/>
              </w:rPr>
              <w:t>Right-aligned, tabular-nums</w:t>
            </w:r>
          </w:p>
        </w:tc>
      </w:tr>
    </w:tbl>
    <w:p>
      <w:pPr>
        <w:pStyle w:val="Heading1"/>
      </w:pPr>
      <w:r>
        <w:t>8.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rPr>
                <w:sz w:val="18"/>
              </w:rPr>
              <w:t>Every visible total reconciles across all six tabs and the Excel export.</w:t>
            </w:r>
          </w:p>
        </w:tc>
      </w:tr>
      <w:tr>
        <w:tc>
          <w:tcPr>
            <w:tcW w:type="dxa" w:w="4320"/>
          </w:tcPr>
          <w:p>
            <w:r>
              <w:rPr>
                <w:sz w:val="18"/>
              </w:rPr>
              <w:t>Cross-tab propagation</w:t>
            </w:r>
          </w:p>
        </w:tc>
        <w:tc>
          <w:tcPr>
            <w:tcW w:type="dxa" w:w="4320"/>
          </w:tcPr>
          <w:p>
            <w:r>
              <w:rPr>
                <w:sz w:val="18"/>
              </w:rPr>
              <w:t>A programme edit in Enterprise Wide or BU Led updates Demand Overview, Program AOP Scenarios and One Portfolio within 500ms.</w:t>
            </w:r>
          </w:p>
        </w:tc>
      </w:tr>
      <w:tr>
        <w:tc>
          <w:tcPr>
            <w:tcW w:type="dxa" w:w="4320"/>
          </w:tcPr>
          <w:p>
            <w:r>
              <w:rPr>
                <w:sz w:val="18"/>
              </w:rPr>
              <w:t>Operations accuracy</w:t>
            </w:r>
          </w:p>
        </w:tc>
        <w:tc>
          <w:tcPr>
            <w:tcW w:type="dxa" w:w="4320"/>
          </w:tcPr>
          <w:p>
            <w:r>
              <w:rPr>
                <w:sz w:val="18"/>
              </w:rPr>
              <w:t>TCO totals match Comparable AOP2027: PD 146.9, IGT 90.6, CC 108.0, EI 34.1, PH 75.9, IP&amp;S 4.6, I&amp;D 9.7 M€.</w:t>
            </w:r>
          </w:p>
        </w:tc>
      </w:tr>
      <w:tr>
        <w:tc>
          <w:tcPr>
            <w:tcW w:type="dxa" w:w="4320"/>
          </w:tcPr>
          <w:p>
            <w:r>
              <w:rPr>
                <w:sz w:val="18"/>
              </w:rPr>
              <w:t>Three-level drill-down</w:t>
            </w:r>
          </w:p>
        </w:tc>
        <w:tc>
          <w:tcPr>
            <w:tcW w:type="dxa" w:w="4320"/>
          </w:tcPr>
          <w:p>
            <w:r>
              <w:rPr>
                <w:sz w:val="18"/>
              </w:rPr>
              <w:t>Expanding PD → CT/AMI → Services shows 112 services totalling 14.4 M€.</w:t>
            </w:r>
          </w:p>
        </w:tc>
      </w:tr>
      <w:tr>
        <w:tc>
          <w:tcPr>
            <w:tcW w:type="dxa" w:w="4320"/>
          </w:tcPr>
          <w:p>
            <w:r>
              <w:rPr>
                <w:sz w:val="18"/>
              </w:rPr>
              <w:t>Filter dynamics</w:t>
            </w:r>
          </w:p>
        </w:tc>
        <w:tc>
          <w:tcPr>
            <w:tcW w:type="dxa" w:w="4320"/>
          </w:tcPr>
          <w:p>
            <w:r>
              <w:rPr>
                <w:sz w:val="18"/>
              </w:rPr>
              <w:t>Checkbox filters cascade counts, update total row (X/521 format), work with sort. Clear All restores.</w:t>
            </w:r>
          </w:p>
        </w:tc>
      </w:tr>
      <w:tr>
        <w:tc>
          <w:tcPr>
            <w:tcW w:type="dxa" w:w="4320"/>
          </w:tcPr>
          <w:p>
            <w:r>
              <w:rPr>
                <w:sz w:val="18"/>
              </w:rPr>
              <w:t>Four-priority allocation</w:t>
            </w:r>
          </w:p>
        </w:tc>
        <w:tc>
          <w:tcPr>
            <w:tcW w:type="dxa" w:w="4320"/>
          </w:tcPr>
          <w:p>
            <w:r>
              <w:rPr>
                <w:sz w:val="18"/>
              </w:rPr>
              <w:t>Optimal Segmentation: ~15M LFR + 50M Carry + 20M Sustain/Hygiene + 15M Value ≈ 100M.</w:t>
            </w:r>
          </w:p>
        </w:tc>
      </w:tr>
      <w:tr>
        <w:tc>
          <w:tcPr>
            <w:tcW w:type="dxa" w:w="4320"/>
          </w:tcPr>
          <w:p>
            <w:r>
              <w:rPr>
                <w:sz w:val="18"/>
              </w:rPr>
              <w:t>Evidence holds</w:t>
            </w:r>
          </w:p>
        </w:tc>
        <w:tc>
          <w:tcPr>
            <w:tcW w:type="dxa" w:w="4320"/>
          </w:tcPr>
          <w:p>
            <w:r>
              <w:rPr>
                <w:sz w:val="18"/>
              </w:rPr>
              <w:t>Programmes without evidence show amber "Held" status with reason.</w:t>
            </w:r>
          </w:p>
        </w:tc>
      </w:tr>
      <w:tr>
        <w:tc>
          <w:tcPr>
            <w:tcW w:type="dxa" w:w="4320"/>
          </w:tcPr>
          <w:p>
            <w:r>
              <w:rPr>
                <w:sz w:val="18"/>
              </w:rPr>
              <w:t>One Portfolio</w:t>
            </w:r>
          </w:p>
        </w:tc>
        <w:tc>
          <w:tcPr>
            <w:tcW w:type="dxa" w:w="4320"/>
          </w:tcPr>
          <w:p>
            <w:r>
              <w:rPr>
                <w:sz w:val="18"/>
              </w:rPr>
              <w:t>Organisation allocation shows Programme funded + Operations cost. Grand total = 469.7 + Programme funded.</w:t>
            </w:r>
          </w:p>
        </w:tc>
      </w:tr>
      <w:tr>
        <w:tc>
          <w:tcPr>
            <w:tcW w:type="dxa" w:w="4320"/>
          </w:tcPr>
          <w:p>
            <w:r>
              <w:rPr>
                <w:sz w:val="18"/>
              </w:rPr>
              <w:t>Scoring validation</w:t>
            </w:r>
          </w:p>
        </w:tc>
        <w:tc>
          <w:tcPr>
            <w:tcW w:type="dxa" w:w="4320"/>
          </w:tcPr>
          <w:p>
            <w:r>
              <w:rPr>
                <w:sz w:val="18"/>
              </w:rPr>
              <w:t>Data refresh recalculates all scores, flags &gt;10-point changes, confirms weight totals.</w:t>
            </w:r>
          </w:p>
        </w:tc>
      </w:tr>
    </w:tbl>
    <w:p>
      <w:pPr>
        <w:pStyle w:val="Heading1"/>
      </w:pPr>
      <w:r>
        <w:t>9. Outstanding Changes Register</w:t>
      </w:r>
    </w:p>
    <w:p>
      <w:r>
        <w:t>The following changes have been identified but not yet built. They are highlighted throughout this document with ⚠ markers.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w:t>
            </w:r>
          </w:p>
        </w:tc>
        <w:tc>
          <w:tcPr>
            <w:tcW w:type="dxa" w:w="1728"/>
            <w:shd w:fill="00126E" w:val="clear"/>
          </w:tcPr>
          <w:p>
            <w:r>
              <w:rPr>
                <w:b/>
                <w:color w:val="FFFFFF"/>
                <w:sz w:val="18"/>
              </w:rPr>
              <w:t>Change</w:t>
            </w:r>
          </w:p>
        </w:tc>
        <w:tc>
          <w:tcPr>
            <w:tcW w:type="dxa" w:w="1728"/>
            <w:shd w:fill="00126E" w:val="clear"/>
          </w:tcPr>
          <w:p>
            <w:r>
              <w:rPr>
                <w:b/>
                <w:color w:val="FFFFFF"/>
                <w:sz w:val="18"/>
              </w:rPr>
              <w:t>Section</w:t>
            </w:r>
          </w:p>
        </w:tc>
        <w:tc>
          <w:tcPr>
            <w:tcW w:type="dxa" w:w="1728"/>
            <w:shd w:fill="00126E" w:val="clear"/>
          </w:tcPr>
          <w:p>
            <w:r>
              <w:rPr>
                <w:b/>
                <w:color w:val="FFFFFF"/>
                <w:sz w:val="18"/>
              </w:rPr>
              <w:t>Status</w:t>
            </w:r>
          </w:p>
        </w:tc>
        <w:tc>
          <w:tcPr>
            <w:tcW w:type="dxa" w:w="1728"/>
            <w:shd w:fill="00126E" w:val="clear"/>
          </w:tcPr>
          <w:p>
            <w:r>
              <w:rPr>
                <w:b/>
                <w:color w:val="FFFFFF"/>
                <w:sz w:val="18"/>
              </w:rPr>
              <w:t>Dependency</w:t>
            </w:r>
          </w:p>
        </w:tc>
      </w:tr>
      <w:tr>
        <w:tc>
          <w:tcPr>
            <w:tcW w:type="dxa" w:w="1728"/>
          </w:tcPr>
          <w:p>
            <w:r>
              <w:rPr>
                <w:sz w:val="18"/>
              </w:rPr>
              <w:t>OC-01</w:t>
            </w:r>
          </w:p>
        </w:tc>
        <w:tc>
          <w:tcPr>
            <w:tcW w:type="dxa" w:w="1728"/>
          </w:tcPr>
          <w:p>
            <w:r>
              <w:rPr>
                <w:sz w:val="18"/>
              </w:rPr>
              <w:t>Dynamic total row showing X/521 format when filtered</w:t>
            </w:r>
          </w:p>
        </w:tc>
        <w:tc>
          <w:tcPr>
            <w:tcW w:type="dxa" w:w="1728"/>
          </w:tcPr>
          <w:p>
            <w:r>
              <w:rPr>
                <w:sz w:val="18"/>
              </w:rPr>
              <w:t>4.1 Section 2</w:t>
            </w:r>
          </w:p>
        </w:tc>
        <w:tc>
          <w:tcPr>
            <w:tcW w:type="dxa" w:w="1728"/>
          </w:tcPr>
          <w:p>
            <w:r>
              <w:rPr>
                <w:sz w:val="18"/>
              </w:rPr>
              <w:t>To be built</w:t>
            </w:r>
          </w:p>
        </w:tc>
        <w:tc>
          <w:tcPr>
            <w:tcW w:type="dxa" w:w="1728"/>
          </w:tcPr>
          <w:p>
            <w:r>
              <w:rPr>
                <w:sz w:val="18"/>
              </w:rPr>
              <w:t>None</w:t>
            </w:r>
          </w:p>
        </w:tc>
      </w:tr>
      <w:tr>
        <w:tc>
          <w:tcPr>
            <w:tcW w:type="dxa" w:w="1728"/>
          </w:tcPr>
          <w:p>
            <w:r>
              <w:rPr>
                <w:sz w:val="18"/>
              </w:rPr>
              <w:t>OC-02</w:t>
            </w:r>
          </w:p>
        </w:tc>
        <w:tc>
          <w:tcPr>
            <w:tcW w:type="dxa" w:w="1728"/>
          </w:tcPr>
          <w:p>
            <w:r>
              <w:rPr>
                <w:sz w:val="18"/>
              </w:rPr>
              <w:t>Four-priority funding structure replacing five-stage model</w:t>
            </w:r>
          </w:p>
        </w:tc>
        <w:tc>
          <w:tcPr>
            <w:tcW w:type="dxa" w:w="1728"/>
          </w:tcPr>
          <w:p>
            <w:r>
              <w:rPr>
                <w:sz w:val="18"/>
              </w:rPr>
              <w:t>4.2 Section 2, Section 5</w:t>
            </w:r>
          </w:p>
        </w:tc>
        <w:tc>
          <w:tcPr>
            <w:tcW w:type="dxa" w:w="1728"/>
          </w:tcPr>
          <w:p>
            <w:r>
              <w:rPr>
                <w:sz w:val="18"/>
              </w:rPr>
              <w:t>To be built</w:t>
            </w:r>
          </w:p>
        </w:tc>
        <w:tc>
          <w:tcPr>
            <w:tcW w:type="dxa" w:w="1728"/>
          </w:tcPr>
          <w:p>
            <w:r>
              <w:rPr>
                <w:sz w:val="18"/>
              </w:rPr>
              <w:t>None</w:t>
            </w:r>
          </w:p>
        </w:tc>
      </w:tr>
      <w:tr>
        <w:tc>
          <w:tcPr>
            <w:tcW w:type="dxa" w:w="1728"/>
          </w:tcPr>
          <w:p>
            <w:r>
              <w:rPr>
                <w:sz w:val="18"/>
              </w:rPr>
              <w:t>OC-03</w:t>
            </w:r>
          </w:p>
        </w:tc>
        <w:tc>
          <w:tcPr>
            <w:tcW w:type="dxa" w:w="1728"/>
          </w:tcPr>
          <w:p>
            <w:r>
              <w:rPr>
                <w:sz w:val="18"/>
              </w:rPr>
              <w:t>Qualitative Benefits and Payback Period in merit scoring</w:t>
            </w:r>
          </w:p>
        </w:tc>
        <w:tc>
          <w:tcPr>
            <w:tcW w:type="dxa" w:w="1728"/>
          </w:tcPr>
          <w:p>
            <w:r>
              <w:rPr>
                <w:sz w:val="18"/>
              </w:rPr>
              <w:t>4.2 Section 4</w:t>
            </w:r>
          </w:p>
        </w:tc>
        <w:tc>
          <w:tcPr>
            <w:tcW w:type="dxa" w:w="1728"/>
          </w:tcPr>
          <w:p>
            <w:r>
              <w:rPr>
                <w:sz w:val="18"/>
              </w:rPr>
              <w:t>To be built</w:t>
            </w:r>
          </w:p>
        </w:tc>
        <w:tc>
          <w:tcPr>
            <w:tcW w:type="dxa" w:w="1728"/>
          </w:tcPr>
          <w:p>
            <w:r>
              <w:rPr>
                <w:sz w:val="18"/>
              </w:rPr>
              <w:t>Evidence data due 24 Sep</w:t>
            </w:r>
          </w:p>
        </w:tc>
      </w:tr>
      <w:tr>
        <w:tc>
          <w:tcPr>
            <w:tcW w:type="dxa" w:w="1728"/>
          </w:tcPr>
          <w:p>
            <w:r>
              <w:rPr>
                <w:sz w:val="18"/>
              </w:rPr>
              <w:t>OC-04</w:t>
            </w:r>
          </w:p>
        </w:tc>
        <w:tc>
          <w:tcPr>
            <w:tcW w:type="dxa" w:w="1728"/>
          </w:tcPr>
          <w:p>
            <w:r>
              <w:rPr>
                <w:sz w:val="18"/>
              </w:rPr>
              <w:t>Scoring validation on data refresh</w:t>
            </w:r>
          </w:p>
        </w:tc>
        <w:tc>
          <w:tcPr>
            <w:tcW w:type="dxa" w:w="1728"/>
          </w:tcPr>
          <w:p>
            <w:r>
              <w:rPr>
                <w:sz w:val="18"/>
              </w:rPr>
              <w:t>4.2 Section 4</w:t>
            </w:r>
          </w:p>
        </w:tc>
        <w:tc>
          <w:tcPr>
            <w:tcW w:type="dxa" w:w="1728"/>
          </w:tcPr>
          <w:p>
            <w:r>
              <w:rPr>
                <w:sz w:val="18"/>
              </w:rPr>
              <w:t>To be built</w:t>
            </w:r>
          </w:p>
        </w:tc>
        <w:tc>
          <w:tcPr>
            <w:tcW w:type="dxa" w:w="1728"/>
          </w:tcPr>
          <w:p>
            <w:r>
              <w:rPr>
                <w:sz w:val="18"/>
              </w:rPr>
              <w:t>OC-03</w:t>
            </w:r>
          </w:p>
        </w:tc>
      </w:tr>
      <w:tr>
        <w:tc>
          <w:tcPr>
            <w:tcW w:type="dxa" w:w="1728"/>
          </w:tcPr>
          <w:p>
            <w:r>
              <w:rPr>
                <w:sz w:val="18"/>
              </w:rPr>
              <w:t>OC-05</w:t>
            </w:r>
          </w:p>
        </w:tc>
        <w:tc>
          <w:tcPr>
            <w:tcW w:type="dxa" w:w="1728"/>
          </w:tcPr>
          <w:p>
            <w:r>
              <w:rPr>
                <w:sz w:val="18"/>
              </w:rPr>
              <w:t>Data Quality governance framework</w:t>
            </w:r>
          </w:p>
        </w:tc>
        <w:tc>
          <w:tcPr>
            <w:tcW w:type="dxa" w:w="1728"/>
          </w:tcPr>
          <w:p>
            <w:r>
              <w:rPr>
                <w:sz w:val="18"/>
              </w:rPr>
              <w:t>4.1 Section 1</w:t>
            </w:r>
          </w:p>
        </w:tc>
        <w:tc>
          <w:tcPr>
            <w:tcW w:type="dxa" w:w="1728"/>
          </w:tcPr>
          <w:p>
            <w:r>
              <w:rPr>
                <w:sz w:val="18"/>
              </w:rPr>
              <w:t>Pending discussion with Byronie</w:t>
            </w:r>
          </w:p>
        </w:tc>
        <w:tc>
          <w:tcPr>
            <w:tcW w:type="dxa" w:w="1728"/>
          </w:tcPr>
          <w:p>
            <w:r>
              <w:rPr>
                <w:sz w:val="18"/>
              </w:rPr>
              <w:t>Meeting outcome</w:t>
            </w:r>
          </w:p>
        </w:tc>
      </w:tr>
      <w:tr>
        <w:tc>
          <w:tcPr>
            <w:tcW w:type="dxa" w:w="1728"/>
          </w:tcPr>
          <w:p>
            <w:r>
              <w:rPr>
                <w:sz w:val="18"/>
              </w:rPr>
              <w:t>OC-06</w:t>
            </w:r>
          </w:p>
        </w:tc>
        <w:tc>
          <w:tcPr>
            <w:tcW w:type="dxa" w:w="1728"/>
          </w:tcPr>
          <w:p>
            <w:r>
              <w:rPr>
                <w:sz w:val="18"/>
              </w:rPr>
              <w:t>Scoring model finalisation</w:t>
            </w:r>
          </w:p>
        </w:tc>
        <w:tc>
          <w:tcPr>
            <w:tcW w:type="dxa" w:w="1728"/>
          </w:tcPr>
          <w:p>
            <w:r>
              <w:rPr>
                <w:sz w:val="18"/>
              </w:rPr>
              <w:t>4.2 Section 4</w:t>
            </w:r>
          </w:p>
        </w:tc>
        <w:tc>
          <w:tcPr>
            <w:tcW w:type="dxa" w:w="1728"/>
          </w:tcPr>
          <w:p>
            <w:r>
              <w:rPr>
                <w:sz w:val="18"/>
              </w:rPr>
              <w:t>Pending discussion with Byronie</w:t>
            </w:r>
          </w:p>
        </w:tc>
        <w:tc>
          <w:tcPr>
            <w:tcW w:type="dxa" w:w="1728"/>
          </w:tcPr>
          <w:p>
            <w:r>
              <w:rPr>
                <w:sz w:val="18"/>
              </w:rPr>
              <w:t>OC-03, OC-05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