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AOP 2027 One Portfolio Dashboard</w:t>
      </w:r>
    </w:p>
    <w:p>
      <w:pPr>
        <w:pStyle w:val="Title"/>
      </w:pPr>
      <w:r>
        <w:t>Detailed Requirements</w:t>
      </w:r>
    </w:p>
    <w:p>
      <w:r>
        <w:t>Version 4.3 | 21 September 2026 | Companion to Product Requirements</w:t>
      </w:r>
    </w:p>
    <w:p>
      <w:pPr>
        <w:pStyle w:val="Heading1"/>
      </w:pPr>
      <w:r>
        <w:t>1. Source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126E" w:val="clear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4320"/>
            <w:shd w:fill="00126E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Programme 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17926_IT AOP2027 Demand.xlsx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Programme 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521 demand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Programme demand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280.2 M€ (EW 111.7 + BU 168.5)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Operations 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Frozen Preliminary AOP2027 Bill of IT - 15.Sep.xlsx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Operations total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469.7 M€ (167 services, 16 IT departments)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sub-orgs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 sub-organisations with service-level consumption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Decision Band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Healthy, Contain, and blank across 521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Evidence gaps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Payback, Qualitative Benefits, Quantitative Benefits due 24 Sep 2026</w:t>
            </w:r>
          </w:p>
        </w:tc>
      </w:tr>
    </w:tbl>
    <w:p>
      <w:pPr>
        <w:pStyle w:val="Heading1"/>
      </w:pPr>
      <w:r>
        <w:t>2. Requirement Groups</w:t>
      </w:r>
    </w:p>
    <w:p>
      <w:r>
        <w:t>NAV: navigation. SC: scenario. MET: metrics. RULE: funding rules. SCORE: merit. CONF: portfolio edits. FIL: filters. DATA: source data. OPS: operations. SAVE: persistence. EXP: exports. UX: design. AT: acceptance tests.</w:t>
      </w:r>
    </w:p>
    <w:p>
      <w:pPr>
        <w:pStyle w:val="Heading1"/>
      </w:pPr>
      <w:r>
        <w:t>3. Navigation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126E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00126E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shd w:fill="00126E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00126E" w:val="clear"/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Six Tabs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 exactly: Demand Overview, Program AOP Scenarios, Enterprise Wide, BU Led, Operations, AOP 2027 : One Portfolio. Demand Overview opens first.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six tabs visible and navigable. Keyboard focus works.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Six-step horizontal workflow bar: 1 Demand Overview → 2 Program Scenarios → 3 Enterprise Wide → 4 BU Led → 5 Operations → 6 One Portfolio. Active step highlighted in light blue. Finalised step shows green.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reflects active tab.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 Independence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tab requires completion of another. Tabs 3 and 4 are independently editable views of the same scenario.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Editing BU Led does not require Enterprise Wide completion.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Scenario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shared scenario across all tabs. Programme edits in any tab update all other tabs immediately.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Edit in Tab 3 reflects in Tab 2 KPIs within 500ms.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 Isolation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 state is local to each tab. Filtering in Tab 3 does not affect Tab 4 or Tab 1.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filter state per tab.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Funding on Navigate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Switching tabs never creates a decision event or changes funding.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 switch triggers no allocation change.</w:t>
            </w:r>
          </w:p>
        </w:tc>
      </w:tr>
    </w:tbl>
    <w:p>
      <w:pPr>
        <w:pStyle w:val="Heading1"/>
      </w:pPr>
      <w:r>
        <w:t>4. Filter and Sort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126E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00126E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shd w:fill="00126E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00126E" w:val="clear"/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Checkbox Multi-Select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filters use checkbox dropdowns with multi-select. Selected values combine with OR within a field, AND across fields.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Selecting 2 organisations shows both; adding a platform filter narrows further.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Cascading 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Organisation filter is active, Platform filter counts update to show only the number of rows matching the Organisation selection (and vice versa).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 "Commercial IT" platform → Organisation filter shows updated counts.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Dynamic Total Row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total row at the bottom of each filtered table updates count and financial totals to reflect only visible rows.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 to 2 orgs → total shows sum of those 2 orgs only.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 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Clear All button resets all filters for the table and restores the unfiltered view.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 Clear All → all rows visible, counts reset to full.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 Dropdown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dropdown provides sort options appropriate to each table. Sorting works on the currently filtered view.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 "Programme Demand High→Low" → rows reorder by demand descending.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EW/BU Filters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Tabs 3 and 4 use five cascading checkbox filters: Organisation, Platform, Demand Type, Investment Area, Funding Status. Plus text search.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Cascade: Organisation constrains Platform options.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Operations Filter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 5 TCO table has Organisation and Platform checkbox filters. Service Catalog has Platform filter.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 to "Precision Diagnosis" → only PD rows visible.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Portfolio Sort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 6 allocation table has sort dropdown: Programme Funded, Operations Cost, Total IT.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 by Total IT → rows reorder.</w:t>
            </w:r>
          </w:p>
        </w:tc>
      </w:tr>
    </w:tbl>
    <w:p>
      <w:pPr>
        <w:pStyle w:val="Heading1"/>
      </w:pPr>
      <w:r>
        <w:t>5. Operations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126E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00126E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shd w:fill="00126E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00126E" w:val="clear"/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OPS-01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Three-Level Hierarchy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Operations TCO table uses three collapsible levels: BU Cluster → Sub-Organisation → Services Opted In.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 PD ▶ → shows MR, CT, DXR, ULS, PD-Other. Click MR ▶ → shows 120 services.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OPS-02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TCO Columns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 columns: Organisation, AOP2027 Costs M€, Own Consumption (M€ | %), Regions to BU (M€ | %), Functions &amp; CoEs (M€ | %), Δ vs AOP2026 M€.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Percentages shown inline. Cluster row shows bold total.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OPS-03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Drill-Down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Level 3 shows individual services with Service Name and AOP2027 Cost in M€. Pre-computed from AOP2027 Dataset sheet using the AOP Use (1/0) flag.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CT/AMI shows 112 services. First service: SE002097 Data Center in a Box.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OPS-04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Flat table of all 167 services with columns: Service ID, Service Name, Platform, AOP2027 Costs M€, 2027 Demand Estimate, AOP2026 Costs M€, 2026 Demand Estimate.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filter works. Sort by AOP2027 costs.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OPS-05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service maps to a Platform via its IT Dept code using the defined mapping table.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in dept AN4 shows as "Infrastructure Services".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OPS-06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Pre-Aligned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Operations data is static and pre-aligned. No edits flow to other tabs.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Changing a programme in Tab 3 does not affect Tab 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OPS-07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Accuracy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 total row shows 469.7 M€ for AOP2027 Costs. Cluster totals match Comparable AOP2027 sheet exactly.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 = 146.9, IGT = 90.6, CC = 108.0, EI = 34.1, PH = 75.9.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OPS-08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EW-Style Rendering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TCO table uses the same CSS classes as the Enterprise Wide programme table (burf-table, burf-summary, programme-row).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 consistency between Tab 3 and Tab 5.</w:t>
            </w:r>
          </w:p>
        </w:tc>
      </w:tr>
    </w:tbl>
    <w:p>
      <w:pPr>
        <w:pStyle w:val="Heading1"/>
      </w:pPr>
      <w:r>
        <w:t>6. UX Design Specifications</w:t>
      </w:r>
    </w:p>
    <w:p>
      <w:pPr>
        <w:pStyle w:val="Heading2"/>
      </w:pPr>
      <w:r>
        <w:t>6.1 Colour Tokens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126E" w:val="clear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880"/>
            <w:shd w:fill="00126E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00126E" w:val="clear"/>
          </w:tcPr>
          <w:p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--blue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#0B5ED7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actions, active tab, table headers, slider accent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#00126E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Headings, KPI values, dark tiles, TCO table headers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#BDF0FF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row backgrounds, hover states, active workflow step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--bg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#FAFBFC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 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--card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#FFFFFF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Card/panel backgrounds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--border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#D5DAE0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Card borders, filter borders, table cell separators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--mist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#E8EDF2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 row stripes, group summary backgrounds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--prot / --protbg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#008800 / #ADFFB5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Funded status, positive deltas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--disc / --discbg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#FCA708 / #FCFCC2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scope, TBD badges, amber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--weak / --weakbg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#D43F44 / #FFDEDB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Unfunded status, negative deltas, danger</w:t>
            </w:r>
          </w:p>
        </w:tc>
      </w:tr>
    </w:tbl>
    <w:p>
      <w:pPr>
        <w:pStyle w:val="Heading2"/>
      </w:pPr>
      <w:r>
        <w:t>6.2 Typography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126E" w:val="clear"/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1728"/>
            <w:shd w:fill="00126E" w:val="clear"/>
          </w:tcPr>
          <w:p>
            <w:r>
              <w:rPr>
                <w:b/>
                <w:color w:val="FFFFFF"/>
                <w:sz w:val="18"/>
              </w:rPr>
              <w:t>Font</w:t>
            </w:r>
          </w:p>
        </w:tc>
        <w:tc>
          <w:tcPr>
            <w:tcW w:type="dxa" w:w="1728"/>
            <w:shd w:fill="00126E" w:val="clear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728"/>
            <w:shd w:fill="00126E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728"/>
            <w:shd w:fill="00126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Body 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Calibri / Neue Frutiger World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12–13px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Line-height 1.5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Card heading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stack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Dark colour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KPI 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stack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25–26px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Dark colour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KPI label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stack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10–11px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Secondary text colour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Table 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stack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10–11px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White on blue/dark, letter-spacing 0.3px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Table cell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stack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11–12px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Right-align numbers, tabular-nums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Filter 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stack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Dark colour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Filter option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stack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 checkbox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TBD badge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stack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Amber bg, #715800 text</w:t>
            </w:r>
          </w:p>
        </w:tc>
      </w:tr>
    </w:tbl>
    <w:p>
      <w:pPr>
        <w:pStyle w:val="Heading2"/>
      </w:pPr>
      <w:r>
        <w:t>6.3 Spacing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126E" w:val="clear"/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320"/>
            <w:shd w:fill="00126E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Card grid gap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16–20px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Card padding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18–20px horizontal, 20–24px vertical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Card border-radius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Table cell padding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10–14px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Organisation column width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22–35% (fixed)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Numeric column width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16% (fixed)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Filter dropdown min-width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120px (trigger), 230px (panel)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Sub-org indent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28px padding-left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indent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56px padding-left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 card min-height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106px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Bubble chart max-height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480px</w:t>
            </w:r>
          </w:p>
        </w:tc>
      </w:tr>
    </w:tbl>
    <w:p>
      <w:pPr>
        <w:pStyle w:val="Heading2"/>
      </w:pPr>
      <w:r>
        <w:t>6.4 Table Styling</w:t>
      </w:r>
    </w:p>
    <w:p>
      <w:pPr>
        <w:pStyle w:val="ListBullet"/>
      </w:pPr>
      <w:r>
        <w:t>Sticky headers with z-index 2.</w:t>
      </w:r>
    </w:p>
    <w:p>
      <w:pPr>
        <w:pStyle w:val="ListBullet"/>
      </w:pPr>
      <w:r>
        <w:t>First column and header corner cell sticky-left with higher z-index.</w:t>
      </w:r>
    </w:p>
    <w:p>
      <w:pPr>
        <w:pStyle w:val="ListBullet"/>
      </w:pPr>
      <w:r>
        <w:t>Even rows: #f6f9fd background.</w:t>
      </w:r>
    </w:p>
    <w:p>
      <w:pPr>
        <w:pStyle w:val="ListBullet"/>
      </w:pPr>
      <w:r>
        <w:t>Hover: #BDF0FF background.</w:t>
      </w:r>
    </w:p>
    <w:p>
      <w:pPr>
        <w:pStyle w:val="ListBullet"/>
      </w:pPr>
      <w:r>
        <w:t>Group summary rows: #F8FAFC background, bold 600 weight.</w:t>
      </w:r>
    </w:p>
    <w:p>
      <w:pPr>
        <w:pStyle w:val="ListBullet"/>
      </w:pPr>
      <w:r>
        <w:t>Total rows: var(--lt) background, bold 700 weight.</w:t>
      </w:r>
    </w:p>
    <w:p>
      <w:pPr>
        <w:pStyle w:val="Heading2"/>
      </w:pPr>
      <w:r>
        <w:t>6.5 Filter Component</w:t>
      </w:r>
    </w:p>
    <w:p>
      <w:pPr>
        <w:pStyle w:val="ListBullet"/>
      </w:pPr>
      <w:r>
        <w:t>Uses HTML &lt;details&gt;/&lt;summary&gt; for collapsible dropdown.</w:t>
      </w:r>
    </w:p>
    <w:p>
      <w:pPr>
        <w:pStyle w:val="ListBullet"/>
      </w:pPr>
      <w:r>
        <w:t>Summary shows "Label: All" or "Label: N selected".</w:t>
      </w:r>
    </w:p>
    <w:p>
      <w:pPr>
        <w:pStyle w:val="ListBullet"/>
      </w:pPr>
      <w:r>
        <w:t>Options panel: absolute positioned, shadow, max-height 250px with scroll.</w:t>
      </w:r>
    </w:p>
    <w:p>
      <w:pPr>
        <w:pStyle w:val="ListBullet"/>
      </w:pPr>
      <w:r>
        <w:t>Each option: checkbox + label text + count badge in parentheses.</w:t>
      </w:r>
    </w:p>
    <w:p>
      <w:pPr>
        <w:pStyle w:val="Heading1"/>
      </w:pPr>
      <w:r>
        <w:t>7. Acceptance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126E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00126E" w:val="clear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fill="00126E" w:val="clear"/>
          </w:tcPr>
          <w:p>
            <w:r>
              <w:rPr>
                <w:b/>
                <w:color w:val="FFFFFF"/>
                <w:sz w:val="18"/>
              </w:rPr>
              <w:t>Acceptance Condition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baseline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521 programme rows and 280.2 M€ demand load without errors. 167 operations services and 469.7 M€ load correctly.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 precedence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P1/P2 and CCB exceptions (EW-11, EW-65, EW-71) classified as Stage 1. Sustain by source field only. Decommissioning in Stage 5.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Whole allocation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100 M€ envelope, Optimal Segmentation produces ~15M LFR + 20M Sustain/Hygiene + 50M Carry + 15M Value.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addition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Include an unfunded programme in Tab 3 → all tabs update, over-budget variance visible.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Cross-tab propagation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Amount edit in Tab 4 → Tab 2 KPIs, Tab 1 demand split, Tab 6 allocation update within 500ms.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dynamics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Organisation → Platform counts update. Total row reflects filtered view. Clear All restores.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Operations 3-level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Expand PD → 5 sub-orgs. Expand CT/AMI → 112 services. First service: SE002097.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Operations totals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PD=146.9, IGT=90.6, CC=108.0, EI=34.1, PH=75.9, IP&amp;S=4.6, I&amp;D=9.7. Grand=469.7.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Portfolio KPIs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IT AOP = 469.7 + programme funded. Updates live when scenario changes.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Portfolio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Shows funded programmes only. No median line. Compact colour legend.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Allocation 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 active orgs. Grand total = 469.7 + programme funded. Sort works.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Save/reopen reproduces exact scenario. IndexedDB key: Philips-AOP2027-v4.3.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Visual fidelity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Philips colour palette, Frutiger/Calibri fonts, sticky headers, responsive at 1920×1080.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