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00"/>
        <w:jc w:val="center"/>
      </w:pPr>
      <w:r>
        <w:rPr>
          <w:rFonts w:ascii="Arial" w:cs="Arial" w:eastAsia="Arial" w:hAnsi="Arial"/>
          <w:b/>
          <w:bCs/>
          <w:color w:val="4A4A4A"/>
          <w:sz w:val="24"/>
          <w:szCs w:val="24"/>
        </w:rPr>
        <w:t xml:space="preserve">KALINGA INSTITUTE OF INDUSTRIAL TECHNOLOGY</w:t>
      </w:r>
    </w:p>
    <w:p>
      <w:pPr>
        <w:spacing w:after="40"/>
        <w:jc w:val="center"/>
      </w:pPr>
      <w:r>
        <w:rPr>
          <w:rFonts w:ascii="Arial" w:cs="Arial" w:eastAsia="Arial" w:hAnsi="Arial"/>
          <w:color w:val="4A4A4A"/>
          <w:sz w:val="22"/>
          <w:szCs w:val="22"/>
        </w:rPr>
        <w:t xml:space="preserve">School of Computer Engineering</w:t>
      </w:r>
    </w:p>
    <w:p>
      <w:pPr>
        <w:spacing w:after="600"/>
        <w:jc w:val="center"/>
      </w:pPr>
      <w:r>
        <w:rPr>
          <w:rFonts w:ascii="Arial" w:cs="Arial" w:eastAsia="Arial" w:hAnsi="Arial"/>
          <w:i/>
          <w:iCs/>
          <w:color w:val="4A4A4A"/>
          <w:sz w:val="20"/>
          <w:szCs w:val="20"/>
        </w:rPr>
        <w:t xml:space="preserve">SAP ERP Curriculum — Project Submission</w:t>
      </w:r>
    </w:p>
    <w:p>
      <w:pPr>
        <w:pBdr>
          <w:top w:val="single" w:color="1F4E79" w:sz="12" w:space="1"/>
          <w:bottom w:val="single" w:color="1F4E79" w:sz="12" w:space="1"/>
        </w:pBdr>
        <w:spacing w:after="40"/>
        <w:jc w:val="center"/>
      </w:pPr>
      <w:r>
        <w:rPr>
          <w:sz w:val="10"/>
          <w:szCs w:val="10"/>
        </w:rPr>
        <w:t xml:space="preserve"> </w:t>
      </w:r>
    </w:p>
    <w:p>
      <w:pPr>
        <w:spacing w:after="60"/>
      </w:pPr>
    </w:p>
    <w:p>
      <w:pPr>
        <w:spacing w:after="100"/>
        <w:jc w:val="center"/>
      </w:pPr>
      <w:r>
        <w:rPr>
          <w:rFonts w:ascii="Arial" w:cs="Arial" w:eastAsia="Arial" w:hAnsi="Arial"/>
          <w:b/>
          <w:bCs/>
          <w:color w:val="1F4E79"/>
          <w:sz w:val="52"/>
          <w:szCs w:val="52"/>
        </w:rPr>
        <w:t xml:space="preserve">SAP ERP BLUEPRINT DOCUMENT</w:t>
      </w:r>
    </w:p>
    <w:p>
      <w:pPr>
        <w:spacing w:after="60"/>
        <w:jc w:val="center"/>
      </w:pPr>
      <w:r>
        <w:rPr>
          <w:rFonts w:ascii="Arial" w:cs="Arial" w:eastAsia="Arial" w:hAnsi="Arial"/>
          <w:b/>
          <w:bCs/>
          <w:color w:val="0D6E6E"/>
          <w:sz w:val="32"/>
          <w:szCs w:val="32"/>
        </w:rPr>
        <w:t xml:space="preserve">Enterprise Structure Design &amp; Customization</w:t>
      </w:r>
    </w:p>
    <w:p>
      <w:pPr>
        <w:spacing w:after="60"/>
        <w:jc w:val="center"/>
      </w:pPr>
      <w:r>
        <w:rPr>
          <w:rFonts w:ascii="Arial" w:cs="Arial" w:eastAsia="Arial" w:hAnsi="Arial"/>
          <w:i/>
          <w:iCs/>
          <w:color w:val="4A4A4A"/>
          <w:sz w:val="26"/>
          <w:szCs w:val="26"/>
        </w:rPr>
        <w:t xml:space="preserve">for</w:t>
      </w:r>
    </w:p>
    <w:p>
      <w:pPr>
        <w:spacing w:after="600"/>
        <w:jc w:val="center"/>
      </w:pPr>
      <w:r>
        <w:rPr>
          <w:rFonts w:ascii="Arial" w:cs="Arial" w:eastAsia="Arial" w:hAnsi="Arial"/>
          <w:b/>
          <w:bCs/>
          <w:color w:val="3B1F6A"/>
          <w:sz w:val="36"/>
          <w:szCs w:val="36"/>
        </w:rPr>
        <w:t xml:space="preserve">NovaTrade Industries Pvt. Ltd.</w:t>
      </w:r>
    </w:p>
    <w:p>
      <w:pPr>
        <w:spacing w:after="60"/>
      </w:pPr>
    </w:p>
    <w:p>
      <w:pPr>
        <w:pBdr>
          <w:bottom w:val="single" w:color="1F4E79" w:sz="6" w:space="1"/>
        </w:pBdr>
        <w:spacing w:after="40"/>
        <w:jc w:val="center"/>
      </w:pPr>
      <w:r>
        <w:rPr>
          <w:sz w:val="10"/>
          <w:szCs w:val="10"/>
        </w:rPr>
        <w:t xml:space="preserve"> </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872"/>
        <w:gridCol w:w="2028"/>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Modules Covered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FI · MM · SD</w:t>
            </w:r>
          </w:p>
        </w:tc>
        <w:tc>
          <w:tcPr>
            <w:tcW w:type="dxa" w:w="1872"/>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Academic Year</w:t>
            </w:r>
          </w:p>
        </w:tc>
        <w:tc>
          <w:tcPr>
            <w:tcW w:type="dxa" w:w="202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2024–25</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4A4A4A"/>
                <w:sz w:val="20"/>
                <w:szCs w:val="20"/>
              </w:rPr>
              <w:t xml:space="preserve">Submitted 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SAP Faculty — KIIT University</w:t>
            </w:r>
          </w:p>
        </w:tc>
        <w:tc>
          <w:tcPr>
            <w:tcW w:type="dxa" w:w="187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4A4A4A"/>
                <w:sz w:val="20"/>
                <w:szCs w:val="20"/>
              </w:rPr>
              <w:t xml:space="preserve">Course</w:t>
            </w:r>
          </w:p>
        </w:tc>
        <w:tc>
          <w:tcPr>
            <w:tcW w:type="dxa" w:w="202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SAP ERP Fundamentals</w:t>
            </w:r>
          </w:p>
        </w:tc>
      </w:tr>
    </w:tbl>
    <w:p>
      <w:pPr>
        <w:spacing w:after="400"/>
      </w:pPr>
    </w:p>
    <w:p>
      <w:pPr>
        <w:spacing w:after="60"/>
        <w:jc w:val="center"/>
      </w:pPr>
      <w:r>
        <w:rPr>
          <w:rFonts w:ascii="Arial" w:cs="Arial" w:eastAsia="Arial" w:hAnsi="Arial"/>
          <w:i/>
          <w:iCs/>
          <w:color w:val="4A4A4A"/>
          <w:sz w:val="20"/>
          <w:szCs w:val="20"/>
        </w:rPr>
        <w:t xml:space="preserve">Prepared by Student — KIIT University, Bhubaneswar</w:t>
      </w:r>
    </w:p>
    <w:p>
      <w:pPr>
        <w:jc w:val="center"/>
      </w:pPr>
      <w:r>
        <w:rPr>
          <w:rFonts w:ascii="Arial" w:cs="Arial" w:eastAsia="Arial" w:hAnsi="Arial"/>
          <w:color w:val="4A4A4A"/>
          <w:sz w:val="20"/>
          <w:szCs w:val="20"/>
        </w:rPr>
        <w:t xml:space="preserve">April 2025</w:t>
      </w:r>
    </w:p>
    <w:p>
      <w:r>
        <w:br w:type="page"/>
      </w:r>
    </w:p>
    <w:p>
      <w:pPr>
        <w:sectPr>
          <w:pgSz w:w="12240" w:h="15840" w:orient="portrait"/>
          <w:pgMar w:top="1440" w:right="1440" w:bottom="1440" w:left="1440" w:header="708" w:footer="708" w:gutter="0"/>
          <w:pgNumType/>
          <w:docGrid w:linePitch="360"/>
        </w:sectPr>
      </w:pPr>
    </w:p>
    <w:p>
      <w:pPr>
        <w:pStyle w:val="Heading1"/>
        <w:spacing w:after="160" w:before="400"/>
      </w:pPr>
      <w:r>
        <w:rPr>
          <w:rFonts w:ascii="Arial" w:cs="Arial" w:eastAsia="Arial" w:hAnsi="Arial"/>
          <w:b/>
          <w:bCs/>
          <w:color w:val="1F4E79"/>
          <w:sz w:val="38"/>
          <w:szCs w:val="38"/>
        </w:rPr>
        <w:t xml:space="preserve">1. Executive Summary</w:t>
      </w:r>
    </w:p>
    <w:p>
      <w:pPr>
        <w:pBdr>
          <w:bottom w:val="single" w:color="1F4E79" w:sz="8" w:space="1"/>
        </w:pBdr>
        <w:spacing w:after="160" w:before="80"/>
      </w:pPr>
    </w:p>
    <w:p>
      <w:pPr>
        <w:spacing w:after="140"/>
      </w:pPr>
      <w:r>
        <w:rPr>
          <w:rFonts w:ascii="Arial" w:cs="Arial" w:eastAsia="Arial" w:hAnsi="Arial"/>
          <w:color w:val="1A1A1A"/>
          <w:sz w:val="22"/>
          <w:szCs w:val="22"/>
        </w:rPr>
        <w:t xml:space="preserve">This document presents a comprehensive SAP ERP blueprint for NovaTrade Industries Pvt. Ltd., a fictitious mid-size Indian trading and light manufacturing enterprise headquartered in New Delhi. The blueprint covers the design, enterprise structure definition, and customization steps for three core SAP functional modules: Financial Accounting (FI), Materials Management (MM), and Sales &amp; Distribution (SD).</w:t>
      </w:r>
    </w:p>
    <w:p>
      <w:pPr>
        <w:spacing w:after="140"/>
      </w:pPr>
      <w:r>
        <w:rPr>
          <w:rFonts w:ascii="Arial" w:cs="Arial" w:eastAsia="Arial" w:hAnsi="Arial"/>
          <w:color w:val="1A1A1A"/>
          <w:sz w:val="22"/>
          <w:szCs w:val="22"/>
        </w:rPr>
        <w:t xml:space="preserve">The objective of this project is to simulate a real-world SAP implementation engagement — from initial company definition and organizational structure setup through master data configuration and cross-module integration mapping. The document follows the standard SAP implementation methodology (ASAP/Activate) and mirrors the artifacts a functional consultant would produce during the Blueprint phase of an SAP project.</w:t>
      </w:r>
    </w:p>
    <w:p>
      <w:pPr>
        <w:spacing w:after="160"/>
      </w:pPr>
    </w:p>
    <w:p>
      <w:pPr>
        <w:pStyle w:val="Heading1"/>
        <w:spacing w:after="160" w:before="400"/>
      </w:pPr>
      <w:r>
        <w:rPr>
          <w:rFonts w:ascii="Arial" w:cs="Arial" w:eastAsia="Arial" w:hAnsi="Arial"/>
          <w:b/>
          <w:bCs/>
          <w:color w:val="1F4E79"/>
          <w:sz w:val="38"/>
          <w:szCs w:val="38"/>
        </w:rPr>
        <w:t xml:space="preserve">2. Company Profile — NovaTrade Industries Pvt. Ltd.</w:t>
      </w:r>
    </w:p>
    <w:p>
      <w:pPr>
        <w:pBdr>
          <w:bottom w:val="single" w:color="1F4E79" w:sz="8" w:space="1"/>
        </w:pBdr>
        <w:spacing w:after="160" w:before="80"/>
      </w:pPr>
    </w:p>
    <w:p>
      <w:pPr>
        <w:spacing w:after="140"/>
      </w:pPr>
      <w:r>
        <w:rPr>
          <w:rFonts w:ascii="Arial" w:cs="Arial" w:eastAsia="Arial" w:hAnsi="Arial"/>
          <w:color w:val="1A1A1A"/>
          <w:sz w:val="22"/>
          <w:szCs w:val="22"/>
        </w:rPr>
        <w:t xml:space="preserve">NovaTrade Industries Pvt. Ltd. is a fictitious company incorporated under the Companies Act, 2013. It operates in two primary business verticals: consumer electronics distribution and fast-moving consumer goods (FMCG) manufacturing. The company has a centralized head office in New Delhi and a manufacturing plant in Noida, Uttar Pradesh.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Company Attribute</w:t>
            </w:r>
          </w:p>
        </w:tc>
        <w:tc>
          <w:tcPr>
            <w:tcW w:type="dxa" w:w="65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Company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NovaTrade Industries Pvt. Ltd.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Company 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NT01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Country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India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Currency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INR (Indian Rupee)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Industry Sector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Consumer Electronics &amp; FMCG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Fiscal Year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April 1 — March 31 (Indian Financial Year)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EN (English)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Chart of Accounts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NTIN (NovaTrade India)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SAP Client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Head Office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Connaught Place, New Delhi — 110001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Manufacturing Plant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Sector 63, Noida, Uttar Pradesh — 201301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Annual Turnover (Fictitious)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INR 850 Crores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Number of Employees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Approx. 1,200</w:t>
            </w:r>
          </w:p>
        </w:tc>
      </w:tr>
    </w:tbl>
    <w:p>
      <w:pPr>
        <w:spacing w:after="160"/>
      </w:pPr>
    </w:p>
    <w:p>
      <w:pPr>
        <w:pStyle w:val="Heading2"/>
        <w:spacing w:after="112" w:before="280"/>
      </w:pPr>
      <w:r>
        <w:rPr>
          <w:rFonts w:ascii="Arial" w:cs="Arial" w:eastAsia="Arial" w:hAnsi="Arial"/>
          <w:b/>
          <w:bCs/>
          <w:color w:val="1F4E79"/>
          <w:sz w:val="30"/>
          <w:szCs w:val="30"/>
        </w:rPr>
        <w:t xml:space="preserve">2.1 Business Operations Overview</w:t>
      </w:r>
    </w:p>
    <w:p>
      <w:pPr>
        <w:spacing w:after="140"/>
      </w:pPr>
      <w:r>
        <w:rPr>
          <w:rFonts w:ascii="Arial" w:cs="Arial" w:eastAsia="Arial" w:hAnsi="Arial"/>
          <w:color w:val="1A1A1A"/>
          <w:sz w:val="22"/>
          <w:szCs w:val="22"/>
        </w:rPr>
        <w:t xml:space="preserve">NovaTrade operates across two divisions:</w:t>
      </w:r>
    </w:p>
    <w:p>
      <w:pPr>
        <w:pStyle w:val="ListParagraph"/>
        <w:numPr>
          <w:ilvl w:val="0"/>
          <w:numId w:val="2"/>
        </w:numPr>
        <w:spacing w:after="70"/>
      </w:pPr>
      <w:r>
        <w:rPr>
          <w:rFonts w:ascii="Arial" w:cs="Arial" w:eastAsia="Arial" w:hAnsi="Arial"/>
          <w:color w:val="1A1A1A"/>
          <w:sz w:val="22"/>
          <w:szCs w:val="22"/>
        </w:rPr>
        <w:t xml:space="preserve">Electronics Division: Imports consumer electronics (smartphones, laptops, accessories) and distributes them through a network of authorized dealers and retail partners across North India.</w:t>
      </w:r>
    </w:p>
    <w:p>
      <w:pPr>
        <w:pStyle w:val="ListParagraph"/>
        <w:numPr>
          <w:ilvl w:val="0"/>
          <w:numId w:val="2"/>
        </w:numPr>
        <w:spacing w:after="70"/>
      </w:pPr>
      <w:r>
        <w:rPr>
          <w:rFonts w:ascii="Arial" w:cs="Arial" w:eastAsia="Arial" w:hAnsi="Arial"/>
          <w:color w:val="1A1A1A"/>
          <w:sz w:val="22"/>
          <w:szCs w:val="22"/>
        </w:rPr>
        <w:t xml:space="preserve">FMCG Division: Manufactures and distributes packaged food products and personal care items through wholesale and retail channels nationwide.</w:t>
      </w:r>
    </w:p>
    <w:p>
      <w:pPr>
        <w:spacing w:after="160"/>
      </w:pPr>
    </w:p>
    <w:p>
      <w:pPr>
        <w:pStyle w:val="Heading1"/>
        <w:spacing w:after="160" w:before="400"/>
      </w:pPr>
      <w:r>
        <w:rPr>
          <w:rFonts w:ascii="Arial" w:cs="Arial" w:eastAsia="Arial" w:hAnsi="Arial"/>
          <w:b/>
          <w:bCs/>
          <w:color w:val="1F4E79"/>
          <w:sz w:val="38"/>
          <w:szCs w:val="38"/>
        </w:rPr>
        <w:t xml:space="preserve">3. SAP Enterprise Structure</w:t>
      </w:r>
    </w:p>
    <w:p>
      <w:pPr>
        <w:pBdr>
          <w:bottom w:val="single" w:color="1F4E79" w:sz="8" w:space="1"/>
        </w:pBdr>
        <w:spacing w:after="160" w:before="80"/>
      </w:pPr>
    </w:p>
    <w:p>
      <w:pPr>
        <w:spacing w:after="140"/>
      </w:pPr>
      <w:r>
        <w:rPr>
          <w:rFonts w:ascii="Arial" w:cs="Arial" w:eastAsia="Arial" w:hAnsi="Arial"/>
          <w:color w:val="1A1A1A"/>
          <w:sz w:val="22"/>
          <w:szCs w:val="22"/>
        </w:rPr>
        <w:t xml:space="preserve">The SAP enterprise structure defines the organizational units within the system and how they relate to each other. These units mirror the real-world legal, financial, and operational divisions of NovaTrade Industries. The structure is defined at the highest level with a SAP Client, followed by the Company Code, and then module-specific sub-units.</w:t>
      </w:r>
    </w:p>
    <w:p>
      <w:pPr>
        <w:spacing w:after="80"/>
      </w:pPr>
    </w:p>
    <w:p>
      <w:pPr>
        <w:spacing w:after="60" w:before="120"/>
        <w:jc w:val="center"/>
      </w:pPr>
      <w:r>
        <w:drawing>
          <wp:inline distT="0" distB="0" distL="0" distR="0">
            <wp:extent cx="5905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38600"/>
                    </a:xfrm>
                    <a:prstGeom prst="rect">
                      <a:avLst/>
                    </a:prstGeom>
                  </pic:spPr>
                </pic:pic>
              </a:graphicData>
            </a:graphic>
          </wp:inline>
        </w:drawing>
      </w:r>
    </w:p>
    <w:p>
      <w:pPr>
        <w:spacing w:after="200" w:before="60"/>
        <w:jc w:val="center"/>
      </w:pPr>
      <w:r>
        <w:rPr>
          <w:rFonts w:ascii="Arial" w:cs="Arial" w:eastAsia="Arial" w:hAnsi="Arial"/>
          <w:i/>
          <w:iCs/>
          <w:color w:val="4A4A4A"/>
          <w:sz w:val="18"/>
          <w:szCs w:val="18"/>
        </w:rPr>
        <w:t xml:space="preserve">Figure 1: SAP Enterprise Structure — NovaTrade Industries Pvt. Ltd. (Client 100)</w:t>
      </w:r>
    </w:p>
    <w:p>
      <w:pPr>
        <w:pStyle w:val="Heading2"/>
        <w:spacing w:after="112" w:before="280"/>
      </w:pPr>
      <w:r>
        <w:rPr>
          <w:rFonts w:ascii="Arial" w:cs="Arial" w:eastAsia="Arial" w:hAnsi="Arial"/>
          <w:b/>
          <w:bCs/>
          <w:color w:val="1F4E79"/>
          <w:sz w:val="30"/>
          <w:szCs w:val="30"/>
        </w:rPr>
        <w:t xml:space="preserve">3.1 Financial Accounting (FI)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 Org Unit</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 / Value</w:t>
            </w:r>
          </w:p>
        </w:tc>
        <w:tc>
          <w:tcPr>
            <w:tcW w:type="dxa" w:w="46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Company Code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NT01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Legal entity — NovaTrade Industries Pvt. Ltd.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Chart of Accounts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NTIN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NovaTrade India custom CoA linked to NT01</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Fiscal Year Variant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V3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April to March, 12 posting periods + 4 special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Posting Period Variant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NT01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Controls open/closed periods for NT01</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Field Status Variant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NT01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Defines mandatory/optional fields per GL account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Currency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INR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Indian Rupee as company code currency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Credit Control Area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NT01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Customer credit monitoring for NT01</w:t>
            </w:r>
          </w:p>
        </w:tc>
      </w:tr>
    </w:tbl>
    <w:p>
      <w:pPr>
        <w:spacing w:after="160"/>
      </w:pPr>
    </w:p>
    <w:p>
      <w:pPr>
        <w:pStyle w:val="Heading2"/>
        <w:spacing w:after="112" w:before="280"/>
      </w:pPr>
      <w:r>
        <w:rPr>
          <w:rFonts w:ascii="Arial" w:cs="Arial" w:eastAsia="Arial" w:hAnsi="Arial"/>
          <w:b/>
          <w:bCs/>
          <w:color w:val="1F4E79"/>
          <w:sz w:val="30"/>
          <w:szCs w:val="30"/>
        </w:rPr>
        <w:t xml:space="preserve">3.2 Materials Management (MM)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0D6E6E" w:sz="1"/>
              <w:left w:val="single" w:color="0D6E6E" w:sz="1"/>
              <w:bottom w:val="single" w:color="0D6E6E" w:sz="1"/>
              <w:right w:val="single" w:color="0D6E6E" w:sz="1"/>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MM Org Unit</w:t>
            </w:r>
          </w:p>
        </w:tc>
        <w:tc>
          <w:tcPr>
            <w:tcW w:type="dxa" w:w="2340"/>
            <w:tcBorders>
              <w:top w:val="single" w:color="0D6E6E" w:sz="1"/>
              <w:left w:val="single" w:color="0D6E6E" w:sz="1"/>
              <w:bottom w:val="single" w:color="0D6E6E" w:sz="1"/>
              <w:right w:val="single" w:color="0D6E6E" w:sz="1"/>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 / Value</w:t>
            </w:r>
          </w:p>
        </w:tc>
        <w:tc>
          <w:tcPr>
            <w:tcW w:type="dxa" w:w="4680"/>
            <w:tcBorders>
              <w:top w:val="single" w:color="0D6E6E" w:sz="1"/>
              <w:left w:val="single" w:color="0D6E6E" w:sz="1"/>
              <w:bottom w:val="single" w:color="0D6E6E" w:sz="1"/>
              <w:right w:val="single" w:color="0D6E6E" w:sz="1"/>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Plant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NT10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New Delhi — Distribution Hub (Head Office)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Plant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NT20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Noida — Manufacturing Plant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Storage Location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SL01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Raw Material Store (NT20)</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Storage Location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SL02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Finished Goods Warehouse (NT10)</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Storage Location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SL03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Spare Parts &amp; Consumables Store (NT10)</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Purchasing Organization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PO01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Central Purchasing — all vendors for NT01</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Purchasing Group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PG01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Electronics Procurement Team</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Purchasing Group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PG02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FMCG Raw Material Procurement Team</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Valuation Area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NT10 / NT20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Plant-level valuation (Moving Average Price)</w:t>
            </w:r>
          </w:p>
        </w:tc>
      </w:tr>
    </w:tbl>
    <w:p>
      <w:pPr>
        <w:spacing w:after="160"/>
      </w:pPr>
    </w:p>
    <w:p>
      <w:pPr>
        <w:pStyle w:val="Heading2"/>
        <w:spacing w:after="112" w:before="280"/>
      </w:pPr>
      <w:r>
        <w:rPr>
          <w:rFonts w:ascii="Arial" w:cs="Arial" w:eastAsia="Arial" w:hAnsi="Arial"/>
          <w:b/>
          <w:bCs/>
          <w:color w:val="1F4E79"/>
          <w:sz w:val="30"/>
          <w:szCs w:val="30"/>
        </w:rPr>
        <w:t xml:space="preserve">3.3 Sales &amp; Distribution (SD)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7B4F00" w:sz="1"/>
              <w:left w:val="single" w:color="7B4F00" w:sz="1"/>
              <w:bottom w:val="single" w:color="7B4F00" w:sz="1"/>
              <w:right w:val="single" w:color="7B4F00" w:sz="1"/>
            </w:tcBorders>
            <w:shd w:fill="7B4F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SD Org Unit</w:t>
            </w:r>
          </w:p>
        </w:tc>
        <w:tc>
          <w:tcPr>
            <w:tcW w:type="dxa" w:w="2340"/>
            <w:tcBorders>
              <w:top w:val="single" w:color="7B4F00" w:sz="1"/>
              <w:left w:val="single" w:color="7B4F00" w:sz="1"/>
              <w:bottom w:val="single" w:color="7B4F00" w:sz="1"/>
              <w:right w:val="single" w:color="7B4F00" w:sz="1"/>
            </w:tcBorders>
            <w:shd w:fill="7B4F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 / Value</w:t>
            </w:r>
          </w:p>
        </w:tc>
        <w:tc>
          <w:tcPr>
            <w:tcW w:type="dxa" w:w="4680"/>
            <w:tcBorders>
              <w:top w:val="single" w:color="7B4F00" w:sz="1"/>
              <w:left w:val="single" w:color="7B4F00" w:sz="1"/>
              <w:bottom w:val="single" w:color="7B4F00" w:sz="1"/>
              <w:right w:val="single" w:color="7B4F00" w:sz="1"/>
            </w:tcBorders>
            <w:shd w:fill="7B4F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Sales Organization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SO01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India Domestic Sales — NovaTrade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Distribution Channel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DC01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Wholesale — B2B channel to dealers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Distribution Channel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DC02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Retail — Direct-to-consumer / e-commerce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Division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DV01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Electronics Division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Division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DV02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FMCG Division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Sales Area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SO01/DC01/DV01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Electronics — Wholesale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Sales Area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SO01/DC02/DV02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FMCG — Retail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Shipping Point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SP01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New Delhi Dispatch Hub</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Sales District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SD-NORTH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North India Territory</w:t>
            </w:r>
          </w:p>
        </w:tc>
      </w:tr>
    </w:tbl>
    <w:p>
      <w:pPr>
        <w:spacing w:after="160"/>
      </w:pPr>
    </w:p>
    <w:p>
      <w:pPr>
        <w:pStyle w:val="Heading1"/>
        <w:spacing w:after="160" w:before="400"/>
      </w:pPr>
      <w:r>
        <w:rPr>
          <w:rFonts w:ascii="Arial" w:cs="Arial" w:eastAsia="Arial" w:hAnsi="Arial"/>
          <w:b/>
          <w:bCs/>
          <w:color w:val="1F4E79"/>
          <w:sz w:val="38"/>
          <w:szCs w:val="38"/>
        </w:rPr>
        <w:t xml:space="preserve">4. Master Data Configuration</w:t>
      </w:r>
    </w:p>
    <w:p>
      <w:pPr>
        <w:pBdr>
          <w:bottom w:val="single" w:color="1F4E79" w:sz="8" w:space="1"/>
        </w:pBdr>
        <w:spacing w:after="160" w:before="80"/>
      </w:pPr>
    </w:p>
    <w:p>
      <w:pPr>
        <w:spacing w:after="140"/>
      </w:pPr>
      <w:r>
        <w:rPr>
          <w:rFonts w:ascii="Arial" w:cs="Arial" w:eastAsia="Arial" w:hAnsi="Arial"/>
          <w:color w:val="1A1A1A"/>
          <w:sz w:val="22"/>
          <w:szCs w:val="22"/>
        </w:rPr>
        <w:t xml:space="preserve">Master data forms the foundation of all transactional processing in SAP. The following master data objects are defined for NovaTrade Industries. Unlike configuration (which is done once), master data is maintained on an ongoing basis by business users.</w:t>
      </w:r>
    </w:p>
    <w:p>
      <w:pPr>
        <w:spacing w:after="80"/>
      </w:pPr>
    </w:p>
    <w:p>
      <w:pPr>
        <w:pStyle w:val="Heading2"/>
        <w:spacing w:after="112" w:before="280"/>
      </w:pPr>
      <w:r>
        <w:rPr>
          <w:rFonts w:ascii="Arial" w:cs="Arial" w:eastAsia="Arial" w:hAnsi="Arial"/>
          <w:b/>
          <w:bCs/>
          <w:color w:val="1F4E79"/>
          <w:sz w:val="30"/>
          <w:szCs w:val="30"/>
        </w:rPr>
        <w:t xml:space="preserve">4.1 GL Account Master Data (FI)</w:t>
      </w:r>
    </w:p>
    <w:p>
      <w:pPr>
        <w:spacing w:after="140"/>
      </w:pPr>
      <w:r>
        <w:rPr>
          <w:rFonts w:ascii="Arial" w:cs="Arial" w:eastAsia="Arial" w:hAnsi="Arial"/>
          <w:color w:val="1A1A1A"/>
          <w:sz w:val="22"/>
          <w:szCs w:val="22"/>
        </w:rPr>
        <w:t xml:space="preserve">The General Ledger (GL) accounts are organized under the chart of accounts NTIN. The key account groups and sample accounts are listed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Account Group</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Account Range</w:t>
            </w:r>
          </w:p>
        </w:tc>
        <w:tc>
          <w:tcPr>
            <w:tcW w:type="dxa" w:w="46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Sample Accounts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Balance Sheet — Assets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100000–199999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Cash, Bank SBI, Accounts Receivable, Fixed Assets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Balance Sheet — Liabilities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200000–299999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Accounts Payable, Loans, GST Payable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Revenue Accounts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300000–399999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Domestic Sales, Export Sales, Service Revenue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Cost of Goods Sold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400000–499999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COGS Electronics, COGS FMCG, Freight Outward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Operating Expenses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500000–599999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Salaries, Rent, Utilities, Marketing Expenses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Tax Accounts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600000–699999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Input GST, Output GST, TDS Payable, Advance Tax</w:t>
            </w:r>
          </w:p>
        </w:tc>
      </w:tr>
    </w:tbl>
    <w:p>
      <w:pPr>
        <w:spacing w:after="160"/>
      </w:pPr>
    </w:p>
    <w:p>
      <w:pPr>
        <w:pStyle w:val="Heading2"/>
        <w:spacing w:after="112" w:before="280"/>
      </w:pPr>
      <w:r>
        <w:rPr>
          <w:rFonts w:ascii="Arial" w:cs="Arial" w:eastAsia="Arial" w:hAnsi="Arial"/>
          <w:b/>
          <w:bCs/>
          <w:color w:val="1F4E79"/>
          <w:sz w:val="30"/>
          <w:szCs w:val="30"/>
        </w:rPr>
        <w:t xml:space="preserve">4.2 Vendor Master Data (MM/FI)</w:t>
      </w:r>
    </w:p>
    <w:p>
      <w:pPr>
        <w:spacing w:after="140"/>
      </w:pPr>
      <w:r>
        <w:rPr>
          <w:rFonts w:ascii="Arial" w:cs="Arial" w:eastAsia="Arial" w:hAnsi="Arial"/>
          <w:color w:val="1A1A1A"/>
          <w:sz w:val="22"/>
          <w:szCs w:val="22"/>
        </w:rPr>
        <w:t xml:space="preserve">Vendor master records are created centrally and include both purchasing data (used in MM) and accounting data (used in FI). Key vendors for NovaTrade: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2340"/>
        <w:gridCol w:w="2340"/>
      </w:tblGrid>
      <w:tr>
        <w:trPr>
          <w:tblHeader/>
        </w:trPr>
        <w:tc>
          <w:tcPr>
            <w:tcW w:type="dxa" w:w="1560"/>
            <w:tcBorders>
              <w:top w:val="single" w:color="0D6E6E" w:sz="1"/>
              <w:left w:val="single" w:color="0D6E6E" w:sz="1"/>
              <w:bottom w:val="single" w:color="0D6E6E" w:sz="1"/>
              <w:right w:val="single" w:color="0D6E6E" w:sz="1"/>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Vendor ID</w:t>
            </w:r>
          </w:p>
        </w:tc>
        <w:tc>
          <w:tcPr>
            <w:tcW w:type="dxa" w:w="3120"/>
            <w:tcBorders>
              <w:top w:val="single" w:color="0D6E6E" w:sz="1"/>
              <w:left w:val="single" w:color="0D6E6E" w:sz="1"/>
              <w:bottom w:val="single" w:color="0D6E6E" w:sz="1"/>
              <w:right w:val="single" w:color="0D6E6E" w:sz="1"/>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Vendor Name</w:t>
            </w:r>
          </w:p>
        </w:tc>
        <w:tc>
          <w:tcPr>
            <w:tcW w:type="dxa" w:w="2340"/>
            <w:tcBorders>
              <w:top w:val="single" w:color="0D6E6E" w:sz="1"/>
              <w:left w:val="single" w:color="0D6E6E" w:sz="1"/>
              <w:bottom w:val="single" w:color="0D6E6E" w:sz="1"/>
              <w:right w:val="single" w:color="0D6E6E" w:sz="1"/>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2340"/>
            <w:tcBorders>
              <w:top w:val="single" w:color="0D6E6E" w:sz="1"/>
              <w:left w:val="single" w:color="0D6E6E" w:sz="1"/>
              <w:bottom w:val="single" w:color="0D6E6E" w:sz="1"/>
              <w:right w:val="single" w:color="0D6E6E" w:sz="1"/>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Payment Terms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V1001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Samsung India Electronics Pvt. Ltd.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Electronics Supplier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Net 30 days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V1002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Hindustan Unilever Ltd.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FMCG Raw Materials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Net 45 days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V1003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Blue Dart Logistics Pvt. Ltd.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Freight / 3PL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Net 15 days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V1004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Tata Packaging Solutions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Packaging Materials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Net 30 days</w:t>
            </w:r>
          </w:p>
        </w:tc>
      </w:tr>
    </w:tbl>
    <w:p>
      <w:pPr>
        <w:spacing w:after="160"/>
      </w:pPr>
    </w:p>
    <w:p>
      <w:pPr>
        <w:pStyle w:val="Heading2"/>
        <w:spacing w:after="112" w:before="280"/>
      </w:pPr>
      <w:r>
        <w:rPr>
          <w:rFonts w:ascii="Arial" w:cs="Arial" w:eastAsia="Arial" w:hAnsi="Arial"/>
          <w:b/>
          <w:bCs/>
          <w:color w:val="1F4E79"/>
          <w:sz w:val="30"/>
          <w:szCs w:val="30"/>
        </w:rPr>
        <w:t xml:space="preserve">4.3 Customer Master Data (SD/FI)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2340"/>
        <w:gridCol w:w="2340"/>
      </w:tblGrid>
      <w:tr>
        <w:trPr>
          <w:tblHeader/>
        </w:trPr>
        <w:tc>
          <w:tcPr>
            <w:tcW w:type="dxa" w:w="1560"/>
            <w:tcBorders>
              <w:top w:val="single" w:color="7B4F00" w:sz="1"/>
              <w:left w:val="single" w:color="7B4F00" w:sz="1"/>
              <w:bottom w:val="single" w:color="7B4F00" w:sz="1"/>
              <w:right w:val="single" w:color="7B4F00" w:sz="1"/>
            </w:tcBorders>
            <w:shd w:fill="7B4F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Customer ID</w:t>
            </w:r>
          </w:p>
        </w:tc>
        <w:tc>
          <w:tcPr>
            <w:tcW w:type="dxa" w:w="3120"/>
            <w:tcBorders>
              <w:top w:val="single" w:color="7B4F00" w:sz="1"/>
              <w:left w:val="single" w:color="7B4F00" w:sz="1"/>
              <w:bottom w:val="single" w:color="7B4F00" w:sz="1"/>
              <w:right w:val="single" w:color="7B4F00" w:sz="1"/>
            </w:tcBorders>
            <w:shd w:fill="7B4F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Customer Name</w:t>
            </w:r>
          </w:p>
        </w:tc>
        <w:tc>
          <w:tcPr>
            <w:tcW w:type="dxa" w:w="2340"/>
            <w:tcBorders>
              <w:top w:val="single" w:color="7B4F00" w:sz="1"/>
              <w:left w:val="single" w:color="7B4F00" w:sz="1"/>
              <w:bottom w:val="single" w:color="7B4F00" w:sz="1"/>
              <w:right w:val="single" w:color="7B4F00" w:sz="1"/>
            </w:tcBorders>
            <w:shd w:fill="7B4F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Channel</w:t>
            </w:r>
          </w:p>
        </w:tc>
        <w:tc>
          <w:tcPr>
            <w:tcW w:type="dxa" w:w="2340"/>
            <w:tcBorders>
              <w:top w:val="single" w:color="7B4F00" w:sz="1"/>
              <w:left w:val="single" w:color="7B4F00" w:sz="1"/>
              <w:bottom w:val="single" w:color="7B4F00" w:sz="1"/>
              <w:right w:val="single" w:color="7B4F00" w:sz="1"/>
            </w:tcBorders>
            <w:shd w:fill="7B4F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Credit Limit</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C2001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Croma Retail Ltd.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Retail (DC02)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INR 2,00,00,000</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C2002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Metro Cash &amp; Carry India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Wholesale (DC01)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INR 5,00,00,000</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C2003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Reliance Digital Pvt. Ltd.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Retail (DC02)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INR 3,50,00,000</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C2004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Amazon Seller Services Pvt. Ltd.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Retail (DC02)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INR 10,00,00,000</w:t>
            </w:r>
          </w:p>
        </w:tc>
      </w:tr>
    </w:tbl>
    <w:p>
      <w:pPr>
        <w:spacing w:after="160"/>
      </w:pPr>
    </w:p>
    <w:p>
      <w:pPr>
        <w:pStyle w:val="Heading2"/>
        <w:spacing w:after="112" w:before="280"/>
      </w:pPr>
      <w:r>
        <w:rPr>
          <w:rFonts w:ascii="Arial" w:cs="Arial" w:eastAsia="Arial" w:hAnsi="Arial"/>
          <w:b/>
          <w:bCs/>
          <w:color w:val="1F4E79"/>
          <w:sz w:val="30"/>
          <w:szCs w:val="30"/>
        </w:rPr>
        <w:t xml:space="preserve">4.4 Material Master Data (MM)</w:t>
      </w:r>
    </w:p>
    <w:p>
      <w:pPr>
        <w:spacing w:after="140"/>
      </w:pPr>
      <w:r>
        <w:rPr>
          <w:rFonts w:ascii="Arial" w:cs="Arial" w:eastAsia="Arial" w:hAnsi="Arial"/>
          <w:color w:val="1A1A1A"/>
          <w:sz w:val="22"/>
          <w:szCs w:val="22"/>
        </w:rPr>
        <w:t xml:space="preserve">The material master is the central repository for all material-related data. NovaTrade uses the following material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248"/>
        <w:gridCol w:w="3744"/>
        <w:gridCol w:w="2496"/>
      </w:tblGrid>
      <w:tr>
        <w:trPr>
          <w:tblHeader/>
        </w:trPr>
        <w:tc>
          <w:tcPr>
            <w:tcW w:type="dxa" w:w="1872"/>
            <w:tcBorders>
              <w:top w:val="single" w:color="0D6E6E" w:sz="1"/>
              <w:left w:val="single" w:color="0D6E6E" w:sz="1"/>
              <w:bottom w:val="single" w:color="0D6E6E" w:sz="1"/>
              <w:right w:val="single" w:color="0D6E6E" w:sz="1"/>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Material Type</w:t>
            </w:r>
          </w:p>
        </w:tc>
        <w:tc>
          <w:tcPr>
            <w:tcW w:type="dxa" w:w="1248"/>
            <w:tcBorders>
              <w:top w:val="single" w:color="0D6E6E" w:sz="1"/>
              <w:left w:val="single" w:color="0D6E6E" w:sz="1"/>
              <w:bottom w:val="single" w:color="0D6E6E" w:sz="1"/>
              <w:right w:val="single" w:color="0D6E6E" w:sz="1"/>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Code</w:t>
            </w:r>
          </w:p>
        </w:tc>
        <w:tc>
          <w:tcPr>
            <w:tcW w:type="dxa" w:w="3744"/>
            <w:tcBorders>
              <w:top w:val="single" w:color="0D6E6E" w:sz="1"/>
              <w:left w:val="single" w:color="0D6E6E" w:sz="1"/>
              <w:bottom w:val="single" w:color="0D6E6E" w:sz="1"/>
              <w:right w:val="single" w:color="0D6E6E" w:sz="1"/>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Example Materials</w:t>
            </w:r>
          </w:p>
        </w:tc>
        <w:tc>
          <w:tcPr>
            <w:tcW w:type="dxa" w:w="2496"/>
            <w:tcBorders>
              <w:top w:val="single" w:color="0D6E6E" w:sz="1"/>
              <w:left w:val="single" w:color="0D6E6E" w:sz="1"/>
              <w:bottom w:val="single" w:color="0D6E6E" w:sz="1"/>
              <w:right w:val="single" w:color="0D6E6E" w:sz="1"/>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Valuation</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Raw Material</w:t>
            </w:r>
          </w:p>
        </w:tc>
        <w:tc>
          <w:tcPr>
            <w:tcW w:type="dxa" w:w="12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ROH</w:t>
            </w:r>
          </w:p>
        </w:tc>
        <w:tc>
          <w:tcPr>
            <w:tcW w:type="dxa" w:w="37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Packaging film, Glass jars, Aluminium foil</w:t>
            </w:r>
          </w:p>
        </w:tc>
        <w:tc>
          <w:tcPr>
            <w:tcW w:type="dxa" w:w="2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Moving Avg. Price</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Finished Goods</w:t>
            </w:r>
          </w:p>
        </w:tc>
        <w:tc>
          <w:tcPr>
            <w:tcW w:type="dxa" w:w="12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FERT</w:t>
            </w:r>
          </w:p>
        </w:tc>
        <w:tc>
          <w:tcPr>
            <w:tcW w:type="dxa" w:w="37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iPhone 15, Samsung S24, Packaged Biscuits</w:t>
            </w:r>
          </w:p>
        </w:tc>
        <w:tc>
          <w:tcPr>
            <w:tcW w:type="dxa" w:w="2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Standard Price</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Semi-finished</w:t>
            </w:r>
          </w:p>
        </w:tc>
        <w:tc>
          <w:tcPr>
            <w:tcW w:type="dxa" w:w="12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HALB</w:t>
            </w:r>
          </w:p>
        </w:tc>
        <w:tc>
          <w:tcPr>
            <w:tcW w:type="dxa" w:w="37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Assembled PCB, Mixed food base</w:t>
            </w:r>
          </w:p>
        </w:tc>
        <w:tc>
          <w:tcPr>
            <w:tcW w:type="dxa" w:w="2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Moving Avg. Price</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Trading Goods</w:t>
            </w:r>
          </w:p>
        </w:tc>
        <w:tc>
          <w:tcPr>
            <w:tcW w:type="dxa" w:w="12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HAWA</w:t>
            </w:r>
          </w:p>
        </w:tc>
        <w:tc>
          <w:tcPr>
            <w:tcW w:type="dxa" w:w="37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Mobile accessories, Cables, Adapters</w:t>
            </w:r>
          </w:p>
        </w:tc>
        <w:tc>
          <w:tcPr>
            <w:tcW w:type="dxa" w:w="2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Moving Avg. Price</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Non-valuated Material</w:t>
            </w:r>
          </w:p>
        </w:tc>
        <w:tc>
          <w:tcPr>
            <w:tcW w:type="dxa" w:w="12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NLAG</w:t>
            </w:r>
          </w:p>
        </w:tc>
        <w:tc>
          <w:tcPr>
            <w:tcW w:type="dxa" w:w="37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Office stationery, Cleaning supplies</w:t>
            </w:r>
          </w:p>
        </w:tc>
        <w:tc>
          <w:tcPr>
            <w:tcW w:type="dxa" w:w="2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Non-valuated</w:t>
            </w:r>
          </w:p>
        </w:tc>
      </w:tr>
    </w:tbl>
    <w:p>
      <w:pPr>
        <w:spacing w:after="160"/>
      </w:pPr>
    </w:p>
    <w:p>
      <w:pPr>
        <w:pStyle w:val="Heading1"/>
        <w:spacing w:after="160" w:before="400"/>
      </w:pPr>
      <w:r>
        <w:rPr>
          <w:rFonts w:ascii="Arial" w:cs="Arial" w:eastAsia="Arial" w:hAnsi="Arial"/>
          <w:b/>
          <w:bCs/>
          <w:color w:val="1F4E79"/>
          <w:sz w:val="38"/>
          <w:szCs w:val="38"/>
        </w:rPr>
        <w:t xml:space="preserve">5. Customization Steps (SPRO / IMG)</w:t>
      </w:r>
    </w:p>
    <w:p>
      <w:pPr>
        <w:pBdr>
          <w:bottom w:val="single" w:color="1F4E79" w:sz="8" w:space="1"/>
        </w:pBdr>
        <w:spacing w:after="160" w:before="80"/>
      </w:pPr>
    </w:p>
    <w:p>
      <w:pPr>
        <w:spacing w:after="140"/>
      </w:pPr>
      <w:r>
        <w:rPr>
          <w:rFonts w:ascii="Arial" w:cs="Arial" w:eastAsia="Arial" w:hAnsi="Arial"/>
          <w:color w:val="1A1A1A"/>
          <w:sz w:val="22"/>
          <w:szCs w:val="22"/>
        </w:rPr>
        <w:t xml:space="preserve">All SAP configuration is performed via the Implementation Guide (IMG), accessed through Transaction SPRO. The following sub-sections document the key customization steps for each module. Steps are listed in the sequence they must be performed, as later steps depend on earlier ones.</w:t>
      </w:r>
    </w:p>
    <w:p>
      <w:pPr>
        <w:spacing w:after="80"/>
      </w:pPr>
    </w:p>
    <w:p>
      <w:pPr>
        <w:pStyle w:val="Heading2"/>
        <w:spacing w:after="112" w:before="280"/>
      </w:pPr>
      <w:r>
        <w:rPr>
          <w:rFonts w:ascii="Arial" w:cs="Arial" w:eastAsia="Arial" w:hAnsi="Arial"/>
          <w:b/>
          <w:bCs/>
          <w:color w:val="1F4E79"/>
          <w:sz w:val="30"/>
          <w:szCs w:val="30"/>
        </w:rPr>
        <w:t xml:space="preserve">5.1 FI — Financial Accounting Customization</w:t>
      </w:r>
    </w:p>
    <w:p>
      <w:pPr>
        <w:pBdr>
          <w:left w:val="single" w:color="0D6E6E" w:sz="12" w:space="6"/>
        </w:pBdr>
        <w:spacing w:after="140" w:before="100"/>
        <w:ind w:left="360"/>
      </w:pPr>
      <w:r>
        <w:rPr>
          <w:rFonts w:ascii="Arial" w:cs="Arial" w:eastAsia="Arial" w:hAnsi="Arial"/>
          <w:i/>
          <w:iCs/>
          <w:color w:val="0D6E6E"/>
          <w:sz w:val="20"/>
          <w:szCs w:val="20"/>
        </w:rPr>
        <w:t xml:space="preserve">Path in SPRO: Financial Accounting &gt; Financial Accounting Global Settings &gt; Company Code &gt; Enter Global Parameters</w:t>
      </w:r>
    </w:p>
    <w:p>
      <w:pPr>
        <w:spacing w:after="60"/>
      </w:pPr>
    </w:p>
    <w:p>
      <w:pPr>
        <w:pStyle w:val="Heading3"/>
        <w:spacing w:after="80" w:before="200"/>
      </w:pPr>
      <w:r>
        <w:rPr>
          <w:rFonts w:ascii="Arial" w:cs="Arial" w:eastAsia="Arial" w:hAnsi="Arial"/>
          <w:b/>
          <w:bCs/>
          <w:color w:val="1F4E79"/>
          <w:sz w:val="24"/>
          <w:szCs w:val="24"/>
        </w:rPr>
        <w:t xml:space="preserve">Step 1: Define Company and Company Code</w:t>
      </w:r>
    </w:p>
    <w:p>
      <w:pPr>
        <w:pStyle w:val="ListParagraph"/>
        <w:numPr>
          <w:ilvl w:val="0"/>
          <w:numId w:val="2"/>
        </w:numPr>
        <w:spacing w:after="70"/>
      </w:pPr>
      <w:r>
        <w:rPr>
          <w:rFonts w:ascii="Arial" w:cs="Arial" w:eastAsia="Arial" w:hAnsi="Arial"/>
          <w:color w:val="1A1A1A"/>
          <w:sz w:val="22"/>
          <w:szCs w:val="22"/>
        </w:rPr>
        <w:t xml:space="preserve">Transaction: OX15 — Define Company</w:t>
      </w:r>
    </w:p>
    <w:p>
      <w:pPr>
        <w:pStyle w:val="ListParagraph"/>
        <w:numPr>
          <w:ilvl w:val="0"/>
          <w:numId w:val="2"/>
        </w:numPr>
        <w:spacing w:after="70"/>
      </w:pPr>
      <w:r>
        <w:rPr>
          <w:rFonts w:ascii="Arial" w:cs="Arial" w:eastAsia="Arial" w:hAnsi="Arial"/>
          <w:color w:val="1A1A1A"/>
          <w:sz w:val="22"/>
          <w:szCs w:val="22"/>
        </w:rPr>
        <w:t xml:space="preserve">Transaction: OX02 — Create Company Code NT01</w:t>
      </w:r>
    </w:p>
    <w:p>
      <w:pPr>
        <w:pStyle w:val="ListParagraph"/>
        <w:numPr>
          <w:ilvl w:val="0"/>
          <w:numId w:val="2"/>
        </w:numPr>
        <w:spacing w:after="70"/>
      </w:pPr>
      <w:r>
        <w:rPr>
          <w:rFonts w:ascii="Arial" w:cs="Arial" w:eastAsia="Arial" w:hAnsi="Arial"/>
          <w:color w:val="1A1A1A"/>
          <w:sz w:val="22"/>
          <w:szCs w:val="22"/>
        </w:rPr>
        <w:t xml:space="preserve">Assign company code currency: INR</w:t>
      </w:r>
    </w:p>
    <w:p>
      <w:pPr>
        <w:pStyle w:val="ListParagraph"/>
        <w:numPr>
          <w:ilvl w:val="0"/>
          <w:numId w:val="2"/>
        </w:numPr>
        <w:spacing w:after="70"/>
      </w:pPr>
      <w:r>
        <w:rPr>
          <w:rFonts w:ascii="Arial" w:cs="Arial" w:eastAsia="Arial" w:hAnsi="Arial"/>
          <w:color w:val="1A1A1A"/>
          <w:sz w:val="22"/>
          <w:szCs w:val="22"/>
        </w:rPr>
        <w:t xml:space="preserve">Set language: EN</w:t>
      </w:r>
    </w:p>
    <w:p>
      <w:pPr>
        <w:pStyle w:val="ListParagraph"/>
        <w:numPr>
          <w:ilvl w:val="0"/>
          <w:numId w:val="2"/>
        </w:numPr>
        <w:spacing w:after="70"/>
      </w:pPr>
      <w:r>
        <w:rPr>
          <w:rFonts w:ascii="Arial" w:cs="Arial" w:eastAsia="Arial" w:hAnsi="Arial"/>
          <w:color w:val="1A1A1A"/>
          <w:sz w:val="22"/>
          <w:szCs w:val="22"/>
        </w:rPr>
        <w:t xml:space="preserve">Assign company code to company using T-code OX16</w:t>
      </w:r>
    </w:p>
    <w:p>
      <w:pPr>
        <w:spacing w:after="80"/>
      </w:pPr>
    </w:p>
    <w:p>
      <w:pPr>
        <w:pStyle w:val="Heading3"/>
        <w:spacing w:after="80" w:before="200"/>
      </w:pPr>
      <w:r>
        <w:rPr>
          <w:rFonts w:ascii="Arial" w:cs="Arial" w:eastAsia="Arial" w:hAnsi="Arial"/>
          <w:b/>
          <w:bCs/>
          <w:color w:val="1F4E79"/>
          <w:sz w:val="24"/>
          <w:szCs w:val="24"/>
        </w:rPr>
        <w:t xml:space="preserve">Step 2: Define Chart of Accounts</w:t>
      </w:r>
    </w:p>
    <w:p>
      <w:pPr>
        <w:pStyle w:val="ListParagraph"/>
        <w:numPr>
          <w:ilvl w:val="0"/>
          <w:numId w:val="2"/>
        </w:numPr>
        <w:spacing w:after="70"/>
      </w:pPr>
      <w:r>
        <w:rPr>
          <w:rFonts w:ascii="Arial" w:cs="Arial" w:eastAsia="Arial" w:hAnsi="Arial"/>
          <w:color w:val="1A1A1A"/>
          <w:sz w:val="22"/>
          <w:szCs w:val="22"/>
        </w:rPr>
        <w:t xml:space="preserve">Transaction: OB13 — Create Chart of Accounts NTIN</w:t>
      </w:r>
    </w:p>
    <w:p>
      <w:pPr>
        <w:pStyle w:val="ListParagraph"/>
        <w:numPr>
          <w:ilvl w:val="0"/>
          <w:numId w:val="2"/>
        </w:numPr>
        <w:spacing w:after="70"/>
      </w:pPr>
      <w:r>
        <w:rPr>
          <w:rFonts w:ascii="Arial" w:cs="Arial" w:eastAsia="Arial" w:hAnsi="Arial"/>
          <w:color w:val="1A1A1A"/>
          <w:sz w:val="22"/>
          <w:szCs w:val="22"/>
        </w:rPr>
        <w:t xml:space="preserve">Set account length: 6 digits</w:t>
      </w:r>
    </w:p>
    <w:p>
      <w:pPr>
        <w:pStyle w:val="ListParagraph"/>
        <w:numPr>
          <w:ilvl w:val="0"/>
          <w:numId w:val="2"/>
        </w:numPr>
        <w:spacing w:after="70"/>
      </w:pPr>
      <w:r>
        <w:rPr>
          <w:rFonts w:ascii="Arial" w:cs="Arial" w:eastAsia="Arial" w:hAnsi="Arial"/>
          <w:color w:val="1A1A1A"/>
          <w:sz w:val="22"/>
          <w:szCs w:val="22"/>
        </w:rPr>
        <w:t xml:space="preserve">Set controlling integration: assign NTIN to company code NT01 (OB62)</w:t>
      </w:r>
    </w:p>
    <w:p>
      <w:pPr>
        <w:pStyle w:val="ListParagraph"/>
        <w:numPr>
          <w:ilvl w:val="0"/>
          <w:numId w:val="2"/>
        </w:numPr>
        <w:spacing w:after="70"/>
      </w:pPr>
      <w:r>
        <w:rPr>
          <w:rFonts w:ascii="Arial" w:cs="Arial" w:eastAsia="Arial" w:hAnsi="Arial"/>
          <w:color w:val="1A1A1A"/>
          <w:sz w:val="22"/>
          <w:szCs w:val="22"/>
        </w:rPr>
        <w:t xml:space="preserve">Define account groups (OBD4): Assets, Liabilities, Revenue, Expenses, Tax</w:t>
      </w:r>
    </w:p>
    <w:p>
      <w:pPr>
        <w:pStyle w:val="ListParagraph"/>
        <w:numPr>
          <w:ilvl w:val="0"/>
          <w:numId w:val="2"/>
        </w:numPr>
        <w:spacing w:after="70"/>
      </w:pPr>
      <w:r>
        <w:rPr>
          <w:rFonts w:ascii="Arial" w:cs="Arial" w:eastAsia="Arial" w:hAnsi="Arial"/>
          <w:color w:val="1A1A1A"/>
          <w:sz w:val="22"/>
          <w:szCs w:val="22"/>
        </w:rPr>
        <w:t xml:space="preserve">Define retained earnings account: 290000</w:t>
      </w:r>
    </w:p>
    <w:p>
      <w:pPr>
        <w:spacing w:after="80"/>
      </w:pPr>
    </w:p>
    <w:p>
      <w:pPr>
        <w:pStyle w:val="Heading3"/>
        <w:spacing w:after="80" w:before="200"/>
      </w:pPr>
      <w:r>
        <w:rPr>
          <w:rFonts w:ascii="Arial" w:cs="Arial" w:eastAsia="Arial" w:hAnsi="Arial"/>
          <w:b/>
          <w:bCs/>
          <w:color w:val="1F4E79"/>
          <w:sz w:val="24"/>
          <w:szCs w:val="24"/>
        </w:rPr>
        <w:t xml:space="preserve">Step 3: Define Fiscal Year Variant</w:t>
      </w:r>
    </w:p>
    <w:p>
      <w:pPr>
        <w:pStyle w:val="ListParagraph"/>
        <w:numPr>
          <w:ilvl w:val="0"/>
          <w:numId w:val="2"/>
        </w:numPr>
        <w:spacing w:after="70"/>
      </w:pPr>
      <w:r>
        <w:rPr>
          <w:rFonts w:ascii="Arial" w:cs="Arial" w:eastAsia="Arial" w:hAnsi="Arial"/>
          <w:color w:val="1A1A1A"/>
          <w:sz w:val="22"/>
          <w:szCs w:val="22"/>
        </w:rPr>
        <w:t xml:space="preserve">Transaction: OB29 — Create Fiscal Year Variant V3</w:t>
      </w:r>
    </w:p>
    <w:p>
      <w:pPr>
        <w:pStyle w:val="ListParagraph"/>
        <w:numPr>
          <w:ilvl w:val="0"/>
          <w:numId w:val="2"/>
        </w:numPr>
        <w:spacing w:after="70"/>
      </w:pPr>
      <w:r>
        <w:rPr>
          <w:rFonts w:ascii="Arial" w:cs="Arial" w:eastAsia="Arial" w:hAnsi="Arial"/>
          <w:color w:val="1A1A1A"/>
          <w:sz w:val="22"/>
          <w:szCs w:val="22"/>
        </w:rPr>
        <w:t xml:space="preserve">Set 12 normal periods (April to March) + 4 special periods</w:t>
      </w:r>
    </w:p>
    <w:p>
      <w:pPr>
        <w:pStyle w:val="ListParagraph"/>
        <w:numPr>
          <w:ilvl w:val="0"/>
          <w:numId w:val="2"/>
        </w:numPr>
        <w:spacing w:after="70"/>
      </w:pPr>
      <w:r>
        <w:rPr>
          <w:rFonts w:ascii="Arial" w:cs="Arial" w:eastAsia="Arial" w:hAnsi="Arial"/>
          <w:color w:val="1A1A1A"/>
          <w:sz w:val="22"/>
          <w:szCs w:val="22"/>
        </w:rPr>
        <w:t xml:space="preserve">Assign fiscal year variant to company code NT01 (OB37)</w:t>
      </w:r>
    </w:p>
    <w:p>
      <w:pPr>
        <w:spacing w:after="80"/>
      </w:pPr>
    </w:p>
    <w:p>
      <w:pPr>
        <w:pStyle w:val="Heading3"/>
        <w:spacing w:after="80" w:before="200"/>
      </w:pPr>
      <w:r>
        <w:rPr>
          <w:rFonts w:ascii="Arial" w:cs="Arial" w:eastAsia="Arial" w:hAnsi="Arial"/>
          <w:b/>
          <w:bCs/>
          <w:color w:val="1F4E79"/>
          <w:sz w:val="24"/>
          <w:szCs w:val="24"/>
        </w:rPr>
        <w:t xml:space="preserve">Step 4: Define Posting Period Variant</w:t>
      </w:r>
    </w:p>
    <w:p>
      <w:pPr>
        <w:pStyle w:val="ListParagraph"/>
        <w:numPr>
          <w:ilvl w:val="0"/>
          <w:numId w:val="2"/>
        </w:numPr>
        <w:spacing w:after="70"/>
      </w:pPr>
      <w:r>
        <w:rPr>
          <w:rFonts w:ascii="Arial" w:cs="Arial" w:eastAsia="Arial" w:hAnsi="Arial"/>
          <w:color w:val="1A1A1A"/>
          <w:sz w:val="22"/>
          <w:szCs w:val="22"/>
        </w:rPr>
        <w:t xml:space="preserve">Transaction: OBBO — Create Posting Period Variant NT01</w:t>
      </w:r>
    </w:p>
    <w:p>
      <w:pPr>
        <w:pStyle w:val="ListParagraph"/>
        <w:numPr>
          <w:ilvl w:val="0"/>
          <w:numId w:val="2"/>
        </w:numPr>
        <w:spacing w:after="70"/>
      </w:pPr>
      <w:r>
        <w:rPr>
          <w:rFonts w:ascii="Arial" w:cs="Arial" w:eastAsia="Arial" w:hAnsi="Arial"/>
          <w:color w:val="1A1A1A"/>
          <w:sz w:val="22"/>
          <w:szCs w:val="22"/>
        </w:rPr>
        <w:t xml:space="preserve">Open periods 1–12 for current year</w:t>
      </w:r>
    </w:p>
    <w:p>
      <w:pPr>
        <w:pStyle w:val="ListParagraph"/>
        <w:numPr>
          <w:ilvl w:val="0"/>
          <w:numId w:val="2"/>
        </w:numPr>
        <w:spacing w:after="70"/>
      </w:pPr>
      <w:r>
        <w:rPr>
          <w:rFonts w:ascii="Arial" w:cs="Arial" w:eastAsia="Arial" w:hAnsi="Arial"/>
          <w:color w:val="1A1A1A"/>
          <w:sz w:val="22"/>
          <w:szCs w:val="22"/>
        </w:rPr>
        <w:t xml:space="preserve">Assign posting period variant to company code (OBBP)</w:t>
      </w:r>
    </w:p>
    <w:p>
      <w:pPr>
        <w:spacing w:after="80"/>
      </w:pPr>
    </w:p>
    <w:p>
      <w:pPr>
        <w:pStyle w:val="Heading3"/>
        <w:spacing w:after="80" w:before="200"/>
      </w:pPr>
      <w:r>
        <w:rPr>
          <w:rFonts w:ascii="Arial" w:cs="Arial" w:eastAsia="Arial" w:hAnsi="Arial"/>
          <w:b/>
          <w:bCs/>
          <w:color w:val="1F4E79"/>
          <w:sz w:val="24"/>
          <w:szCs w:val="24"/>
        </w:rPr>
        <w:t xml:space="preserve">Step 5: Define Document Types &amp; Number Ranges</w:t>
      </w:r>
    </w:p>
    <w:p>
      <w:pPr>
        <w:pStyle w:val="ListParagraph"/>
        <w:numPr>
          <w:ilvl w:val="0"/>
          <w:numId w:val="2"/>
        </w:numPr>
        <w:spacing w:after="70"/>
      </w:pPr>
      <w:r>
        <w:rPr>
          <w:rFonts w:ascii="Arial" w:cs="Arial" w:eastAsia="Arial" w:hAnsi="Arial"/>
          <w:color w:val="1A1A1A"/>
          <w:sz w:val="22"/>
          <w:szCs w:val="22"/>
        </w:rPr>
        <w:t xml:space="preserve">Transaction: OBA7 — Define document types</w:t>
      </w:r>
    </w:p>
    <w:p>
      <w:pPr>
        <w:pStyle w:val="ListParagraph"/>
        <w:numPr>
          <w:ilvl w:val="0"/>
          <w:numId w:val="2"/>
        </w:numPr>
        <w:spacing w:after="70"/>
      </w:pPr>
      <w:r>
        <w:rPr>
          <w:rFonts w:ascii="Arial" w:cs="Arial" w:eastAsia="Arial" w:hAnsi="Arial"/>
          <w:color w:val="1A1A1A"/>
          <w:sz w:val="22"/>
          <w:szCs w:val="22"/>
        </w:rPr>
        <w:t xml:space="preserve">Key document types: SA (GL), KR (Vendor Invoice), KZ (Vendor Payment), DR (Customer Invoice), DZ (Customer Payment)</w:t>
      </w:r>
    </w:p>
    <w:p>
      <w:pPr>
        <w:pStyle w:val="ListParagraph"/>
        <w:numPr>
          <w:ilvl w:val="0"/>
          <w:numId w:val="2"/>
        </w:numPr>
        <w:spacing w:after="70"/>
      </w:pPr>
      <w:r>
        <w:rPr>
          <w:rFonts w:ascii="Arial" w:cs="Arial" w:eastAsia="Arial" w:hAnsi="Arial"/>
          <w:color w:val="1A1A1A"/>
          <w:sz w:val="22"/>
          <w:szCs w:val="22"/>
        </w:rPr>
        <w:t xml:space="preserve">Transaction: FBN1 — Define number ranges per document type per company code</w:t>
      </w:r>
    </w:p>
    <w:p>
      <w:pPr>
        <w:spacing w:after="80"/>
      </w:pPr>
    </w:p>
    <w:p>
      <w:pPr>
        <w:pStyle w:val="Heading3"/>
        <w:spacing w:after="80" w:before="200"/>
      </w:pPr>
      <w:r>
        <w:rPr>
          <w:rFonts w:ascii="Arial" w:cs="Arial" w:eastAsia="Arial" w:hAnsi="Arial"/>
          <w:b/>
          <w:bCs/>
          <w:color w:val="1F4E79"/>
          <w:sz w:val="24"/>
          <w:szCs w:val="24"/>
        </w:rPr>
        <w:t xml:space="preserve">Step 6: Define Tolerance Groups</w:t>
      </w:r>
    </w:p>
    <w:p>
      <w:pPr>
        <w:pStyle w:val="ListParagraph"/>
        <w:numPr>
          <w:ilvl w:val="0"/>
          <w:numId w:val="2"/>
        </w:numPr>
        <w:spacing w:after="70"/>
      </w:pPr>
      <w:r>
        <w:rPr>
          <w:rFonts w:ascii="Arial" w:cs="Arial" w:eastAsia="Arial" w:hAnsi="Arial"/>
          <w:color w:val="1A1A1A"/>
          <w:sz w:val="22"/>
          <w:szCs w:val="22"/>
        </w:rPr>
        <w:t xml:space="preserve">Transaction: OBA4 — Tolerance groups for employees (permitted payment differences)</w:t>
      </w:r>
    </w:p>
    <w:p>
      <w:pPr>
        <w:pStyle w:val="ListParagraph"/>
        <w:numPr>
          <w:ilvl w:val="0"/>
          <w:numId w:val="2"/>
        </w:numPr>
        <w:spacing w:after="70"/>
      </w:pPr>
      <w:r>
        <w:rPr>
          <w:rFonts w:ascii="Arial" w:cs="Arial" w:eastAsia="Arial" w:hAnsi="Arial"/>
          <w:color w:val="1A1A1A"/>
          <w:sz w:val="22"/>
          <w:szCs w:val="22"/>
        </w:rPr>
        <w:t xml:space="preserve">Transaction: OBA3 — Tolerance groups for customers/vendors</w:t>
      </w:r>
    </w:p>
    <w:p>
      <w:pPr>
        <w:spacing w:after="80"/>
      </w:pPr>
    </w:p>
    <w:p>
      <w:pPr>
        <w:pStyle w:val="Heading3"/>
        <w:spacing w:after="80" w:before="200"/>
      </w:pPr>
      <w:r>
        <w:rPr>
          <w:rFonts w:ascii="Arial" w:cs="Arial" w:eastAsia="Arial" w:hAnsi="Arial"/>
          <w:b/>
          <w:bCs/>
          <w:color w:val="1F4E79"/>
          <w:sz w:val="24"/>
          <w:szCs w:val="24"/>
        </w:rPr>
        <w:t xml:space="preserve">Step 7: Configure Taxes (GST)</w:t>
      </w:r>
    </w:p>
    <w:p>
      <w:pPr>
        <w:pStyle w:val="ListParagraph"/>
        <w:numPr>
          <w:ilvl w:val="0"/>
          <w:numId w:val="2"/>
        </w:numPr>
        <w:spacing w:after="70"/>
      </w:pPr>
      <w:r>
        <w:rPr>
          <w:rFonts w:ascii="Arial" w:cs="Arial" w:eastAsia="Arial" w:hAnsi="Arial"/>
          <w:color w:val="1A1A1A"/>
          <w:sz w:val="22"/>
          <w:szCs w:val="22"/>
        </w:rPr>
        <w:t xml:space="preserve">Transaction: FTXP — Define tax codes for India GST</w:t>
      </w:r>
    </w:p>
    <w:p>
      <w:pPr>
        <w:pStyle w:val="ListParagraph"/>
        <w:numPr>
          <w:ilvl w:val="0"/>
          <w:numId w:val="2"/>
        </w:numPr>
        <w:spacing w:after="70"/>
      </w:pPr>
      <w:r>
        <w:rPr>
          <w:rFonts w:ascii="Arial" w:cs="Arial" w:eastAsia="Arial" w:hAnsi="Arial"/>
          <w:color w:val="1A1A1A"/>
          <w:sz w:val="22"/>
          <w:szCs w:val="22"/>
        </w:rPr>
        <w:t xml:space="preserve">Define tax codes: I1 (Input GST 18%), O1 (Output GST 18%), I0 (Input GST 0%), O0 (Output GST 0%)</w:t>
      </w:r>
    </w:p>
    <w:p>
      <w:pPr>
        <w:pStyle w:val="ListParagraph"/>
        <w:numPr>
          <w:ilvl w:val="0"/>
          <w:numId w:val="2"/>
        </w:numPr>
        <w:spacing w:after="70"/>
      </w:pPr>
      <w:r>
        <w:rPr>
          <w:rFonts w:ascii="Arial" w:cs="Arial" w:eastAsia="Arial" w:hAnsi="Arial"/>
          <w:color w:val="1A1A1A"/>
          <w:sz w:val="22"/>
          <w:szCs w:val="22"/>
        </w:rPr>
        <w:t xml:space="preserve">Assign tax accounts to GL accounts 600010 (Input GST), 600020 (Output GST)</w:t>
      </w:r>
    </w:p>
    <w:p>
      <w:pPr>
        <w:spacing w:after="160"/>
      </w:pPr>
    </w:p>
    <w:p>
      <w:pPr>
        <w:pStyle w:val="Heading2"/>
        <w:spacing w:after="112" w:before="280"/>
      </w:pPr>
      <w:r>
        <w:rPr>
          <w:rFonts w:ascii="Arial" w:cs="Arial" w:eastAsia="Arial" w:hAnsi="Arial"/>
          <w:b/>
          <w:bCs/>
          <w:color w:val="1F4E79"/>
          <w:sz w:val="30"/>
          <w:szCs w:val="30"/>
        </w:rPr>
        <w:t xml:space="preserve">5.2 MM — Materials Management Customization</w:t>
      </w:r>
    </w:p>
    <w:p>
      <w:pPr>
        <w:pBdr>
          <w:left w:val="single" w:color="0D6E6E" w:sz="12" w:space="6"/>
        </w:pBdr>
        <w:spacing w:after="140" w:before="100"/>
        <w:ind w:left="360"/>
      </w:pPr>
      <w:r>
        <w:rPr>
          <w:rFonts w:ascii="Arial" w:cs="Arial" w:eastAsia="Arial" w:hAnsi="Arial"/>
          <w:i/>
          <w:iCs/>
          <w:color w:val="0D6E6E"/>
          <w:sz w:val="20"/>
          <w:szCs w:val="20"/>
        </w:rPr>
        <w:t xml:space="preserve">Path in SPRO: Materials Management &gt; Purchasing / Inventory Management &gt; Define Organizational Units</w:t>
      </w:r>
    </w:p>
    <w:p>
      <w:pPr>
        <w:spacing w:after="60"/>
      </w:pPr>
    </w:p>
    <w:p>
      <w:pPr>
        <w:pStyle w:val="Heading3"/>
        <w:spacing w:after="80" w:before="200"/>
      </w:pPr>
      <w:r>
        <w:rPr>
          <w:rFonts w:ascii="Arial" w:cs="Arial" w:eastAsia="Arial" w:hAnsi="Arial"/>
          <w:b/>
          <w:bCs/>
          <w:color w:val="1F4E79"/>
          <w:sz w:val="24"/>
          <w:szCs w:val="24"/>
        </w:rPr>
        <w:t xml:space="preserve">Step 1: Define Plants</w:t>
      </w:r>
    </w:p>
    <w:p>
      <w:pPr>
        <w:pStyle w:val="ListParagraph"/>
        <w:numPr>
          <w:ilvl w:val="0"/>
          <w:numId w:val="2"/>
        </w:numPr>
        <w:spacing w:after="70"/>
      </w:pPr>
      <w:r>
        <w:rPr>
          <w:rFonts w:ascii="Arial" w:cs="Arial" w:eastAsia="Arial" w:hAnsi="Arial"/>
          <w:color w:val="1A1A1A"/>
          <w:sz w:val="22"/>
          <w:szCs w:val="22"/>
        </w:rPr>
        <w:t xml:space="preserve">Transaction: OX10 — Create Plant NT10 (New Delhi Hub)</w:t>
      </w:r>
    </w:p>
    <w:p>
      <w:pPr>
        <w:pStyle w:val="ListParagraph"/>
        <w:numPr>
          <w:ilvl w:val="0"/>
          <w:numId w:val="2"/>
        </w:numPr>
        <w:spacing w:after="70"/>
      </w:pPr>
      <w:r>
        <w:rPr>
          <w:rFonts w:ascii="Arial" w:cs="Arial" w:eastAsia="Arial" w:hAnsi="Arial"/>
          <w:color w:val="1A1A1A"/>
          <w:sz w:val="22"/>
          <w:szCs w:val="22"/>
        </w:rPr>
        <w:t xml:space="preserve">Transaction: OX10 — Create Plant NT20 (Noida Manufacturing)</w:t>
      </w:r>
    </w:p>
    <w:p>
      <w:pPr>
        <w:pStyle w:val="ListParagraph"/>
        <w:numPr>
          <w:ilvl w:val="0"/>
          <w:numId w:val="2"/>
        </w:numPr>
        <w:spacing w:after="70"/>
      </w:pPr>
      <w:r>
        <w:rPr>
          <w:rFonts w:ascii="Arial" w:cs="Arial" w:eastAsia="Arial" w:hAnsi="Arial"/>
          <w:color w:val="1A1A1A"/>
          <w:sz w:val="22"/>
          <w:szCs w:val="22"/>
        </w:rPr>
        <w:t xml:space="preserve">Set country, language, time zone, factory calendar for each plant</w:t>
      </w:r>
    </w:p>
    <w:p>
      <w:pPr>
        <w:pStyle w:val="ListParagraph"/>
        <w:numPr>
          <w:ilvl w:val="0"/>
          <w:numId w:val="2"/>
        </w:numPr>
        <w:spacing w:after="70"/>
      </w:pPr>
      <w:r>
        <w:rPr>
          <w:rFonts w:ascii="Arial" w:cs="Arial" w:eastAsia="Arial" w:hAnsi="Arial"/>
          <w:color w:val="1A1A1A"/>
          <w:sz w:val="22"/>
          <w:szCs w:val="22"/>
        </w:rPr>
        <w:t xml:space="preserve">Assign plants to company code NT01 (OX18)</w:t>
      </w:r>
    </w:p>
    <w:p>
      <w:pPr>
        <w:spacing w:after="80"/>
      </w:pPr>
    </w:p>
    <w:p>
      <w:pPr>
        <w:pStyle w:val="Heading3"/>
        <w:spacing w:after="80" w:before="200"/>
      </w:pPr>
      <w:r>
        <w:rPr>
          <w:rFonts w:ascii="Arial" w:cs="Arial" w:eastAsia="Arial" w:hAnsi="Arial"/>
          <w:b/>
          <w:bCs/>
          <w:color w:val="1F4E79"/>
          <w:sz w:val="24"/>
          <w:szCs w:val="24"/>
        </w:rPr>
        <w:t xml:space="preserve">Step 2: Define Storage Locations</w:t>
      </w:r>
    </w:p>
    <w:p>
      <w:pPr>
        <w:pStyle w:val="ListParagraph"/>
        <w:numPr>
          <w:ilvl w:val="0"/>
          <w:numId w:val="2"/>
        </w:numPr>
        <w:spacing w:after="70"/>
      </w:pPr>
      <w:r>
        <w:rPr>
          <w:rFonts w:ascii="Arial" w:cs="Arial" w:eastAsia="Arial" w:hAnsi="Arial"/>
          <w:color w:val="1A1A1A"/>
          <w:sz w:val="22"/>
          <w:szCs w:val="22"/>
        </w:rPr>
        <w:t xml:space="preserve">Transaction: OX09 — Create SL01 (Raw Material Store) under NT20</w:t>
      </w:r>
    </w:p>
    <w:p>
      <w:pPr>
        <w:pStyle w:val="ListParagraph"/>
        <w:numPr>
          <w:ilvl w:val="0"/>
          <w:numId w:val="2"/>
        </w:numPr>
        <w:spacing w:after="70"/>
      </w:pPr>
      <w:r>
        <w:rPr>
          <w:rFonts w:ascii="Arial" w:cs="Arial" w:eastAsia="Arial" w:hAnsi="Arial"/>
          <w:color w:val="1A1A1A"/>
          <w:sz w:val="22"/>
          <w:szCs w:val="22"/>
        </w:rPr>
        <w:t xml:space="preserve">Transaction: OX09 — Create SL02 (Finished Goods Warehouse) under NT10</w:t>
      </w:r>
    </w:p>
    <w:p>
      <w:pPr>
        <w:pStyle w:val="ListParagraph"/>
        <w:numPr>
          <w:ilvl w:val="0"/>
          <w:numId w:val="2"/>
        </w:numPr>
        <w:spacing w:after="70"/>
      </w:pPr>
      <w:r>
        <w:rPr>
          <w:rFonts w:ascii="Arial" w:cs="Arial" w:eastAsia="Arial" w:hAnsi="Arial"/>
          <w:color w:val="1A1A1A"/>
          <w:sz w:val="22"/>
          <w:szCs w:val="22"/>
        </w:rPr>
        <w:t xml:space="preserve">Transaction: OX09 — Create SL03 (Spare Parts) under NT10</w:t>
      </w:r>
    </w:p>
    <w:p>
      <w:pPr>
        <w:spacing w:after="80"/>
      </w:pPr>
    </w:p>
    <w:p>
      <w:pPr>
        <w:pStyle w:val="Heading3"/>
        <w:spacing w:after="80" w:before="200"/>
      </w:pPr>
      <w:r>
        <w:rPr>
          <w:rFonts w:ascii="Arial" w:cs="Arial" w:eastAsia="Arial" w:hAnsi="Arial"/>
          <w:b/>
          <w:bCs/>
          <w:color w:val="1F4E79"/>
          <w:sz w:val="24"/>
          <w:szCs w:val="24"/>
        </w:rPr>
        <w:t xml:space="preserve">Step 3: Define Purchasing Organization</w:t>
      </w:r>
    </w:p>
    <w:p>
      <w:pPr>
        <w:pStyle w:val="ListParagraph"/>
        <w:numPr>
          <w:ilvl w:val="0"/>
          <w:numId w:val="2"/>
        </w:numPr>
        <w:spacing w:after="70"/>
      </w:pPr>
      <w:r>
        <w:rPr>
          <w:rFonts w:ascii="Arial" w:cs="Arial" w:eastAsia="Arial" w:hAnsi="Arial"/>
          <w:color w:val="1A1A1A"/>
          <w:sz w:val="22"/>
          <w:szCs w:val="22"/>
        </w:rPr>
        <w:t xml:space="preserve">Transaction: OX08 — Create Purchasing Org PO01 (NovaTrade Central Purchasing)</w:t>
      </w:r>
    </w:p>
    <w:p>
      <w:pPr>
        <w:pStyle w:val="ListParagraph"/>
        <w:numPr>
          <w:ilvl w:val="0"/>
          <w:numId w:val="2"/>
        </w:numPr>
        <w:spacing w:after="70"/>
      </w:pPr>
      <w:r>
        <w:rPr>
          <w:rFonts w:ascii="Arial" w:cs="Arial" w:eastAsia="Arial" w:hAnsi="Arial"/>
          <w:color w:val="1A1A1A"/>
          <w:sz w:val="22"/>
          <w:szCs w:val="22"/>
        </w:rPr>
        <w:t xml:space="preserve">Assign Purchasing Org to company code (OX01)</w:t>
      </w:r>
    </w:p>
    <w:p>
      <w:pPr>
        <w:pStyle w:val="ListParagraph"/>
        <w:numPr>
          <w:ilvl w:val="0"/>
          <w:numId w:val="2"/>
        </w:numPr>
        <w:spacing w:after="70"/>
      </w:pPr>
      <w:r>
        <w:rPr>
          <w:rFonts w:ascii="Arial" w:cs="Arial" w:eastAsia="Arial" w:hAnsi="Arial"/>
          <w:color w:val="1A1A1A"/>
          <w:sz w:val="22"/>
          <w:szCs w:val="22"/>
        </w:rPr>
        <w:t xml:space="preserve">Assign Purchasing Org to plants NT10, NT20 (OX17)</w:t>
      </w:r>
    </w:p>
    <w:p>
      <w:pPr>
        <w:pStyle w:val="ListParagraph"/>
        <w:numPr>
          <w:ilvl w:val="0"/>
          <w:numId w:val="2"/>
        </w:numPr>
        <w:spacing w:after="70"/>
      </w:pPr>
      <w:r>
        <w:rPr>
          <w:rFonts w:ascii="Arial" w:cs="Arial" w:eastAsia="Arial" w:hAnsi="Arial"/>
          <w:color w:val="1A1A1A"/>
          <w:sz w:val="22"/>
          <w:szCs w:val="22"/>
        </w:rPr>
        <w:t xml:space="preserve">Define Purchasing Groups PG01 (Electronics), PG02 (FMCG) via OME4</w:t>
      </w:r>
    </w:p>
    <w:p>
      <w:pPr>
        <w:spacing w:after="80"/>
      </w:pPr>
    </w:p>
    <w:p>
      <w:pPr>
        <w:pStyle w:val="Heading3"/>
        <w:spacing w:after="80" w:before="200"/>
      </w:pPr>
      <w:r>
        <w:rPr>
          <w:rFonts w:ascii="Arial" w:cs="Arial" w:eastAsia="Arial" w:hAnsi="Arial"/>
          <w:b/>
          <w:bCs/>
          <w:color w:val="1F4E79"/>
          <w:sz w:val="24"/>
          <w:szCs w:val="24"/>
        </w:rPr>
        <w:t xml:space="preserve">Step 4: Define Material Types</w:t>
      </w:r>
    </w:p>
    <w:p>
      <w:pPr>
        <w:pStyle w:val="ListParagraph"/>
        <w:numPr>
          <w:ilvl w:val="0"/>
          <w:numId w:val="2"/>
        </w:numPr>
        <w:spacing w:after="70"/>
      </w:pPr>
      <w:r>
        <w:rPr>
          <w:rFonts w:ascii="Arial" w:cs="Arial" w:eastAsia="Arial" w:hAnsi="Arial"/>
          <w:color w:val="1A1A1A"/>
          <w:sz w:val="22"/>
          <w:szCs w:val="22"/>
        </w:rPr>
        <w:t xml:space="preserve">Transaction: OMS2 — Review and configure standard material types (ROH, FERT, HALB, HAWA, NLAG)</w:t>
      </w:r>
    </w:p>
    <w:p>
      <w:pPr>
        <w:pStyle w:val="ListParagraph"/>
        <w:numPr>
          <w:ilvl w:val="0"/>
          <w:numId w:val="2"/>
        </w:numPr>
        <w:spacing w:after="70"/>
      </w:pPr>
      <w:r>
        <w:rPr>
          <w:rFonts w:ascii="Arial" w:cs="Arial" w:eastAsia="Arial" w:hAnsi="Arial"/>
          <w:color w:val="1A1A1A"/>
          <w:sz w:val="22"/>
          <w:szCs w:val="22"/>
        </w:rPr>
        <w:t xml:space="preserve">Set quantity/value updating for each material type per plant</w:t>
      </w:r>
    </w:p>
    <w:p>
      <w:pPr>
        <w:pStyle w:val="ListParagraph"/>
        <w:numPr>
          <w:ilvl w:val="0"/>
          <w:numId w:val="2"/>
        </w:numPr>
        <w:spacing w:after="70"/>
      </w:pPr>
      <w:r>
        <w:rPr>
          <w:rFonts w:ascii="Arial" w:cs="Arial" w:eastAsia="Arial" w:hAnsi="Arial"/>
          <w:color w:val="1A1A1A"/>
          <w:sz w:val="22"/>
          <w:szCs w:val="22"/>
        </w:rPr>
        <w:t xml:space="preserve">Assign number ranges to material types (MMNR)</w:t>
      </w:r>
    </w:p>
    <w:p>
      <w:pPr>
        <w:spacing w:after="80"/>
      </w:pPr>
    </w:p>
    <w:p>
      <w:pPr>
        <w:pStyle w:val="Heading3"/>
        <w:spacing w:after="80" w:before="200"/>
      </w:pPr>
      <w:r>
        <w:rPr>
          <w:rFonts w:ascii="Arial" w:cs="Arial" w:eastAsia="Arial" w:hAnsi="Arial"/>
          <w:b/>
          <w:bCs/>
          <w:color w:val="1F4E79"/>
          <w:sz w:val="24"/>
          <w:szCs w:val="24"/>
        </w:rPr>
        <w:t xml:space="preserve">Step 5: Configure Valuation &amp; Account Determination</w:t>
      </w:r>
    </w:p>
    <w:p>
      <w:pPr>
        <w:pStyle w:val="ListParagraph"/>
        <w:numPr>
          <w:ilvl w:val="0"/>
          <w:numId w:val="2"/>
        </w:numPr>
        <w:spacing w:after="70"/>
      </w:pPr>
      <w:r>
        <w:rPr>
          <w:rFonts w:ascii="Arial" w:cs="Arial" w:eastAsia="Arial" w:hAnsi="Arial"/>
          <w:color w:val="1A1A1A"/>
          <w:sz w:val="22"/>
          <w:szCs w:val="22"/>
        </w:rPr>
        <w:t xml:space="preserve">Transaction: OMWM — Set valuation level to Plant</w:t>
      </w:r>
    </w:p>
    <w:p>
      <w:pPr>
        <w:pStyle w:val="ListParagraph"/>
        <w:numPr>
          <w:ilvl w:val="0"/>
          <w:numId w:val="2"/>
        </w:numPr>
        <w:spacing w:after="70"/>
      </w:pPr>
      <w:r>
        <w:rPr>
          <w:rFonts w:ascii="Arial" w:cs="Arial" w:eastAsia="Arial" w:hAnsi="Arial"/>
          <w:color w:val="1A1A1A"/>
          <w:sz w:val="22"/>
          <w:szCs w:val="22"/>
        </w:rPr>
        <w:t xml:space="preserve">Transaction: OMSK — Define valuation class for each material type</w:t>
      </w:r>
    </w:p>
    <w:p>
      <w:pPr>
        <w:pStyle w:val="ListParagraph"/>
        <w:numPr>
          <w:ilvl w:val="0"/>
          <w:numId w:val="2"/>
        </w:numPr>
        <w:spacing w:after="70"/>
      </w:pPr>
      <w:r>
        <w:rPr>
          <w:rFonts w:ascii="Arial" w:cs="Arial" w:eastAsia="Arial" w:hAnsi="Arial"/>
          <w:color w:val="1A1A1A"/>
          <w:sz w:val="22"/>
          <w:szCs w:val="22"/>
        </w:rPr>
        <w:t xml:space="preserve">Transaction: OBYC — Configure automatic account determination (GBB, BSX, WRX keys)</w:t>
      </w:r>
    </w:p>
    <w:p>
      <w:pPr>
        <w:pStyle w:val="ListParagraph"/>
        <w:numPr>
          <w:ilvl w:val="0"/>
          <w:numId w:val="2"/>
        </w:numPr>
        <w:spacing w:after="70"/>
      </w:pPr>
      <w:r>
        <w:rPr>
          <w:rFonts w:ascii="Arial" w:cs="Arial" w:eastAsia="Arial" w:hAnsi="Arial"/>
          <w:color w:val="1A1A1A"/>
          <w:sz w:val="22"/>
          <w:szCs w:val="22"/>
        </w:rPr>
        <w:t xml:space="preserve">Key movement types: 101 (GR), 102 (GR Reversal), 261 (Goods Issue to Production), 601 (Delivery PGI)</w:t>
      </w:r>
    </w:p>
    <w:p>
      <w:pPr>
        <w:spacing w:after="80"/>
      </w:pPr>
    </w:p>
    <w:p>
      <w:pPr>
        <w:pStyle w:val="Heading3"/>
        <w:spacing w:after="80" w:before="200"/>
      </w:pPr>
      <w:r>
        <w:rPr>
          <w:rFonts w:ascii="Arial" w:cs="Arial" w:eastAsia="Arial" w:hAnsi="Arial"/>
          <w:b/>
          <w:bCs/>
          <w:color w:val="1F4E79"/>
          <w:sz w:val="24"/>
          <w:szCs w:val="24"/>
        </w:rPr>
        <w:t xml:space="preserve">Step 6: Configure Purchase Order Document Types</w:t>
      </w:r>
    </w:p>
    <w:p>
      <w:pPr>
        <w:pStyle w:val="ListParagraph"/>
        <w:numPr>
          <w:ilvl w:val="0"/>
          <w:numId w:val="2"/>
        </w:numPr>
        <w:spacing w:after="70"/>
      </w:pPr>
      <w:r>
        <w:rPr>
          <w:rFonts w:ascii="Arial" w:cs="Arial" w:eastAsia="Arial" w:hAnsi="Arial"/>
          <w:color w:val="1A1A1A"/>
          <w:sz w:val="22"/>
          <w:szCs w:val="22"/>
        </w:rPr>
        <w:t xml:space="preserve">Transaction: OMH6 — Define PO document types: NB (Standard), FO (Framework Order)</w:t>
      </w:r>
    </w:p>
    <w:p>
      <w:pPr>
        <w:pStyle w:val="ListParagraph"/>
        <w:numPr>
          <w:ilvl w:val="0"/>
          <w:numId w:val="2"/>
        </w:numPr>
        <w:spacing w:after="70"/>
      </w:pPr>
      <w:r>
        <w:rPr>
          <w:rFonts w:ascii="Arial" w:cs="Arial" w:eastAsia="Arial" w:hAnsi="Arial"/>
          <w:color w:val="1A1A1A"/>
          <w:sz w:val="22"/>
          <w:szCs w:val="22"/>
        </w:rPr>
        <w:t xml:space="preserve">Define number ranges for POs (OMH7)</w:t>
      </w:r>
    </w:p>
    <w:p>
      <w:pPr>
        <w:pStyle w:val="ListParagraph"/>
        <w:numPr>
          <w:ilvl w:val="0"/>
          <w:numId w:val="2"/>
        </w:numPr>
        <w:spacing w:after="70"/>
      </w:pPr>
      <w:r>
        <w:rPr>
          <w:rFonts w:ascii="Arial" w:cs="Arial" w:eastAsia="Arial" w:hAnsi="Arial"/>
          <w:color w:val="1A1A1A"/>
          <w:sz w:val="22"/>
          <w:szCs w:val="22"/>
        </w:rPr>
        <w:t xml:space="preserve">Define release (approval) strategy for POs above INR 5,00,000 (ME29N)</w:t>
      </w:r>
    </w:p>
    <w:p>
      <w:pPr>
        <w:spacing w:after="160"/>
      </w:pPr>
    </w:p>
    <w:p>
      <w:pPr>
        <w:pStyle w:val="Heading2"/>
        <w:spacing w:after="112" w:before="280"/>
      </w:pPr>
      <w:r>
        <w:rPr>
          <w:rFonts w:ascii="Arial" w:cs="Arial" w:eastAsia="Arial" w:hAnsi="Arial"/>
          <w:b/>
          <w:bCs/>
          <w:color w:val="1F4E79"/>
          <w:sz w:val="30"/>
          <w:szCs w:val="30"/>
        </w:rPr>
        <w:t xml:space="preserve">5.3 SD — Sales &amp; Distribution Customization</w:t>
      </w:r>
    </w:p>
    <w:p>
      <w:pPr>
        <w:pBdr>
          <w:left w:val="single" w:color="0D6E6E" w:sz="12" w:space="6"/>
        </w:pBdr>
        <w:spacing w:after="140" w:before="100"/>
        <w:ind w:left="360"/>
      </w:pPr>
      <w:r>
        <w:rPr>
          <w:rFonts w:ascii="Arial" w:cs="Arial" w:eastAsia="Arial" w:hAnsi="Arial"/>
          <w:i/>
          <w:iCs/>
          <w:color w:val="0D6E6E"/>
          <w:sz w:val="20"/>
          <w:szCs w:val="20"/>
        </w:rPr>
        <w:t xml:space="preserve">Path in SPRO: Sales and Distribution &gt; Sales &gt; Sales Documents &gt; Define Sales Document Types</w:t>
      </w:r>
    </w:p>
    <w:p>
      <w:pPr>
        <w:spacing w:after="60"/>
      </w:pPr>
    </w:p>
    <w:p>
      <w:pPr>
        <w:pStyle w:val="Heading3"/>
        <w:spacing w:after="80" w:before="200"/>
      </w:pPr>
      <w:r>
        <w:rPr>
          <w:rFonts w:ascii="Arial" w:cs="Arial" w:eastAsia="Arial" w:hAnsi="Arial"/>
          <w:b/>
          <w:bCs/>
          <w:color w:val="1F4E79"/>
          <w:sz w:val="24"/>
          <w:szCs w:val="24"/>
        </w:rPr>
        <w:t xml:space="preserve">Step 1: Define Sales Organization</w:t>
      </w:r>
    </w:p>
    <w:p>
      <w:pPr>
        <w:pStyle w:val="ListParagraph"/>
        <w:numPr>
          <w:ilvl w:val="0"/>
          <w:numId w:val="2"/>
        </w:numPr>
        <w:spacing w:after="70"/>
      </w:pPr>
      <w:r>
        <w:rPr>
          <w:rFonts w:ascii="Arial" w:cs="Arial" w:eastAsia="Arial" w:hAnsi="Arial"/>
          <w:color w:val="1A1A1A"/>
          <w:sz w:val="22"/>
          <w:szCs w:val="22"/>
        </w:rPr>
        <w:t xml:space="preserve">Transaction: OVX5 — Create Sales Organization SO01 (NovaTrade India Sales)</w:t>
      </w:r>
    </w:p>
    <w:p>
      <w:pPr>
        <w:pStyle w:val="ListParagraph"/>
        <w:numPr>
          <w:ilvl w:val="0"/>
          <w:numId w:val="2"/>
        </w:numPr>
        <w:spacing w:after="70"/>
      </w:pPr>
      <w:r>
        <w:rPr>
          <w:rFonts w:ascii="Arial" w:cs="Arial" w:eastAsia="Arial" w:hAnsi="Arial"/>
          <w:color w:val="1A1A1A"/>
          <w:sz w:val="22"/>
          <w:szCs w:val="22"/>
        </w:rPr>
        <w:t xml:space="preserve">Assign Sales Organization to Company Code NT01 (OVX3)</w:t>
      </w:r>
    </w:p>
    <w:p>
      <w:pPr>
        <w:spacing w:after="80"/>
      </w:pPr>
    </w:p>
    <w:p>
      <w:pPr>
        <w:pStyle w:val="Heading3"/>
        <w:spacing w:after="80" w:before="200"/>
      </w:pPr>
      <w:r>
        <w:rPr>
          <w:rFonts w:ascii="Arial" w:cs="Arial" w:eastAsia="Arial" w:hAnsi="Arial"/>
          <w:b/>
          <w:bCs/>
          <w:color w:val="1F4E79"/>
          <w:sz w:val="24"/>
          <w:szCs w:val="24"/>
        </w:rPr>
        <w:t xml:space="preserve">Step 2: Define Distribution Channels &amp; Divisions</w:t>
      </w:r>
    </w:p>
    <w:p>
      <w:pPr>
        <w:pStyle w:val="ListParagraph"/>
        <w:numPr>
          <w:ilvl w:val="0"/>
          <w:numId w:val="2"/>
        </w:numPr>
        <w:spacing w:after="70"/>
      </w:pPr>
      <w:r>
        <w:rPr>
          <w:rFonts w:ascii="Arial" w:cs="Arial" w:eastAsia="Arial" w:hAnsi="Arial"/>
          <w:color w:val="1A1A1A"/>
          <w:sz w:val="22"/>
          <w:szCs w:val="22"/>
        </w:rPr>
        <w:t xml:space="preserve">Transaction: OVXI — Create Distribution Channel DC01 (Wholesale), DC02 (Retail)</w:t>
      </w:r>
    </w:p>
    <w:p>
      <w:pPr>
        <w:pStyle w:val="ListParagraph"/>
        <w:numPr>
          <w:ilvl w:val="0"/>
          <w:numId w:val="2"/>
        </w:numPr>
        <w:spacing w:after="70"/>
      </w:pPr>
      <w:r>
        <w:rPr>
          <w:rFonts w:ascii="Arial" w:cs="Arial" w:eastAsia="Arial" w:hAnsi="Arial"/>
          <w:color w:val="1A1A1A"/>
          <w:sz w:val="22"/>
          <w:szCs w:val="22"/>
        </w:rPr>
        <w:t xml:space="preserve">Transaction: OVXB — Create Divisions DV01 (Electronics), DV02 (FMCG)</w:t>
      </w:r>
    </w:p>
    <w:p>
      <w:pPr>
        <w:pStyle w:val="ListParagraph"/>
        <w:numPr>
          <w:ilvl w:val="0"/>
          <w:numId w:val="2"/>
        </w:numPr>
        <w:spacing w:after="70"/>
      </w:pPr>
      <w:r>
        <w:rPr>
          <w:rFonts w:ascii="Arial" w:cs="Arial" w:eastAsia="Arial" w:hAnsi="Arial"/>
          <w:color w:val="1A1A1A"/>
          <w:sz w:val="22"/>
          <w:szCs w:val="22"/>
        </w:rPr>
        <w:t xml:space="preserve">Assign distribution channels and divisions to Sales Org SO01 (OVXK, OVXA)</w:t>
      </w:r>
    </w:p>
    <w:p>
      <w:pPr>
        <w:pStyle w:val="ListParagraph"/>
        <w:numPr>
          <w:ilvl w:val="0"/>
          <w:numId w:val="2"/>
        </w:numPr>
        <w:spacing w:after="70"/>
      </w:pPr>
      <w:r>
        <w:rPr>
          <w:rFonts w:ascii="Arial" w:cs="Arial" w:eastAsia="Arial" w:hAnsi="Arial"/>
          <w:color w:val="1A1A1A"/>
          <w:sz w:val="22"/>
          <w:szCs w:val="22"/>
        </w:rPr>
        <w:t xml:space="preserve">Define Sales Areas: SO01/DC01/DV01, SO01/DC02/DV02 (OVXG)</w:t>
      </w:r>
    </w:p>
    <w:p>
      <w:pPr>
        <w:spacing w:after="80"/>
      </w:pPr>
    </w:p>
    <w:p>
      <w:pPr>
        <w:pStyle w:val="Heading3"/>
        <w:spacing w:after="80" w:before="200"/>
      </w:pPr>
      <w:r>
        <w:rPr>
          <w:rFonts w:ascii="Arial" w:cs="Arial" w:eastAsia="Arial" w:hAnsi="Arial"/>
          <w:b/>
          <w:bCs/>
          <w:color w:val="1F4E79"/>
          <w:sz w:val="24"/>
          <w:szCs w:val="24"/>
        </w:rPr>
        <w:t xml:space="preserve">Step 3: Define Sales Document Types</w:t>
      </w:r>
    </w:p>
    <w:p>
      <w:pPr>
        <w:pStyle w:val="ListParagraph"/>
        <w:numPr>
          <w:ilvl w:val="0"/>
          <w:numId w:val="2"/>
        </w:numPr>
        <w:spacing w:after="70"/>
      </w:pPr>
      <w:r>
        <w:rPr>
          <w:rFonts w:ascii="Arial" w:cs="Arial" w:eastAsia="Arial" w:hAnsi="Arial"/>
          <w:color w:val="1A1A1A"/>
          <w:sz w:val="22"/>
          <w:szCs w:val="22"/>
        </w:rPr>
        <w:t xml:space="preserve">Standard Order: OR — used for normal B2B and B2C orders</w:t>
      </w:r>
    </w:p>
    <w:p>
      <w:pPr>
        <w:pStyle w:val="ListParagraph"/>
        <w:numPr>
          <w:ilvl w:val="0"/>
          <w:numId w:val="2"/>
        </w:numPr>
        <w:spacing w:after="70"/>
      </w:pPr>
      <w:r>
        <w:rPr>
          <w:rFonts w:ascii="Arial" w:cs="Arial" w:eastAsia="Arial" w:hAnsi="Arial"/>
          <w:color w:val="1A1A1A"/>
          <w:sz w:val="22"/>
          <w:szCs w:val="22"/>
        </w:rPr>
        <w:t xml:space="preserve">Rush Order: RO — for same-day delivery requirement</w:t>
      </w:r>
    </w:p>
    <w:p>
      <w:pPr>
        <w:pStyle w:val="ListParagraph"/>
        <w:numPr>
          <w:ilvl w:val="0"/>
          <w:numId w:val="2"/>
        </w:numPr>
        <w:spacing w:after="70"/>
      </w:pPr>
      <w:r>
        <w:rPr>
          <w:rFonts w:ascii="Arial" w:cs="Arial" w:eastAsia="Arial" w:hAnsi="Arial"/>
          <w:color w:val="1A1A1A"/>
          <w:sz w:val="22"/>
          <w:szCs w:val="22"/>
        </w:rPr>
        <w:t xml:space="preserve">Returns: RE — for customer return processing</w:t>
      </w:r>
    </w:p>
    <w:p>
      <w:pPr>
        <w:pStyle w:val="ListParagraph"/>
        <w:numPr>
          <w:ilvl w:val="0"/>
          <w:numId w:val="2"/>
        </w:numPr>
        <w:spacing w:after="70"/>
      </w:pPr>
      <w:r>
        <w:rPr>
          <w:rFonts w:ascii="Arial" w:cs="Arial" w:eastAsia="Arial" w:hAnsi="Arial"/>
          <w:color w:val="1A1A1A"/>
          <w:sz w:val="22"/>
          <w:szCs w:val="22"/>
        </w:rPr>
        <w:t xml:space="preserve">Credit Memo Request: CR, Debit Memo Request: DR</w:t>
      </w:r>
    </w:p>
    <w:p>
      <w:pPr>
        <w:pStyle w:val="ListParagraph"/>
        <w:numPr>
          <w:ilvl w:val="0"/>
          <w:numId w:val="2"/>
        </w:numPr>
        <w:spacing w:after="70"/>
      </w:pPr>
      <w:r>
        <w:rPr>
          <w:rFonts w:ascii="Arial" w:cs="Arial" w:eastAsia="Arial" w:hAnsi="Arial"/>
          <w:color w:val="1A1A1A"/>
          <w:sz w:val="22"/>
          <w:szCs w:val="22"/>
        </w:rPr>
        <w:t xml:space="preserve">Configure number ranges for each document type</w:t>
      </w:r>
    </w:p>
    <w:p>
      <w:pPr>
        <w:spacing w:after="80"/>
      </w:pPr>
    </w:p>
    <w:p>
      <w:pPr>
        <w:pStyle w:val="Heading3"/>
        <w:spacing w:after="80" w:before="200"/>
      </w:pPr>
      <w:r>
        <w:rPr>
          <w:rFonts w:ascii="Arial" w:cs="Arial" w:eastAsia="Arial" w:hAnsi="Arial"/>
          <w:b/>
          <w:bCs/>
          <w:color w:val="1F4E79"/>
          <w:sz w:val="24"/>
          <w:szCs w:val="24"/>
        </w:rPr>
        <w:t xml:space="preserve">Step 4: Configure Pricing Procedure</w:t>
      </w:r>
    </w:p>
    <w:p>
      <w:pPr>
        <w:pStyle w:val="ListParagraph"/>
        <w:numPr>
          <w:ilvl w:val="0"/>
          <w:numId w:val="2"/>
        </w:numPr>
        <w:spacing w:after="70"/>
      </w:pPr>
      <w:r>
        <w:rPr>
          <w:rFonts w:ascii="Arial" w:cs="Arial" w:eastAsia="Arial" w:hAnsi="Arial"/>
          <w:color w:val="1A1A1A"/>
          <w:sz w:val="22"/>
          <w:szCs w:val="22"/>
        </w:rPr>
        <w:t xml:space="preserve">Transaction: V/08 — Define pricing procedure NTPRC (NovaTrade Pricing)</w:t>
      </w:r>
    </w:p>
    <w:p>
      <w:pPr>
        <w:pStyle w:val="ListParagraph"/>
        <w:numPr>
          <w:ilvl w:val="0"/>
          <w:numId w:val="2"/>
        </w:numPr>
        <w:spacing w:after="70"/>
      </w:pPr>
      <w:r>
        <w:rPr>
          <w:rFonts w:ascii="Arial" w:cs="Arial" w:eastAsia="Arial" w:hAnsi="Arial"/>
          <w:color w:val="1A1A1A"/>
          <w:sz w:val="22"/>
          <w:szCs w:val="22"/>
        </w:rPr>
        <w:t xml:space="preserve">Condition types: PR00 (Base Price), K007 (Customer Discount %), MWST (Output Tax), SKTO (Cash Discount)</w:t>
      </w:r>
    </w:p>
    <w:p>
      <w:pPr>
        <w:pStyle w:val="ListParagraph"/>
        <w:numPr>
          <w:ilvl w:val="0"/>
          <w:numId w:val="2"/>
        </w:numPr>
        <w:spacing w:after="70"/>
      </w:pPr>
      <w:r>
        <w:rPr>
          <w:rFonts w:ascii="Arial" w:cs="Arial" w:eastAsia="Arial" w:hAnsi="Arial"/>
          <w:color w:val="1A1A1A"/>
          <w:sz w:val="22"/>
          <w:szCs w:val="22"/>
        </w:rPr>
        <w:t xml:space="preserve">Assign pricing procedure to sales area + customer pricing procedure combination</w:t>
      </w:r>
    </w:p>
    <w:p>
      <w:pPr>
        <w:spacing w:after="80"/>
      </w:pPr>
    </w:p>
    <w:p>
      <w:pPr>
        <w:pStyle w:val="Heading3"/>
        <w:spacing w:after="80" w:before="200"/>
      </w:pPr>
      <w:r>
        <w:rPr>
          <w:rFonts w:ascii="Arial" w:cs="Arial" w:eastAsia="Arial" w:hAnsi="Arial"/>
          <w:b/>
          <w:bCs/>
          <w:color w:val="1F4E79"/>
          <w:sz w:val="24"/>
          <w:szCs w:val="24"/>
        </w:rPr>
        <w:t xml:space="preserve">Step 5: Configure Shipping and Delivery</w:t>
      </w:r>
    </w:p>
    <w:p>
      <w:pPr>
        <w:pStyle w:val="ListParagraph"/>
        <w:numPr>
          <w:ilvl w:val="0"/>
          <w:numId w:val="2"/>
        </w:numPr>
        <w:spacing w:after="70"/>
      </w:pPr>
      <w:r>
        <w:rPr>
          <w:rFonts w:ascii="Arial" w:cs="Arial" w:eastAsia="Arial" w:hAnsi="Arial"/>
          <w:color w:val="1A1A1A"/>
          <w:sz w:val="22"/>
          <w:szCs w:val="22"/>
        </w:rPr>
        <w:t xml:space="preserve">Transaction: OVLK — Define delivery types: LF (Outbound Delivery), LR (Returns Delivery)</w:t>
      </w:r>
    </w:p>
    <w:p>
      <w:pPr>
        <w:pStyle w:val="ListParagraph"/>
        <w:numPr>
          <w:ilvl w:val="0"/>
          <w:numId w:val="2"/>
        </w:numPr>
        <w:spacing w:after="70"/>
      </w:pPr>
      <w:r>
        <w:rPr>
          <w:rFonts w:ascii="Arial" w:cs="Arial" w:eastAsia="Arial" w:hAnsi="Arial"/>
          <w:color w:val="1A1A1A"/>
          <w:sz w:val="22"/>
          <w:szCs w:val="22"/>
        </w:rPr>
        <w:t xml:space="preserve">Define Shipping Point SP01 (New Delhi) and assign to plant NT10</w:t>
      </w:r>
    </w:p>
    <w:p>
      <w:pPr>
        <w:pStyle w:val="ListParagraph"/>
        <w:numPr>
          <w:ilvl w:val="0"/>
          <w:numId w:val="2"/>
        </w:numPr>
        <w:spacing w:after="70"/>
      </w:pPr>
      <w:r>
        <w:rPr>
          <w:rFonts w:ascii="Arial" w:cs="Arial" w:eastAsia="Arial" w:hAnsi="Arial"/>
          <w:color w:val="1A1A1A"/>
          <w:sz w:val="22"/>
          <w:szCs w:val="22"/>
        </w:rPr>
        <w:t xml:space="preserve">Define routes: standard road route RT01 for North India zone</w:t>
      </w:r>
    </w:p>
    <w:p>
      <w:pPr>
        <w:spacing w:after="80"/>
      </w:pPr>
    </w:p>
    <w:p>
      <w:pPr>
        <w:pStyle w:val="Heading3"/>
        <w:spacing w:after="80" w:before="200"/>
      </w:pPr>
      <w:r>
        <w:rPr>
          <w:rFonts w:ascii="Arial" w:cs="Arial" w:eastAsia="Arial" w:hAnsi="Arial"/>
          <w:b/>
          <w:bCs/>
          <w:color w:val="1F4E79"/>
          <w:sz w:val="24"/>
          <w:szCs w:val="24"/>
        </w:rPr>
        <w:t xml:space="preserve">Step 6: Configure Billing</w:t>
      </w:r>
    </w:p>
    <w:p>
      <w:pPr>
        <w:pStyle w:val="ListParagraph"/>
        <w:numPr>
          <w:ilvl w:val="0"/>
          <w:numId w:val="2"/>
        </w:numPr>
        <w:spacing w:after="70"/>
      </w:pPr>
      <w:r>
        <w:rPr>
          <w:rFonts w:ascii="Arial" w:cs="Arial" w:eastAsia="Arial" w:hAnsi="Arial"/>
          <w:color w:val="1A1A1A"/>
          <w:sz w:val="22"/>
          <w:szCs w:val="22"/>
        </w:rPr>
        <w:t xml:space="preserve">Transaction: VOFA — Define billing type F2 (Standard Invoice), RE (Credit Memo)</w:t>
      </w:r>
    </w:p>
    <w:p>
      <w:pPr>
        <w:pStyle w:val="ListParagraph"/>
        <w:numPr>
          <w:ilvl w:val="0"/>
          <w:numId w:val="2"/>
        </w:numPr>
        <w:spacing w:after="70"/>
      </w:pPr>
      <w:r>
        <w:rPr>
          <w:rFonts w:ascii="Arial" w:cs="Arial" w:eastAsia="Arial" w:hAnsi="Arial"/>
          <w:color w:val="1A1A1A"/>
          <w:sz w:val="22"/>
          <w:szCs w:val="22"/>
        </w:rPr>
        <w:t xml:space="preserve">Assign billing type to delivery type</w:t>
      </w:r>
    </w:p>
    <w:p>
      <w:pPr>
        <w:pStyle w:val="ListParagraph"/>
        <w:numPr>
          <w:ilvl w:val="0"/>
          <w:numId w:val="2"/>
        </w:numPr>
        <w:spacing w:after="70"/>
      </w:pPr>
      <w:r>
        <w:rPr>
          <w:rFonts w:ascii="Arial" w:cs="Arial" w:eastAsia="Arial" w:hAnsi="Arial"/>
          <w:color w:val="1A1A1A"/>
          <w:sz w:val="22"/>
          <w:szCs w:val="22"/>
        </w:rPr>
        <w:t xml:space="preserve">Configure revenue account determination (VKOA) — link sales to GL account 300010</w:t>
      </w:r>
    </w:p>
    <w:p>
      <w:pPr>
        <w:spacing w:after="160"/>
      </w:pPr>
    </w:p>
    <w:p>
      <w:pPr>
        <w:pStyle w:val="Heading1"/>
        <w:spacing w:after="160" w:before="400"/>
      </w:pPr>
      <w:r>
        <w:rPr>
          <w:rFonts w:ascii="Arial" w:cs="Arial" w:eastAsia="Arial" w:hAnsi="Arial"/>
          <w:b/>
          <w:bCs/>
          <w:color w:val="1F4E79"/>
          <w:sz w:val="38"/>
          <w:szCs w:val="38"/>
        </w:rPr>
        <w:t xml:space="preserve">6. End-to-End Process Flows</w:t>
      </w:r>
    </w:p>
    <w:p>
      <w:pPr>
        <w:pBdr>
          <w:bottom w:val="single" w:color="1F4E79" w:sz="8" w:space="1"/>
        </w:pBdr>
        <w:spacing w:after="160" w:before="80"/>
      </w:pPr>
    </w:p>
    <w:p>
      <w:pPr>
        <w:pStyle w:val="Heading2"/>
        <w:spacing w:after="112" w:before="280"/>
      </w:pPr>
      <w:r>
        <w:rPr>
          <w:rFonts w:ascii="Arial" w:cs="Arial" w:eastAsia="Arial" w:hAnsi="Arial"/>
          <w:b/>
          <w:bCs/>
          <w:color w:val="1F4E79"/>
          <w:sz w:val="30"/>
          <w:szCs w:val="30"/>
        </w:rPr>
        <w:t xml:space="preserve">6.1 Procure-to-Pay (P2P) Process — SAP MM</w:t>
      </w:r>
    </w:p>
    <w:p>
      <w:pPr>
        <w:spacing w:after="140"/>
      </w:pPr>
      <w:r>
        <w:rPr>
          <w:rFonts w:ascii="Arial" w:cs="Arial" w:eastAsia="Arial" w:hAnsi="Arial"/>
          <w:color w:val="1A1A1A"/>
          <w:sz w:val="22"/>
          <w:szCs w:val="22"/>
        </w:rPr>
        <w:t xml:space="preserve">The Procure-to-Pay cycle covers the entire process from identifying a procurement need to making payment to the vendor. The following diagram illustrates the 6-step P2P cycle as configured in NovaTrade's SAP system:</w:t>
      </w:r>
    </w:p>
    <w:p>
      <w:pPr>
        <w:spacing w:after="80"/>
      </w:pPr>
    </w:p>
    <w:p>
      <w:pPr>
        <w:spacing w:after="60" w:before="120"/>
        <w:jc w:val="center"/>
      </w:pPr>
      <w:r>
        <w:drawing>
          <wp:inline distT="0" distB="0" distL="0" distR="0">
            <wp:extent cx="57150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628775"/>
                    </a:xfrm>
                    <a:prstGeom prst="rect">
                      <a:avLst/>
                    </a:prstGeom>
                  </pic:spPr>
                </pic:pic>
              </a:graphicData>
            </a:graphic>
          </wp:inline>
        </w:drawing>
      </w:r>
    </w:p>
    <w:p>
      <w:pPr>
        <w:spacing w:after="200" w:before="60"/>
        <w:jc w:val="center"/>
      </w:pPr>
      <w:r>
        <w:rPr>
          <w:rFonts w:ascii="Arial" w:cs="Arial" w:eastAsia="Arial" w:hAnsi="Arial"/>
          <w:i/>
          <w:iCs/>
          <w:color w:val="4A4A4A"/>
          <w:sz w:val="18"/>
          <w:szCs w:val="18"/>
        </w:rPr>
        <w:t xml:space="preserve">Figure 2: Procure-to-Pay (P2P) Process Flow — NovaTrade Industries (SAP MM)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2496"/>
        <w:gridCol w:w="1248"/>
        <w:gridCol w:w="4992"/>
      </w:tblGrid>
      <w:tr>
        <w:trPr>
          <w:tblHeader/>
        </w:trPr>
        <w:tc>
          <w:tcPr>
            <w:tcW w:type="dxa" w:w="624"/>
            <w:tcBorders>
              <w:top w:val="single" w:color="0D6E6E" w:sz="1"/>
              <w:left w:val="single" w:color="0D6E6E" w:sz="1"/>
              <w:bottom w:val="single" w:color="0D6E6E" w:sz="1"/>
              <w:right w:val="single" w:color="0D6E6E" w:sz="1"/>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w:t>
            </w:r>
          </w:p>
        </w:tc>
        <w:tc>
          <w:tcPr>
            <w:tcW w:type="dxa" w:w="2496"/>
            <w:tcBorders>
              <w:top w:val="single" w:color="0D6E6E" w:sz="1"/>
              <w:left w:val="single" w:color="0D6E6E" w:sz="1"/>
              <w:bottom w:val="single" w:color="0D6E6E" w:sz="1"/>
              <w:right w:val="single" w:color="0D6E6E" w:sz="1"/>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Process</w:t>
            </w:r>
          </w:p>
        </w:tc>
        <w:tc>
          <w:tcPr>
            <w:tcW w:type="dxa" w:w="1248"/>
            <w:tcBorders>
              <w:top w:val="single" w:color="0D6E6E" w:sz="1"/>
              <w:left w:val="single" w:color="0D6E6E" w:sz="1"/>
              <w:bottom w:val="single" w:color="0D6E6E" w:sz="1"/>
              <w:right w:val="single" w:color="0D6E6E" w:sz="1"/>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T-Code</w:t>
            </w:r>
          </w:p>
        </w:tc>
        <w:tc>
          <w:tcPr>
            <w:tcW w:type="dxa" w:w="4992"/>
            <w:tcBorders>
              <w:top w:val="single" w:color="0D6E6E" w:sz="1"/>
              <w:left w:val="single" w:color="0D6E6E" w:sz="1"/>
              <w:bottom w:val="single" w:color="0D6E6E" w:sz="1"/>
              <w:right w:val="single" w:color="0D6E6E" w:sz="1"/>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62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1</w:t>
            </w:r>
          </w:p>
        </w:tc>
        <w:tc>
          <w:tcPr>
            <w:tcW w:type="dxa" w:w="2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Purchase Requisition</w:t>
            </w:r>
          </w:p>
        </w:tc>
        <w:tc>
          <w:tcPr>
            <w:tcW w:type="dxa" w:w="12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ME51N</w:t>
            </w:r>
          </w:p>
        </w:tc>
        <w:tc>
          <w:tcPr>
            <w:tcW w:type="dxa" w:w="49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Dept. raises PR or MRP auto-generates requirement</w:t>
            </w:r>
          </w:p>
        </w:tc>
      </w:tr>
      <w:tr>
        <w:tc>
          <w:tcPr>
            <w:tcW w:type="dxa" w:w="62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2</w:t>
            </w:r>
          </w:p>
        </w:tc>
        <w:tc>
          <w:tcPr>
            <w:tcW w:type="dxa" w:w="2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RFQ &amp; Quotation</w:t>
            </w:r>
          </w:p>
        </w:tc>
        <w:tc>
          <w:tcPr>
            <w:tcW w:type="dxa" w:w="12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ME41 / ME47</w:t>
            </w:r>
          </w:p>
        </w:tc>
        <w:tc>
          <w:tcPr>
            <w:tcW w:type="dxa" w:w="49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Request For Quotation sent to vendors; quotations compared via ME49</w:t>
            </w:r>
          </w:p>
        </w:tc>
      </w:tr>
      <w:tr>
        <w:tc>
          <w:tcPr>
            <w:tcW w:type="dxa" w:w="62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3</w:t>
            </w:r>
          </w:p>
        </w:tc>
        <w:tc>
          <w:tcPr>
            <w:tcW w:type="dxa" w:w="2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Purchase Order</w:t>
            </w:r>
          </w:p>
        </w:tc>
        <w:tc>
          <w:tcPr>
            <w:tcW w:type="dxa" w:w="12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ME21N</w:t>
            </w:r>
          </w:p>
        </w:tc>
        <w:tc>
          <w:tcPr>
            <w:tcW w:type="dxa" w:w="49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PO raised after price comparison; approval via release strategy</w:t>
            </w:r>
          </w:p>
        </w:tc>
      </w:tr>
      <w:tr>
        <w:tc>
          <w:tcPr>
            <w:tcW w:type="dxa" w:w="62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4</w:t>
            </w:r>
          </w:p>
        </w:tc>
        <w:tc>
          <w:tcPr>
            <w:tcW w:type="dxa" w:w="2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Goods Receipt</w:t>
            </w:r>
          </w:p>
        </w:tc>
        <w:tc>
          <w:tcPr>
            <w:tcW w:type="dxa" w:w="12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MIGO (101)</w:t>
            </w:r>
          </w:p>
        </w:tc>
        <w:tc>
          <w:tcPr>
            <w:tcW w:type="dxa" w:w="49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Warehouse records receipt; stock increases; GR/IR account posted</w:t>
            </w:r>
          </w:p>
        </w:tc>
      </w:tr>
      <w:tr>
        <w:tc>
          <w:tcPr>
            <w:tcW w:type="dxa" w:w="62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5</w:t>
            </w:r>
          </w:p>
        </w:tc>
        <w:tc>
          <w:tcPr>
            <w:tcW w:type="dxa" w:w="2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Invoice Verification</w:t>
            </w:r>
          </w:p>
        </w:tc>
        <w:tc>
          <w:tcPr>
            <w:tcW w:type="dxa" w:w="12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MIRO</w:t>
            </w:r>
          </w:p>
        </w:tc>
        <w:tc>
          <w:tcPr>
            <w:tcW w:type="dxa" w:w="49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Vendor invoice matched to PO and GR (3-way match); any variances flagged</w:t>
            </w:r>
          </w:p>
        </w:tc>
      </w:tr>
      <w:tr>
        <w:tc>
          <w:tcPr>
            <w:tcW w:type="dxa" w:w="62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6</w:t>
            </w:r>
          </w:p>
        </w:tc>
        <w:tc>
          <w:tcPr>
            <w:tcW w:type="dxa" w:w="2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Payment to Vendor</w:t>
            </w:r>
          </w:p>
        </w:tc>
        <w:tc>
          <w:tcPr>
            <w:tcW w:type="dxa" w:w="12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F110</w:t>
            </w:r>
          </w:p>
        </w:tc>
        <w:tc>
          <w:tcPr>
            <w:tcW w:type="dxa" w:w="49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Automatic payment run processes due invoices per payment terms</w:t>
            </w:r>
          </w:p>
        </w:tc>
      </w:tr>
    </w:tbl>
    <w:p>
      <w:pPr>
        <w:spacing w:after="160"/>
      </w:pPr>
    </w:p>
    <w:p>
      <w:pPr>
        <w:pStyle w:val="Heading2"/>
        <w:spacing w:after="112" w:before="280"/>
      </w:pPr>
      <w:r>
        <w:rPr>
          <w:rFonts w:ascii="Arial" w:cs="Arial" w:eastAsia="Arial" w:hAnsi="Arial"/>
          <w:b/>
          <w:bCs/>
          <w:color w:val="1F4E79"/>
          <w:sz w:val="30"/>
          <w:szCs w:val="30"/>
        </w:rPr>
        <w:t xml:space="preserve">6.2 Order-to-Cash (O2C) Process — SAP SD</w:t>
      </w:r>
    </w:p>
    <w:p>
      <w:pPr>
        <w:spacing w:after="140"/>
      </w:pPr>
      <w:r>
        <w:rPr>
          <w:rFonts w:ascii="Arial" w:cs="Arial" w:eastAsia="Arial" w:hAnsi="Arial"/>
          <w:color w:val="1A1A1A"/>
          <w:sz w:val="22"/>
          <w:szCs w:val="22"/>
        </w:rPr>
        <w:t xml:space="preserve">The Order-to-Cash cycle captures the complete sales lifecycle from customer inquiry through to cash receipt. NovaTrade follows a 7-step O2C process:</w:t>
      </w:r>
    </w:p>
    <w:p>
      <w:pPr>
        <w:spacing w:after="80"/>
      </w:pPr>
    </w:p>
    <w:p>
      <w:pPr>
        <w:spacing w:after="60" w:before="120"/>
        <w:jc w:val="center"/>
      </w:pPr>
      <w:r>
        <w:drawing>
          <wp:inline distT="0" distB="0" distL="0" distR="0">
            <wp:extent cx="57150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628775"/>
                    </a:xfrm>
                    <a:prstGeom prst="rect">
                      <a:avLst/>
                    </a:prstGeom>
                  </pic:spPr>
                </pic:pic>
              </a:graphicData>
            </a:graphic>
          </wp:inline>
        </w:drawing>
      </w:r>
    </w:p>
    <w:p>
      <w:pPr>
        <w:spacing w:after="200" w:before="60"/>
        <w:jc w:val="center"/>
      </w:pPr>
      <w:r>
        <w:rPr>
          <w:rFonts w:ascii="Arial" w:cs="Arial" w:eastAsia="Arial" w:hAnsi="Arial"/>
          <w:i/>
          <w:iCs/>
          <w:color w:val="4A4A4A"/>
          <w:sz w:val="18"/>
          <w:szCs w:val="18"/>
        </w:rPr>
        <w:t xml:space="preserve">Figure 3: Order-to-Cash (O2C) Process Flow — NovaTrade Industries (SAP SD)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2496"/>
        <w:gridCol w:w="1248"/>
        <w:gridCol w:w="4992"/>
      </w:tblGrid>
      <w:tr>
        <w:trPr>
          <w:tblHeader/>
        </w:trPr>
        <w:tc>
          <w:tcPr>
            <w:tcW w:type="dxa" w:w="624"/>
            <w:tcBorders>
              <w:top w:val="single" w:color="7B4F00" w:sz="1"/>
              <w:left w:val="single" w:color="7B4F00" w:sz="1"/>
              <w:bottom w:val="single" w:color="7B4F00" w:sz="1"/>
              <w:right w:val="single" w:color="7B4F00" w:sz="1"/>
            </w:tcBorders>
            <w:shd w:fill="7B4F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w:t>
            </w:r>
          </w:p>
        </w:tc>
        <w:tc>
          <w:tcPr>
            <w:tcW w:type="dxa" w:w="2496"/>
            <w:tcBorders>
              <w:top w:val="single" w:color="7B4F00" w:sz="1"/>
              <w:left w:val="single" w:color="7B4F00" w:sz="1"/>
              <w:bottom w:val="single" w:color="7B4F00" w:sz="1"/>
              <w:right w:val="single" w:color="7B4F00" w:sz="1"/>
            </w:tcBorders>
            <w:shd w:fill="7B4F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Process</w:t>
            </w:r>
          </w:p>
        </w:tc>
        <w:tc>
          <w:tcPr>
            <w:tcW w:type="dxa" w:w="1248"/>
            <w:tcBorders>
              <w:top w:val="single" w:color="7B4F00" w:sz="1"/>
              <w:left w:val="single" w:color="7B4F00" w:sz="1"/>
              <w:bottom w:val="single" w:color="7B4F00" w:sz="1"/>
              <w:right w:val="single" w:color="7B4F00" w:sz="1"/>
            </w:tcBorders>
            <w:shd w:fill="7B4F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T-Code</w:t>
            </w:r>
          </w:p>
        </w:tc>
        <w:tc>
          <w:tcPr>
            <w:tcW w:type="dxa" w:w="4992"/>
            <w:tcBorders>
              <w:top w:val="single" w:color="7B4F00" w:sz="1"/>
              <w:left w:val="single" w:color="7B4F00" w:sz="1"/>
              <w:bottom w:val="single" w:color="7B4F00" w:sz="1"/>
              <w:right w:val="single" w:color="7B4F00" w:sz="1"/>
            </w:tcBorders>
            <w:shd w:fill="7B4F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62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1</w:t>
            </w:r>
          </w:p>
        </w:tc>
        <w:tc>
          <w:tcPr>
            <w:tcW w:type="dxa" w:w="2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Sales Inquiry</w:t>
            </w:r>
          </w:p>
        </w:tc>
        <w:tc>
          <w:tcPr>
            <w:tcW w:type="dxa" w:w="12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VA11</w:t>
            </w:r>
          </w:p>
        </w:tc>
        <w:tc>
          <w:tcPr>
            <w:tcW w:type="dxa" w:w="49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Customer raises product inquiry; captured in system</w:t>
            </w:r>
          </w:p>
        </w:tc>
      </w:tr>
      <w:tr>
        <w:tc>
          <w:tcPr>
            <w:tcW w:type="dxa" w:w="62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2</w:t>
            </w:r>
          </w:p>
        </w:tc>
        <w:tc>
          <w:tcPr>
            <w:tcW w:type="dxa" w:w="2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Sales Quotation</w:t>
            </w:r>
          </w:p>
        </w:tc>
        <w:tc>
          <w:tcPr>
            <w:tcW w:type="dxa" w:w="12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VA21</w:t>
            </w:r>
          </w:p>
        </w:tc>
        <w:tc>
          <w:tcPr>
            <w:tcW w:type="dxa" w:w="49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Formal quotation with pricing sent to customer; valid for 30 days</w:t>
            </w:r>
          </w:p>
        </w:tc>
      </w:tr>
      <w:tr>
        <w:tc>
          <w:tcPr>
            <w:tcW w:type="dxa" w:w="62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3</w:t>
            </w:r>
          </w:p>
        </w:tc>
        <w:tc>
          <w:tcPr>
            <w:tcW w:type="dxa" w:w="2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Sales Order</w:t>
            </w:r>
          </w:p>
        </w:tc>
        <w:tc>
          <w:tcPr>
            <w:tcW w:type="dxa" w:w="12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VA01</w:t>
            </w:r>
          </w:p>
        </w:tc>
        <w:tc>
          <w:tcPr>
            <w:tcW w:type="dxa" w:w="49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Customer confirms; sales order booked with delivery date and pricing</w:t>
            </w:r>
          </w:p>
        </w:tc>
      </w:tr>
      <w:tr>
        <w:tc>
          <w:tcPr>
            <w:tcW w:type="dxa" w:w="62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4</w:t>
            </w:r>
          </w:p>
        </w:tc>
        <w:tc>
          <w:tcPr>
            <w:tcW w:type="dxa" w:w="2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Outbound Delivery</w:t>
            </w:r>
          </w:p>
        </w:tc>
        <w:tc>
          <w:tcPr>
            <w:tcW w:type="dxa" w:w="12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VL01N</w:t>
            </w:r>
          </w:p>
        </w:tc>
        <w:tc>
          <w:tcPr>
            <w:tcW w:type="dxa" w:w="49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Delivery document created; picking and packing of goods initiated</w:t>
            </w:r>
          </w:p>
        </w:tc>
      </w:tr>
      <w:tr>
        <w:tc>
          <w:tcPr>
            <w:tcW w:type="dxa" w:w="62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5</w:t>
            </w:r>
          </w:p>
        </w:tc>
        <w:tc>
          <w:tcPr>
            <w:tcW w:type="dxa" w:w="2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Goods Issue (PGI)</w:t>
            </w:r>
          </w:p>
        </w:tc>
        <w:tc>
          <w:tcPr>
            <w:tcW w:type="dxa" w:w="12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VL02N</w:t>
            </w:r>
          </w:p>
        </w:tc>
        <w:tc>
          <w:tcPr>
            <w:tcW w:type="dxa" w:w="49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Post Goods Issue reduces inventory; COGS entry in FI</w:t>
            </w:r>
          </w:p>
        </w:tc>
      </w:tr>
      <w:tr>
        <w:tc>
          <w:tcPr>
            <w:tcW w:type="dxa" w:w="62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6</w:t>
            </w:r>
          </w:p>
        </w:tc>
        <w:tc>
          <w:tcPr>
            <w:tcW w:type="dxa" w:w="2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Billing / Invoice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VF01</w:t>
            </w:r>
          </w:p>
        </w:tc>
        <w:tc>
          <w:tcPr>
            <w:tcW w:type="dxa" w:w="49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Customer invoice generated; FI document posted to Accounts Receivable</w:t>
            </w:r>
          </w:p>
        </w:tc>
      </w:tr>
      <w:tr>
        <w:tc>
          <w:tcPr>
            <w:tcW w:type="dxa" w:w="62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7</w:t>
            </w:r>
          </w:p>
        </w:tc>
        <w:tc>
          <w:tcPr>
            <w:tcW w:type="dxa" w:w="2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Payment Receipt</w:t>
            </w:r>
          </w:p>
        </w:tc>
        <w:tc>
          <w:tcPr>
            <w:tcW w:type="dxa" w:w="12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F-28</w:t>
            </w:r>
          </w:p>
        </w:tc>
        <w:tc>
          <w:tcPr>
            <w:tcW w:type="dxa" w:w="49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Customer payment cleared against open AR item; bank account updated</w:t>
            </w:r>
          </w:p>
        </w:tc>
      </w:tr>
    </w:tbl>
    <w:p>
      <w:pPr>
        <w:spacing w:after="160"/>
      </w:pPr>
    </w:p>
    <w:p>
      <w:pPr>
        <w:pStyle w:val="Heading1"/>
        <w:spacing w:after="160" w:before="400"/>
      </w:pPr>
      <w:r>
        <w:rPr>
          <w:rFonts w:ascii="Arial" w:cs="Arial" w:eastAsia="Arial" w:hAnsi="Arial"/>
          <w:b/>
          <w:bCs/>
          <w:color w:val="1F4E79"/>
          <w:sz w:val="38"/>
          <w:szCs w:val="38"/>
        </w:rPr>
        <w:t xml:space="preserve">7. Cross-Module Integration (FI-MM-SD)</w:t>
      </w:r>
    </w:p>
    <w:p>
      <w:pPr>
        <w:pBdr>
          <w:bottom w:val="single" w:color="1F4E79" w:sz="8" w:space="1"/>
        </w:pBdr>
        <w:spacing w:after="160" w:before="80"/>
      </w:pPr>
    </w:p>
    <w:p>
      <w:pPr>
        <w:spacing w:after="140"/>
      </w:pPr>
      <w:r>
        <w:rPr>
          <w:rFonts w:ascii="Arial" w:cs="Arial" w:eastAsia="Arial" w:hAnsi="Arial"/>
          <w:color w:val="1A1A1A"/>
          <w:sz w:val="22"/>
          <w:szCs w:val="22"/>
        </w:rPr>
        <w:t xml:space="preserve">One of the most powerful aspects of SAP ERP is its real-time, automatic integration between modules. In NovaTrade's setup, every business transaction in MM or SD automatically generates corresponding accounting entries in FI without manual intervention. This ensures the general ledger is always up to date and audit-ready.</w:t>
      </w:r>
    </w:p>
    <w:p>
      <w:pPr>
        <w:spacing w:after="80"/>
      </w:pPr>
    </w:p>
    <w:p>
      <w:pPr>
        <w:spacing w:after="60" w:before="120"/>
        <w:jc w:val="center"/>
      </w:pPr>
      <w:r>
        <w:drawing>
          <wp:inline distT="0" distB="0" distL="0" distR="0">
            <wp:extent cx="5905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124075"/>
                    </a:xfrm>
                    <a:prstGeom prst="rect">
                      <a:avLst/>
                    </a:prstGeom>
                  </pic:spPr>
                </pic:pic>
              </a:graphicData>
            </a:graphic>
          </wp:inline>
        </w:drawing>
      </w:r>
    </w:p>
    <w:p>
      <w:pPr>
        <w:spacing w:after="200" w:before="60"/>
        <w:jc w:val="center"/>
      </w:pPr>
      <w:r>
        <w:rPr>
          <w:rFonts w:ascii="Arial" w:cs="Arial" w:eastAsia="Arial" w:hAnsi="Arial"/>
          <w:i/>
          <w:iCs/>
          <w:color w:val="4A4A4A"/>
          <w:sz w:val="18"/>
          <w:szCs w:val="18"/>
        </w:rPr>
        <w:t xml:space="preserve">Figure 4: FI-MM-SD Cross-Module Integration — Automatic Document Flow</w:t>
      </w:r>
    </w:p>
    <w:p>
      <w:pPr>
        <w:spacing w:after="80"/>
      </w:pPr>
    </w:p>
    <w:p>
      <w:pPr>
        <w:pStyle w:val="Heading2"/>
        <w:spacing w:after="112" w:before="280"/>
      </w:pPr>
      <w:r>
        <w:rPr>
          <w:rFonts w:ascii="Arial" w:cs="Arial" w:eastAsia="Arial" w:hAnsi="Arial"/>
          <w:b/>
          <w:bCs/>
          <w:color w:val="1F4E79"/>
          <w:sz w:val="30"/>
          <w:szCs w:val="30"/>
        </w:rPr>
        <w:t xml:space="preserve">7.1 FI-MM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MM Event</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 Automatic Posting</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GL Accounts Affected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Goods Receipt (MIGO 101)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Dr. Inventory A/c / Cr. GR/IR Clearing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150010 (Inventory) / 200060 (GR/IR)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Invoice Verification (MIRO)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Dr. GR/IR Clearing / Cr. Vendor Payable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200060 (GR/IR) / 200010 (AP-Vendor)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Vendor Payment (F110)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Dr. Vendor Payable / Cr. Bank Account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200010 (AP) / 100020 (Bank SBI)</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Goods Issue to Production (261)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Dr. COGS / Cr. Inventory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400010 (COGS) / 150010 (Inventory)</w:t>
            </w:r>
          </w:p>
        </w:tc>
      </w:tr>
    </w:tbl>
    <w:p>
      <w:pPr>
        <w:spacing w:after="160"/>
      </w:pPr>
    </w:p>
    <w:p>
      <w:pPr>
        <w:pStyle w:val="Heading2"/>
        <w:spacing w:after="112" w:before="280"/>
      </w:pPr>
      <w:r>
        <w:rPr>
          <w:rFonts w:ascii="Arial" w:cs="Arial" w:eastAsia="Arial" w:hAnsi="Arial"/>
          <w:b/>
          <w:bCs/>
          <w:color w:val="1F4E79"/>
          <w:sz w:val="30"/>
          <w:szCs w:val="30"/>
        </w:rPr>
        <w:t xml:space="preserve">7.2 FI-SD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7B4F00" w:sz="1"/>
              <w:left w:val="single" w:color="7B4F00" w:sz="1"/>
              <w:bottom w:val="single" w:color="7B4F00" w:sz="1"/>
              <w:right w:val="single" w:color="7B4F00" w:sz="1"/>
            </w:tcBorders>
            <w:shd w:fill="7B4F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SD Event</w:t>
            </w:r>
          </w:p>
        </w:tc>
        <w:tc>
          <w:tcPr>
            <w:tcW w:type="dxa" w:w="3120"/>
            <w:tcBorders>
              <w:top w:val="single" w:color="7B4F00" w:sz="1"/>
              <w:left w:val="single" w:color="7B4F00" w:sz="1"/>
              <w:bottom w:val="single" w:color="7B4F00" w:sz="1"/>
              <w:right w:val="single" w:color="7B4F00" w:sz="1"/>
            </w:tcBorders>
            <w:shd w:fill="7B4F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 Automatic Posting</w:t>
            </w:r>
          </w:p>
        </w:tc>
        <w:tc>
          <w:tcPr>
            <w:tcW w:type="dxa" w:w="3120"/>
            <w:tcBorders>
              <w:top w:val="single" w:color="7B4F00" w:sz="1"/>
              <w:left w:val="single" w:color="7B4F00" w:sz="1"/>
              <w:bottom w:val="single" w:color="7B4F00" w:sz="1"/>
              <w:right w:val="single" w:color="7B4F00" w:sz="1"/>
            </w:tcBorders>
            <w:shd w:fill="7B4F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GL Accounts Affected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Post Goods Issue (VL02N-PGI)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Dr. COGS / Cr. Finished Goods Inventory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400010 (COGS) / 150020 (FG Inventory)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Billing Document (VF01)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Dr. Accounts Receivable / Cr. Sales Revenue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100030 (AR-Customer) / 300010 (Revenue)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Output Tax on Billing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Dr. Customer / Cr. Output GST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100030 (AR) / 600020 (Output GST)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Customer Payment (F-28)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Dr. Bank / Cr. Accounts Receivable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100020 (Bank) / 100030 (AR)</w:t>
            </w:r>
          </w:p>
        </w:tc>
      </w:tr>
    </w:tbl>
    <w:p>
      <w:pPr>
        <w:spacing w:after="160"/>
      </w:pPr>
    </w:p>
    <w:p>
      <w:pPr>
        <w:pStyle w:val="Heading1"/>
        <w:spacing w:after="160" w:before="400"/>
      </w:pPr>
      <w:r>
        <w:rPr>
          <w:rFonts w:ascii="Arial" w:cs="Arial" w:eastAsia="Arial" w:hAnsi="Arial"/>
          <w:b/>
          <w:bCs/>
          <w:color w:val="1F4E79"/>
          <w:sz w:val="38"/>
          <w:szCs w:val="38"/>
        </w:rPr>
        <w:t xml:space="preserve">8. Key SAP Reports &amp; Analytics</w:t>
      </w:r>
    </w:p>
    <w:p>
      <w:pPr>
        <w:pBdr>
          <w:bottom w:val="single" w:color="1F4E79" w:sz="8" w:space="1"/>
        </w:pBdr>
        <w:spacing w:after="160" w:before="80"/>
      </w:pPr>
    </w:p>
    <w:p>
      <w:pPr>
        <w:spacing w:after="140"/>
      </w:pPr>
      <w:r>
        <w:rPr>
          <w:rFonts w:ascii="Arial" w:cs="Arial" w:eastAsia="Arial" w:hAnsi="Arial"/>
          <w:color w:val="1A1A1A"/>
          <w:sz w:val="22"/>
          <w:szCs w:val="22"/>
        </w:rPr>
        <w:t xml:space="preserve">SAP provides a rich set of standard reports that NovaTrade's management and finance teams will use on a daily, monthly, and annual basis. The following are the most critical reports configured for each module: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1560"/>
        <w:gridCol w:w="2340"/>
      </w:tblGrid>
      <w:tr>
        <w:trPr>
          <w:tblHeader/>
        </w:trPr>
        <w:tc>
          <w:tcPr>
            <w:tcW w:type="dxa" w:w="15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Module</w:t>
            </w:r>
          </w:p>
        </w:tc>
        <w:tc>
          <w:tcPr>
            <w:tcW w:type="dxa" w:w="39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Report Name</w:t>
            </w:r>
          </w:p>
        </w:tc>
        <w:tc>
          <w:tcPr>
            <w:tcW w:type="dxa" w:w="15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T-Code</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FI</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General Ledger Report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S_ALR_87012291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Trial balance &amp; GL line items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FI</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Accounts Payable Aging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S_ALR_87012085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Vendor dues by aging bucket</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FI</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Accounts Receivable Aging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S_ALR_87012168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Customer outstanding analysis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FI</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Financial Statements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S_ALR_87012284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P&amp;L and Balance Sheet</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MM</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Stock Overview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MMBE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Current stock by plant/SLoc</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MM</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Purchase Order Report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ME2M / ME2N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PO tracking by material/vendor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MM</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GR/IR Clearing Report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MB5S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Uncleared GR/IR analysis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SD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Sales Order Report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VA05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Open/completed sales orders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SD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Billing Document Report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VF05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Invoice listing by period</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SD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Customer Sales Analysis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S_ALR_87012186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Revenue by customer/product</w:t>
            </w:r>
          </w:p>
        </w:tc>
      </w:tr>
    </w:tbl>
    <w:p>
      <w:pPr>
        <w:spacing w:after="160"/>
      </w:pPr>
    </w:p>
    <w:p>
      <w:pPr>
        <w:pStyle w:val="Heading1"/>
        <w:spacing w:after="160" w:before="400"/>
      </w:pPr>
      <w:r>
        <w:rPr>
          <w:rFonts w:ascii="Arial" w:cs="Arial" w:eastAsia="Arial" w:hAnsi="Arial"/>
          <w:b/>
          <w:bCs/>
          <w:color w:val="1F4E79"/>
          <w:sz w:val="38"/>
          <w:szCs w:val="38"/>
        </w:rPr>
        <w:t xml:space="preserve">9. Conclusion</w:t>
      </w:r>
    </w:p>
    <w:p>
      <w:pPr>
        <w:pBdr>
          <w:bottom w:val="single" w:color="1F4E79" w:sz="8" w:space="1"/>
        </w:pBdr>
        <w:spacing w:after="160" w:before="80"/>
      </w:pPr>
    </w:p>
    <w:p>
      <w:pPr>
        <w:spacing w:after="140"/>
      </w:pPr>
      <w:r>
        <w:rPr>
          <w:rFonts w:ascii="Arial" w:cs="Arial" w:eastAsia="Arial" w:hAnsi="Arial"/>
          <w:color w:val="1A1A1A"/>
          <w:sz w:val="22"/>
          <w:szCs w:val="22"/>
        </w:rPr>
        <w:t xml:space="preserve">This SAP ERP Blueprint document has comprehensively outlined the enterprise structure, master data definition, customization steps, and end-to-end process flows for NovaTrade Industries Pvt. Ltd. across the three core modules — Financial Accounting (FI), Materials Management (MM), and Sales &amp; Distribution (SD).</w:t>
      </w:r>
    </w:p>
    <w:p>
      <w:pPr>
        <w:spacing w:after="140"/>
      </w:pPr>
      <w:r>
        <w:rPr>
          <w:rFonts w:ascii="Arial" w:cs="Arial" w:eastAsia="Arial" w:hAnsi="Arial"/>
          <w:color w:val="1A1A1A"/>
          <w:sz w:val="22"/>
          <w:szCs w:val="22"/>
        </w:rPr>
        <w:t xml:space="preserve">The blueprint demonstrates how a mid-size Indian enterprise with dual business divisions (Electronics and FMCG) can leverage SAP's highly integrated architecture to achieve real-time financial visibility, streamlined procurement, and efficient order fulfillment. Key highlights of this design include:</w:t>
      </w:r>
    </w:p>
    <w:p>
      <w:pPr>
        <w:pStyle w:val="ListParagraph"/>
        <w:numPr>
          <w:ilvl w:val="0"/>
          <w:numId w:val="2"/>
        </w:numPr>
        <w:spacing w:after="70"/>
      </w:pPr>
      <w:r>
        <w:rPr>
          <w:rFonts w:ascii="Arial" w:cs="Arial" w:eastAsia="Arial" w:hAnsi="Arial"/>
          <w:color w:val="1A1A1A"/>
          <w:sz w:val="22"/>
          <w:szCs w:val="22"/>
        </w:rPr>
        <w:t xml:space="preserve">A centrally managed chart of accounts (NTIN) aligned with Indian fiscal regulations and GST requirements.</w:t>
      </w:r>
    </w:p>
    <w:p>
      <w:pPr>
        <w:pStyle w:val="ListParagraph"/>
        <w:numPr>
          <w:ilvl w:val="0"/>
          <w:numId w:val="2"/>
        </w:numPr>
        <w:spacing w:after="70"/>
      </w:pPr>
      <w:r>
        <w:rPr>
          <w:rFonts w:ascii="Arial" w:cs="Arial" w:eastAsia="Arial" w:hAnsi="Arial"/>
          <w:color w:val="1A1A1A"/>
          <w:sz w:val="22"/>
          <w:szCs w:val="22"/>
        </w:rPr>
        <w:t xml:space="preserve">A two-plant structure (Delhi Hub and Noida Plant) optimized for distribution and manufacturing operations respectively.</w:t>
      </w:r>
    </w:p>
    <w:p>
      <w:pPr>
        <w:pStyle w:val="ListParagraph"/>
        <w:numPr>
          <w:ilvl w:val="0"/>
          <w:numId w:val="2"/>
        </w:numPr>
        <w:spacing w:after="70"/>
      </w:pPr>
      <w:r>
        <w:rPr>
          <w:rFonts w:ascii="Arial" w:cs="Arial" w:eastAsia="Arial" w:hAnsi="Arial"/>
          <w:color w:val="1A1A1A"/>
          <w:sz w:val="22"/>
          <w:szCs w:val="22"/>
        </w:rPr>
        <w:t xml:space="preserve">Dual distribution channels enabling both B2B wholesale and B2C retail business models within the same SAP system.</w:t>
      </w:r>
    </w:p>
    <w:p>
      <w:pPr>
        <w:pStyle w:val="ListParagraph"/>
        <w:numPr>
          <w:ilvl w:val="0"/>
          <w:numId w:val="2"/>
        </w:numPr>
        <w:spacing w:after="70"/>
      </w:pPr>
      <w:r>
        <w:rPr>
          <w:rFonts w:ascii="Arial" w:cs="Arial" w:eastAsia="Arial" w:hAnsi="Arial"/>
          <w:color w:val="1A1A1A"/>
          <w:sz w:val="22"/>
          <w:szCs w:val="22"/>
        </w:rPr>
        <w:t xml:space="preserve">Automatic cross-module integration ensuring every goods movement and billing event instantly updates the general ledger without manual journal entries.</w:t>
      </w:r>
    </w:p>
    <w:p>
      <w:pPr>
        <w:pStyle w:val="ListParagraph"/>
        <w:numPr>
          <w:ilvl w:val="0"/>
          <w:numId w:val="2"/>
        </w:numPr>
        <w:spacing w:after="70"/>
      </w:pPr>
      <w:r>
        <w:rPr>
          <w:rFonts w:ascii="Arial" w:cs="Arial" w:eastAsia="Arial" w:hAnsi="Arial"/>
          <w:color w:val="1A1A1A"/>
          <w:sz w:val="22"/>
          <w:szCs w:val="22"/>
        </w:rPr>
        <w:t xml:space="preserve">A structured purchasing approval workflow with a release strategy for high-value purchase orders.</w:t>
      </w:r>
    </w:p>
    <w:p>
      <w:pPr>
        <w:spacing w:after="80"/>
      </w:pPr>
    </w:p>
    <w:p>
      <w:pPr>
        <w:spacing w:after="140"/>
      </w:pPr>
      <w:r>
        <w:rPr>
          <w:rFonts w:ascii="Arial" w:cs="Arial" w:eastAsia="Arial" w:hAnsi="Arial"/>
          <w:color w:val="1A1A1A"/>
          <w:sz w:val="22"/>
          <w:szCs w:val="22"/>
        </w:rPr>
        <w:t xml:space="preserve">The implementation of this blueprint would result in a unified, real-time ERP system enabling NovaTrade's management to access accurate financial reports, track inventory levels, monitor customer receivables, and manage vendor payables — all within a single integrated platform. This document serves as the foundational reference for the technical configuration team to proceed with the Realization phase of the SAP project.</w:t>
      </w:r>
    </w:p>
    <w:p>
      <w:pPr>
        <w:spacing w:after="160"/>
      </w:pPr>
    </w:p>
    <w:p>
      <w:pPr>
        <w:pStyle w:val="Heading1"/>
        <w:spacing w:after="160" w:before="400"/>
      </w:pPr>
      <w:r>
        <w:rPr>
          <w:rFonts w:ascii="Arial" w:cs="Arial" w:eastAsia="Arial" w:hAnsi="Arial"/>
          <w:b/>
          <w:bCs/>
          <w:color w:val="1F4E79"/>
          <w:sz w:val="38"/>
          <w:szCs w:val="38"/>
        </w:rPr>
        <w:t xml:space="preserve">10. Appendix — Transaction Code Reference</w:t>
      </w:r>
    </w:p>
    <w:p>
      <w:pPr>
        <w:pBdr>
          <w:bottom w:val="single" w:color="1F4E79" w:sz="8" w:space="1"/>
        </w:pBd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1560"/>
        <w:gridCol w:w="2340"/>
      </w:tblGrid>
      <w:tr>
        <w:trPr>
          <w:tblHeader/>
        </w:trPr>
        <w:tc>
          <w:tcPr>
            <w:tcW w:type="dxa" w:w="1560"/>
            <w:tcBorders>
              <w:top w:val="single" w:color="4A4A4A" w:sz="1"/>
              <w:left w:val="single" w:color="4A4A4A" w:sz="1"/>
              <w:bottom w:val="single" w:color="4A4A4A" w:sz="1"/>
              <w:right w:val="single" w:color="4A4A4A" w:sz="1"/>
            </w:tcBorders>
            <w:shd w:fill="4A4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T-Code</w:t>
            </w:r>
          </w:p>
        </w:tc>
        <w:tc>
          <w:tcPr>
            <w:tcW w:type="dxa" w:w="3900"/>
            <w:tcBorders>
              <w:top w:val="single" w:color="4A4A4A" w:sz="1"/>
              <w:left w:val="single" w:color="4A4A4A" w:sz="1"/>
              <w:bottom w:val="single" w:color="4A4A4A" w:sz="1"/>
              <w:right w:val="single" w:color="4A4A4A" w:sz="1"/>
            </w:tcBorders>
            <w:shd w:fill="4A4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1560"/>
            <w:tcBorders>
              <w:top w:val="single" w:color="4A4A4A" w:sz="1"/>
              <w:left w:val="single" w:color="4A4A4A" w:sz="1"/>
              <w:bottom w:val="single" w:color="4A4A4A" w:sz="1"/>
              <w:right w:val="single" w:color="4A4A4A" w:sz="1"/>
            </w:tcBorders>
            <w:shd w:fill="4A4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Module</w:t>
            </w:r>
          </w:p>
        </w:tc>
        <w:tc>
          <w:tcPr>
            <w:tcW w:type="dxa" w:w="2340"/>
            <w:tcBorders>
              <w:top w:val="single" w:color="4A4A4A" w:sz="1"/>
              <w:left w:val="single" w:color="4A4A4A" w:sz="1"/>
              <w:bottom w:val="single" w:color="4A4A4A" w:sz="1"/>
              <w:right w:val="single" w:color="4A4A4A" w:sz="1"/>
            </w:tcBorders>
            <w:shd w:fill="4A4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SPRO</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SAP Project Reference Object (IMG)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Configuration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OX02</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Create Company Code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Configuration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OB13</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Create Chart of Accounts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Configuration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OB29</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Define Fiscal Year Variant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Configuration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OX10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Define Plant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Configuration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OX08</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Define Purchasing Organization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Configuration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OMWM</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Set Valuation Level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Configuration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OVX5</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Define Sales Organization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Configuration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V/08</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Define Pricing Procedure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Configuration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ME51N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Create Purchase Requisition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Transaction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ME21N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Create Purchase Order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Transaction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MIGO</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Goods Movement (GR/GI/Transfer)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Transaction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MIRO</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Logistics Invoice Verification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MM/FI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Transaction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F110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Automatic Payment Run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Transaction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VA01</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Create Sales Order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Transaction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VL01N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Create Outbound Delivery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Transaction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VF01</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Create Billing Document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Transaction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F-28</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Post Incoming Payment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Transaction</w:t>
            </w:r>
          </w:p>
        </w:tc>
      </w:tr>
    </w:tbl>
    <w:p>
      <w:pPr>
        <w:spacing w:after="300"/>
      </w:pPr>
    </w:p>
    <w:p>
      <w:pPr>
        <w:pBdr>
          <w:top w:val="single" w:color="1F4E79" w:sz="6" w:space="1"/>
        </w:pBdr>
        <w:spacing w:after="60" w:before="200"/>
        <w:jc w:val="center"/>
      </w:pPr>
      <w:r>
        <w:rPr>
          <w:rFonts w:ascii="Arial" w:cs="Arial" w:eastAsia="Arial" w:hAnsi="Arial"/>
          <w:i/>
          <w:iCs/>
          <w:color w:val="4A4A4A"/>
          <w:sz w:val="20"/>
          <w:szCs w:val="20"/>
        </w:rPr>
        <w:t xml:space="preserve">— End of Document —</w:t>
      </w:r>
    </w:p>
    <w:p>
      <w:pPr>
        <w:jc w:val="center"/>
      </w:pPr>
      <w:r>
        <w:rPr>
          <w:rFonts w:ascii="Arial" w:cs="Arial" w:eastAsia="Arial" w:hAnsi="Arial"/>
          <w:color w:val="4A4A4A"/>
          <w:sz w:val="18"/>
          <w:szCs w:val="18"/>
        </w:rPr>
        <w:t xml:space="preserve">NovaTrade Industries Pvt. Ltd. | SAP ERP Blueprint | KIIT University | 2025</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3"/>
      </w:pBdr>
      <w:jc w:val="center"/>
    </w:pPr>
    <w:r>
      <w:rPr>
        <w:rFonts w:ascii="Arial" w:cs="Arial" w:eastAsia="Arial" w:hAnsi="Arial"/>
        <w:color w:val="4A4A4A"/>
        <w:sz w:val="18"/>
        <w:szCs w:val="18"/>
      </w:rPr>
      <w:t xml:space="preserve">Page </w:t>
    </w:r>
    <w:r>
      <w:rPr>
        <w:rFonts w:ascii="Arial" w:cs="Arial" w:eastAsia="Arial" w:hAnsi="Arial"/>
        <w:color w:val="4A4A4A"/>
        <w:sz w:val="18"/>
        <w:szCs w:val="18"/>
      </w:rPr>
      <w:fldChar w:fldCharType="begin"/>
      <w:instrText xml:space="preserve">PAGE</w:instrText>
      <w:fldChar w:fldCharType="separate"/>
      <w:fldChar w:fldCharType="end"/>
    </w:r>
    <w:r>
      <w:rPr>
        <w:rFonts w:ascii="Arial" w:cs="Arial" w:eastAsia="Arial" w:hAnsi="Arial"/>
        <w:color w:val="4A4A4A"/>
        <w:sz w:val="18"/>
        <w:szCs w:val="18"/>
      </w:rPr>
      <w:t xml:space="preserve"> of </w:t>
    </w:r>
    <w:r>
      <w:rPr>
        <w:rFonts w:ascii="Arial" w:cs="Arial" w:eastAsia="Arial" w:hAnsi="Arial"/>
        <w:color w:val="4A4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3"/>
      </w:pBdr>
      <w:tabs>
        <w:tab w:val="right" w:pos="9026"/>
      </w:tabs>
    </w:pPr>
    <w:r>
      <w:rPr>
        <w:rFonts w:ascii="Arial" w:cs="Arial" w:eastAsia="Arial" w:hAnsi="Arial"/>
        <w:color w:val="4A4A4A"/>
        <w:sz w:val="18"/>
        <w:szCs w:val="18"/>
      </w:rPr>
      <w:t xml:space="preserve">SAP ERP Blueprint — NovaTrade Industries Pvt. Ltd.</w:t>
    </w:r>
    <w:r>
      <w:rPr>
        <w:rFonts w:ascii="Arial" w:cs="Arial" w:eastAsia="Arial" w:hAnsi="Arial"/>
        <w:color w:val="4A4A4A"/>
        <w:sz w:val="18"/>
        <w:szCs w:val="18"/>
      </w:rPr>
      <w:t xml:space="preserve">	KIIT University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F4E79"/>
      <w:sz w:val="38"/>
      <w:szCs w:val="38"/>
    </w:rPr>
  </w:style>
  <w:style w:type="paragraph" w:styleId="Heading2">
    <w:name w:val="Heading 2"/>
    <w:basedOn w:val="Normal"/>
    <w:next w:val="Normal"/>
    <w:qFormat/>
    <w:pPr>
      <w:spacing w:after="120" w:before="280"/>
      <w:outlineLvl w:val="1"/>
    </w:pPr>
    <w:rPr>
      <w:rFonts w:ascii="Arial" w:cs="Arial" w:eastAsia="Arial" w:hAnsi="Arial"/>
      <w:b/>
      <w:bCs/>
      <w:color w:val="0D6E6E"/>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f621c39586bf640ce53b839a75ae255042cde19.png"/><Relationship Id="rId10" Type="http://schemas.openxmlformats.org/officeDocument/2006/relationships/image" Target="media/a3cbd2745bf4f159374b5a3993321fb9e67f1ff1.png"/><Relationship Id="rId11" Type="http://schemas.openxmlformats.org/officeDocument/2006/relationships/image" Target="media/97c6678bc7209e3bb95621de3ab79cb107a37dea.png"/><Relationship Id="rId12" Type="http://schemas.openxmlformats.org/officeDocument/2006/relationships/image" Target="media/3fb43dfef96cbb5aa846519f64c9764124e45bd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2026-04-14T17:38:34.833Z</dcterms:created>
  <dcterms:modified xsi:type="dcterms:W3CDTF">2026-04-14T17:38:34.833Z</dcterms:modified>
</cp:coreProperties>
</file>

<file path=docProps/custom.xml><?xml version="1.0" encoding="utf-8"?>
<Properties xmlns="http://schemas.openxmlformats.org/officeDocument/2006/custom-properties" xmlns:vt="http://schemas.openxmlformats.org/officeDocument/2006/docPropsVTypes"/>
</file>