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00338D" w:sz="12" w:space="8"/>
        </w:pBdr>
        <w:spacing w:after="200"/>
        <w:jc w:val="left"/>
      </w:pPr>
      <w:r>
        <w:rPr>
          <w:rFonts w:ascii="Arial" w:cs="Arial" w:eastAsia="Arial" w:hAnsi="Arial"/>
          <w:b/>
          <w:bCs/>
          <w:color w:val="00338D"/>
          <w:sz w:val="56"/>
          <w:szCs w:val="56"/>
        </w:rPr>
        <w:t xml:space="preserve">AI Badges by KPMG</w:t>
      </w:r>
    </w:p>
    <w:p>
      <w:pPr>
        <w:spacing w:after="100"/>
        <w:jc w:val="left"/>
      </w:pPr>
      <w:r>
        <w:rPr>
          <w:rFonts w:ascii="Arial" w:cs="Arial" w:eastAsia="Arial" w:hAnsi="Arial"/>
          <w:color w:val="483698"/>
          <w:sz w:val="32"/>
          <w:szCs w:val="32"/>
        </w:rPr>
        <w:t xml:space="preserve">Product Requirements Document (PRD)</w:t>
      </w:r>
    </w:p>
    <w:p>
      <w:pPr>
        <w:spacing w:after="600"/>
        <w:jc w:val="left"/>
      </w:pPr>
      <w:r>
        <w:rPr>
          <w:rFonts w:ascii="Arial" w:cs="Arial" w:eastAsia="Arial" w:hAnsi="Arial"/>
          <w:color w:val="6D6E71"/>
          <w:sz w:val="28"/>
          <w:szCs w:val="28"/>
        </w:rPr>
        <w:t xml:space="preserve">AI Ethics Badge Assessment Platform for Saudi Government Entities</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00338D"/>
                <w:sz w:val="22"/>
                <w:szCs w:val="22"/>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2E"/>
                <w:sz w:val="22"/>
                <w:szCs w:val="22"/>
              </w:rPr>
              <w:t xml:space="preserve">1.0</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00338D"/>
                <w:sz w:val="22"/>
                <w:szCs w:val="22"/>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2E"/>
                <w:sz w:val="22"/>
                <w:szCs w:val="22"/>
              </w:rPr>
              <w:t xml:space="preserve">April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00338D"/>
                <w:sz w:val="22"/>
                <w:szCs w:val="22"/>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2E"/>
                <w:sz w:val="22"/>
                <w:szCs w:val="22"/>
              </w:rPr>
              <w:t xml:space="preserve">Confidential</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00338D"/>
                <w:sz w:val="22"/>
                <w:szCs w:val="22"/>
              </w:rPr>
              <w:t xml:space="preserve">Prepared by:</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A1A2E"/>
                <w:sz w:val="22"/>
                <w:szCs w:val="22"/>
              </w:rPr>
              <w:t xml:space="preserve">KPMG Saudi Arabia</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color w:val="1A1A2E"/>
          <w:sz w:val="22"/>
          <w:szCs w:val="22"/>
        </w:rPr>
        <w:t xml:space="preserve">AI Badges by KPMG is an internal assessment platform designed to support KPMG Saudi Arabia consultants in evaluating the AI ethics maturity of Saudi government entities. The platform enables structured collection of information about each government entity’s AI products, their customer base, and associated documentation across 11 regulatory report domains aligned with SDAIA’s AI Market Governance framework.</w:t>
      </w:r>
    </w:p>
    <w:p>
      <w:pPr>
        <w:spacing w:after="120" w:line="276"/>
      </w:pPr>
      <w:r>
        <w:rPr>
          <w:rFonts w:ascii="Arial" w:cs="Arial" w:eastAsia="Arial" w:hAnsi="Arial"/>
          <w:color w:val="1A1A2E"/>
          <w:sz w:val="22"/>
          <w:szCs w:val="22"/>
        </w:rPr>
        <w:t xml:space="preserve">The platform does not perform scoring or automated badge assignment at this stage. Its primary purpose is to serve as a comprehensive data collection and tracking tool that ensures all required information is gathered systematically per AI product, per government entity. A single entity-level badge is the ultimate output, reflecting the collective maturity of all AI products operated by that entity.</w:t>
      </w:r>
    </w:p>
    <w:p>
      <w:pPr>
        <w:spacing w:after="120" w:line="276"/>
      </w:pPr>
      <w:r>
        <w:rPr>
          <w:rFonts w:ascii="Arial" w:cs="Arial" w:eastAsia="Arial" w:hAnsi="Arial"/>
          <w:color w:val="1A1A2E"/>
          <w:sz w:val="22"/>
          <w:szCs w:val="22"/>
        </w:rPr>
        <w:t xml:space="preserve">The badge framework follows five ascending maturity tiers: Aware (واعي), Adopter (متبني), Committed (ملتزم), Trusted (موثوق), and Leader (رائد). Badge assignment will be determined in future phases once a scoring methodology is defined.</w:t>
      </w:r>
    </w:p>
    <w:p>
      <w:pPr>
        <w:pBdr>
          <w:bottom w:val="single" w:color="00338D" w:sz="6" w:space="1"/>
        </w:pBdr>
        <w:spacing w:after="200" w:before="200"/>
      </w:pPr>
    </w:p>
    <w:p>
      <w:pPr>
        <w:pStyle w:val="Heading1"/>
      </w:pPr>
      <w:r>
        <w:t xml:space="preserve">2. Objectives</w:t>
      </w:r>
    </w:p>
    <w:p>
      <w:pPr>
        <w:pStyle w:val="ListParagraph"/>
        <w:numPr>
          <w:ilvl w:val="0"/>
          <w:numId w:val="2"/>
        </w:numPr>
        <w:spacing w:after="120" w:line="276"/>
      </w:pPr>
      <w:r>
        <w:rPr>
          <w:rFonts w:ascii="Arial" w:cs="Arial" w:eastAsia="Arial" w:hAnsi="Arial"/>
          <w:color w:val="1A1A2E"/>
          <w:sz w:val="22"/>
          <w:szCs w:val="22"/>
        </w:rPr>
        <w:t xml:space="preserve">Enable KPMG consultants to systematically register and manage government entities and their AI product portfolios within a single platform.</w:t>
      </w:r>
    </w:p>
    <w:p>
      <w:pPr>
        <w:pStyle w:val="ListParagraph"/>
        <w:numPr>
          <w:ilvl w:val="0"/>
          <w:numId w:val="2"/>
        </w:numPr>
        <w:spacing w:after="120" w:line="276"/>
      </w:pPr>
      <w:r>
        <w:rPr>
          <w:rFonts w:ascii="Arial" w:cs="Arial" w:eastAsia="Arial" w:hAnsi="Arial"/>
          <w:color w:val="1A1A2E"/>
          <w:sz w:val="22"/>
          <w:szCs w:val="22"/>
        </w:rPr>
        <w:t xml:space="preserve">Collect structured product information and customer data for each AI product operated by a government entity.</w:t>
      </w:r>
    </w:p>
    <w:p>
      <w:pPr>
        <w:pStyle w:val="ListParagraph"/>
        <w:numPr>
          <w:ilvl w:val="0"/>
          <w:numId w:val="2"/>
        </w:numPr>
        <w:spacing w:after="120" w:line="276"/>
      </w:pPr>
      <w:r>
        <w:rPr>
          <w:rFonts w:ascii="Arial" w:cs="Arial" w:eastAsia="Arial" w:hAnsi="Arial"/>
          <w:color w:val="1A1A2E"/>
          <w:sz w:val="22"/>
          <w:szCs w:val="22"/>
        </w:rPr>
        <w:t xml:space="preserve">Facilitate the collection and tracking of documentation across 11 AI governance report domains per AI product.</w:t>
      </w:r>
    </w:p>
    <w:p>
      <w:pPr>
        <w:pStyle w:val="ListParagraph"/>
        <w:numPr>
          <w:ilvl w:val="0"/>
          <w:numId w:val="2"/>
        </w:numPr>
        <w:spacing w:after="120" w:line="276"/>
      </w:pPr>
      <w:r>
        <w:rPr>
          <w:rFonts w:ascii="Arial" w:cs="Arial" w:eastAsia="Arial" w:hAnsi="Arial"/>
          <w:color w:val="1A1A2E"/>
          <w:sz w:val="22"/>
          <w:szCs w:val="22"/>
        </w:rPr>
        <w:t xml:space="preserve">Provide visibility into completion status across all products and domains for a given entity.</w:t>
      </w:r>
    </w:p>
    <w:p>
      <w:pPr>
        <w:pStyle w:val="ListParagraph"/>
        <w:numPr>
          <w:ilvl w:val="0"/>
          <w:numId w:val="2"/>
        </w:numPr>
        <w:spacing w:after="120" w:line="276"/>
      </w:pPr>
      <w:r>
        <w:rPr>
          <w:rFonts w:ascii="Arial" w:cs="Arial" w:eastAsia="Arial" w:hAnsi="Arial"/>
          <w:color w:val="1A1A2E"/>
          <w:sz w:val="22"/>
          <w:szCs w:val="22"/>
        </w:rPr>
        <w:t xml:space="preserve">Establish a placeholder for the 5-tier badge framework at the entity level, ready for future scoring activation.</w:t>
      </w:r>
    </w:p>
    <w:p>
      <w:pPr>
        <w:pStyle w:val="ListParagraph"/>
        <w:numPr>
          <w:ilvl w:val="0"/>
          <w:numId w:val="2"/>
        </w:numPr>
        <w:spacing w:after="120" w:line="276"/>
      </w:pPr>
      <w:r>
        <w:rPr>
          <w:rFonts w:ascii="Arial" w:cs="Arial" w:eastAsia="Arial" w:hAnsi="Arial"/>
          <w:color w:val="1A1A2E"/>
          <w:sz w:val="22"/>
          <w:szCs w:val="22"/>
        </w:rPr>
        <w:t xml:space="preserve">Support bilingual content entry (Arabic and English) to align with Saudi regulatory requirements.</w:t>
      </w:r>
    </w:p>
    <w:p>
      <w:pPr>
        <w:pBdr>
          <w:bottom w:val="single" w:color="00338D" w:sz="6" w:space="1"/>
        </w:pBdr>
        <w:spacing w:after="200" w:before="200"/>
      </w:pPr>
    </w:p>
    <w:p>
      <w:pPr>
        <w:pStyle w:val="Heading1"/>
      </w:pPr>
      <w:r>
        <w:t xml:space="preserve">3. Scope</w:t>
      </w:r>
    </w:p>
    <w:p>
      <w:pPr>
        <w:pStyle w:val="Heading2"/>
      </w:pPr>
      <w:r>
        <w:t xml:space="preserve">3.1 In Scope</w:t>
      </w:r>
    </w:p>
    <w:p>
      <w:pPr>
        <w:pStyle w:val="ListParagraph"/>
        <w:numPr>
          <w:ilvl w:val="0"/>
          <w:numId w:val="3"/>
        </w:numPr>
        <w:spacing w:after="120" w:line="276"/>
      </w:pPr>
      <w:r>
        <w:rPr>
          <w:rFonts w:ascii="Arial" w:cs="Arial" w:eastAsia="Arial" w:hAnsi="Arial"/>
          <w:color w:val="1A1A2E"/>
          <w:sz w:val="22"/>
          <w:szCs w:val="22"/>
        </w:rPr>
        <w:t xml:space="preserve">Internal KPMG platform (consultants are the sole users at this phase).</w:t>
      </w:r>
    </w:p>
    <w:p>
      <w:pPr>
        <w:pStyle w:val="ListParagraph"/>
        <w:numPr>
          <w:ilvl w:val="0"/>
          <w:numId w:val="3"/>
        </w:numPr>
        <w:spacing w:after="120" w:line="276"/>
      </w:pPr>
      <w:r>
        <w:rPr>
          <w:rFonts w:ascii="Arial" w:cs="Arial" w:eastAsia="Arial" w:hAnsi="Arial"/>
          <w:color w:val="1A1A2E"/>
          <w:sz w:val="22"/>
          <w:szCs w:val="22"/>
        </w:rPr>
        <w:t xml:space="preserve">Government entity profile management.</w:t>
      </w:r>
    </w:p>
    <w:p>
      <w:pPr>
        <w:pStyle w:val="ListParagraph"/>
        <w:numPr>
          <w:ilvl w:val="0"/>
          <w:numId w:val="3"/>
        </w:numPr>
        <w:spacing w:after="120" w:line="276"/>
      </w:pPr>
      <w:r>
        <w:rPr>
          <w:rFonts w:ascii="Arial" w:cs="Arial" w:eastAsia="Arial" w:hAnsi="Arial"/>
          <w:color w:val="1A1A2E"/>
          <w:sz w:val="22"/>
          <w:szCs w:val="22"/>
        </w:rPr>
        <w:t xml:space="preserve">AI product registration with product info (Section 1) and customer info (Section 2).</w:t>
      </w:r>
    </w:p>
    <w:p>
      <w:pPr>
        <w:pStyle w:val="ListParagraph"/>
        <w:numPr>
          <w:ilvl w:val="0"/>
          <w:numId w:val="3"/>
        </w:numPr>
        <w:spacing w:after="120" w:line="276"/>
      </w:pPr>
      <w:r>
        <w:rPr>
          <w:rFonts w:ascii="Arial" w:cs="Arial" w:eastAsia="Arial" w:hAnsi="Arial"/>
          <w:color w:val="1A1A2E"/>
          <w:sz w:val="22"/>
          <w:szCs w:val="22"/>
        </w:rPr>
        <w:t xml:space="preserve">Structured data collection forms across 11 report domains per product.</w:t>
      </w:r>
    </w:p>
    <w:p>
      <w:pPr>
        <w:pStyle w:val="ListParagraph"/>
        <w:numPr>
          <w:ilvl w:val="0"/>
          <w:numId w:val="3"/>
        </w:numPr>
        <w:spacing w:after="120" w:line="276"/>
      </w:pPr>
      <w:r>
        <w:rPr>
          <w:rFonts w:ascii="Arial" w:cs="Arial" w:eastAsia="Arial" w:hAnsi="Arial"/>
          <w:color w:val="1A1A2E"/>
          <w:sz w:val="22"/>
          <w:szCs w:val="22"/>
        </w:rPr>
        <w:t xml:space="preserve">Document upload capability per domain per product.</w:t>
      </w:r>
    </w:p>
    <w:p>
      <w:pPr>
        <w:pStyle w:val="ListParagraph"/>
        <w:numPr>
          <w:ilvl w:val="0"/>
          <w:numId w:val="3"/>
        </w:numPr>
        <w:spacing w:after="120" w:line="276"/>
      </w:pPr>
      <w:r>
        <w:rPr>
          <w:rFonts w:ascii="Arial" w:cs="Arial" w:eastAsia="Arial" w:hAnsi="Arial"/>
          <w:color w:val="1A1A2E"/>
          <w:sz w:val="22"/>
          <w:szCs w:val="22"/>
        </w:rPr>
        <w:t xml:space="preserve">Completion tracking dashboards at product and entity level.</w:t>
      </w:r>
    </w:p>
    <w:p>
      <w:pPr>
        <w:pStyle w:val="ListParagraph"/>
        <w:numPr>
          <w:ilvl w:val="0"/>
          <w:numId w:val="3"/>
        </w:numPr>
        <w:spacing w:after="120" w:line="276"/>
      </w:pPr>
      <w:r>
        <w:rPr>
          <w:rFonts w:ascii="Arial" w:cs="Arial" w:eastAsia="Arial" w:hAnsi="Arial"/>
          <w:color w:val="1A1A2E"/>
          <w:sz w:val="22"/>
          <w:szCs w:val="22"/>
        </w:rPr>
        <w:t xml:space="preserve">Entity-level badge placeholder (visual display, no scoring).</w:t>
      </w:r>
    </w:p>
    <w:p>
      <w:pPr>
        <w:pStyle w:val="ListParagraph"/>
        <w:numPr>
          <w:ilvl w:val="0"/>
          <w:numId w:val="3"/>
        </w:numPr>
        <w:spacing w:after="120" w:line="276"/>
      </w:pPr>
      <w:r>
        <w:rPr>
          <w:rFonts w:ascii="Arial" w:cs="Arial" w:eastAsia="Arial" w:hAnsi="Arial"/>
          <w:color w:val="1A1A2E"/>
          <w:sz w:val="22"/>
          <w:szCs w:val="22"/>
        </w:rPr>
        <w:t xml:space="preserve">Bilingual support (Arabic/English).</w:t>
      </w:r>
    </w:p>
    <w:p>
      <w:pPr>
        <w:pStyle w:val="Heading2"/>
      </w:pPr>
      <w:r>
        <w:t xml:space="preserve">3.2 Out of Scope</w:t>
      </w:r>
    </w:p>
    <w:p>
      <w:pPr>
        <w:pStyle w:val="ListParagraph"/>
        <w:numPr>
          <w:ilvl w:val="0"/>
          <w:numId w:val="3"/>
        </w:numPr>
        <w:spacing w:after="120" w:line="276"/>
      </w:pPr>
      <w:r>
        <w:rPr>
          <w:rFonts w:ascii="Arial" w:cs="Arial" w:eastAsia="Arial" w:hAnsi="Arial"/>
          <w:color w:val="1A1A2E"/>
          <w:sz w:val="22"/>
          <w:szCs w:val="22"/>
        </w:rPr>
        <w:t xml:space="preserve">Government entity self-service access or registration.</w:t>
      </w:r>
    </w:p>
    <w:p>
      <w:pPr>
        <w:pStyle w:val="ListParagraph"/>
        <w:numPr>
          <w:ilvl w:val="0"/>
          <w:numId w:val="3"/>
        </w:numPr>
        <w:spacing w:after="120" w:line="276"/>
      </w:pPr>
      <w:r>
        <w:rPr>
          <w:rFonts w:ascii="Arial" w:cs="Arial" w:eastAsia="Arial" w:hAnsi="Arial"/>
          <w:color w:val="1A1A2E"/>
          <w:sz w:val="22"/>
          <w:szCs w:val="22"/>
        </w:rPr>
        <w:t xml:space="preserve">Automated scoring or badge assignment logic.</w:t>
      </w:r>
    </w:p>
    <w:p>
      <w:pPr>
        <w:pStyle w:val="ListParagraph"/>
        <w:numPr>
          <w:ilvl w:val="0"/>
          <w:numId w:val="3"/>
        </w:numPr>
        <w:spacing w:after="120" w:line="276"/>
      </w:pPr>
      <w:r>
        <w:rPr>
          <w:rFonts w:ascii="Arial" w:cs="Arial" w:eastAsia="Arial" w:hAnsi="Arial"/>
          <w:color w:val="1A1A2E"/>
          <w:sz w:val="22"/>
          <w:szCs w:val="22"/>
        </w:rPr>
        <w:t xml:space="preserve">Risk assessment calculation (Section 3 output — deferred to scoring phase).</w:t>
      </w:r>
    </w:p>
    <w:p>
      <w:pPr>
        <w:pStyle w:val="ListParagraph"/>
        <w:numPr>
          <w:ilvl w:val="0"/>
          <w:numId w:val="3"/>
        </w:numPr>
        <w:spacing w:after="120" w:line="276"/>
      </w:pPr>
      <w:r>
        <w:rPr>
          <w:rFonts w:ascii="Arial" w:cs="Arial" w:eastAsia="Arial" w:hAnsi="Arial"/>
          <w:color w:val="1A1A2E"/>
          <w:sz w:val="22"/>
          <w:szCs w:val="22"/>
        </w:rPr>
        <w:t xml:space="preserve">QR code generation and badge verification.</w:t>
      </w:r>
    </w:p>
    <w:p>
      <w:pPr>
        <w:pStyle w:val="ListParagraph"/>
        <w:numPr>
          <w:ilvl w:val="0"/>
          <w:numId w:val="3"/>
        </w:numPr>
        <w:spacing w:after="120" w:line="276"/>
      </w:pPr>
      <w:r>
        <w:rPr>
          <w:rFonts w:ascii="Arial" w:cs="Arial" w:eastAsia="Arial" w:hAnsi="Arial"/>
          <w:color w:val="1A1A2E"/>
          <w:sz w:val="22"/>
          <w:szCs w:val="22"/>
        </w:rPr>
        <w:t xml:space="preserve">Badge expiry and renewal workflows.</w:t>
      </w:r>
    </w:p>
    <w:p>
      <w:pPr>
        <w:pStyle w:val="ListParagraph"/>
        <w:numPr>
          <w:ilvl w:val="0"/>
          <w:numId w:val="3"/>
        </w:numPr>
        <w:spacing w:after="120" w:line="276"/>
      </w:pPr>
      <w:r>
        <w:rPr>
          <w:rFonts w:ascii="Arial" w:cs="Arial" w:eastAsia="Arial" w:hAnsi="Arial"/>
          <w:color w:val="1A1A2E"/>
          <w:sz w:val="22"/>
          <w:szCs w:val="22"/>
        </w:rPr>
        <w:t xml:space="preserve">Integration with external government systems.</w:t>
      </w:r>
    </w:p>
    <w:p>
      <w:pPr>
        <w:pBdr>
          <w:bottom w:val="single" w:color="00338D" w:sz="6" w:space="1"/>
        </w:pBdr>
        <w:spacing w:after="200" w:before="200"/>
      </w:pPr>
    </w:p>
    <w:p>
      <w:pPr>
        <w:pStyle w:val="Heading1"/>
      </w:pPr>
      <w:r>
        <w:t xml:space="preserve">4.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368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Permissions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Admin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KPMG senior consultant or project lead who manages the platform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Full CRUD on entities, products, and reports; user management; export data; assign badges manually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Consultant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KPMG consultant responsible for data collection at client entities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Create/edit entities and products; fill in forms and upload documents; view dashboards; cannot assign badges or manage users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Viewer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KPMG stakeholder who needs read-only access for oversight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View all entities, products, completion status, and reports; no edit or upload capability</w:t>
            </w:r>
          </w:p>
        </w:tc>
      </w:tr>
    </w:tbl>
    <w:p>
      <w:pPr>
        <w:pBdr>
          <w:bottom w:val="single" w:color="00338D" w:sz="6" w:space="1"/>
        </w:pBdr>
        <w:spacing w:after="200" w:before="200"/>
      </w:pPr>
    </w:p>
    <w:p>
      <w:pPr>
        <w:pStyle w:val="Heading1"/>
      </w:pPr>
      <w:r>
        <w:t xml:space="preserve">5. Platform Structure</w:t>
      </w:r>
    </w:p>
    <w:p>
      <w:pPr>
        <w:pStyle w:val="Heading2"/>
      </w:pPr>
      <w:r>
        <w:t xml:space="preserve">5.1 Evaluation Framework</w:t>
      </w:r>
    </w:p>
    <w:p>
      <w:pPr>
        <w:spacing w:after="120" w:line="276"/>
      </w:pPr>
      <w:r>
        <w:rPr>
          <w:rFonts w:ascii="Arial" w:cs="Arial" w:eastAsia="Arial" w:hAnsi="Arial"/>
          <w:color w:val="1A1A2E"/>
          <w:sz w:val="22"/>
          <w:szCs w:val="22"/>
        </w:rPr>
        <w:t xml:space="preserve">The evaluation process per AI product is structured around four main sections. Sections 1 and 2 are filled in by the KPMG consultant. Section 3 is a calculated output (deferred). Section 4 is the structured document collection across 11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Section</w:t>
            </w:r>
          </w:p>
        </w:tc>
        <w:tc>
          <w:tcPr>
            <w:tcW w:type="dxa" w:w="308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508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1</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 Information (معلومات عن المنتج)</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Basic data about the AI product: description, data sources, technology stack, deployment model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2</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Customer Information (معلومات عن عملاء المنتج)</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Target audience segments, current customer/user count, usage volume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3</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Risk Assessment (تقييم المخاطر)</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Calculated output based on assessment results — identifies potential risks and societal impact. Deferred to scoring phase.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Audit Document Submission (مشاركة المستندات)</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Structured forms and document uploads across 11 governance report domains per AI product</w:t>
            </w:r>
          </w:p>
        </w:tc>
      </w:tr>
    </w:tbl>
    <w:p>
      <w:r>
        <w:br w:type="page"/>
      </w:r>
    </w:p>
    <w:p>
      <w:pPr>
        <w:pStyle w:val="Heading2"/>
      </w:pPr>
      <w:r>
        <w:t xml:space="preserve">5.2 Badge Framework</w:t>
      </w:r>
    </w:p>
    <w:p>
      <w:pPr>
        <w:spacing w:after="120" w:line="276"/>
      </w:pPr>
      <w:r>
        <w:rPr>
          <w:rFonts w:ascii="Arial" w:cs="Arial" w:eastAsia="Arial" w:hAnsi="Arial"/>
          <w:color w:val="1A1A2E"/>
          <w:sz w:val="22"/>
          <w:szCs w:val="22"/>
        </w:rPr>
        <w:t xml:space="preserve">The badge is assigned at the entity level (not per product). It reflects the collective AI ethics maturity across all AI products operated by the government entity. The five tiers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600"/>
        <w:gridCol w:w="5560"/>
      </w:tblGrid>
      <w:tr>
        <w:tc>
          <w:tcPr>
            <w:tcW w:type="dxa" w:w="8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Arabic</w:t>
            </w:r>
          </w:p>
        </w:tc>
        <w:tc>
          <w:tcPr>
            <w:tcW w:type="dxa" w:w="16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English</w:t>
            </w:r>
          </w:p>
        </w:tc>
        <w:tc>
          <w:tcPr>
            <w:tcW w:type="dxa" w:w="55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واعي</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Aware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Entry level — indicates adoption of AI ethics principles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متبني</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Adopter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Reflects initial commitment with opportunities for improvement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ملتزم</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Committed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Reflects systematic application of AI ethics practices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91DA"/>
                <w:sz w:val="20"/>
                <w:szCs w:val="20"/>
              </w:rPr>
              <w:t xml:space="preserve">موثوق</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Trusted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Indicates adoption of advanced ethics practices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338D"/>
                <w:sz w:val="20"/>
                <w:szCs w:val="20"/>
              </w:rPr>
              <w:t xml:space="preserve">رائد</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Leader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Highest level — a model of ethical compliance to be emulated</w:t>
            </w:r>
          </w:p>
        </w:tc>
      </w:tr>
    </w:tbl>
    <w:p>
      <w:pPr>
        <w:spacing w:after="120" w:line="276"/>
      </w:pPr>
      <w:r>
        <w:rPr>
          <w:rFonts w:ascii="Arial" w:cs="Arial" w:eastAsia="Arial" w:hAnsi="Arial"/>
          <w:color w:val="1A1A2E"/>
          <w:sz w:val="22"/>
          <w:szCs w:val="22"/>
        </w:rPr>
        <w:t xml:space="preserve">Note: Badge assignment logic, scoring weights, and automated tier calculation are deferred to a future phase. In this phase, badges may be manually assigned by an Admin user for display purposes.</w:t>
      </w:r>
    </w:p>
    <w:p>
      <w:pPr>
        <w:pBdr>
          <w:bottom w:val="single" w:color="00338D" w:sz="6" w:space="1"/>
        </w:pBdr>
        <w:spacing w:after="200" w:before="200"/>
      </w:pPr>
    </w:p>
    <w:p>
      <w:pPr>
        <w:pStyle w:val="Heading1"/>
      </w:pPr>
      <w:r>
        <w:t xml:space="preserve">6. Functional Requirements</w:t>
      </w:r>
    </w:p>
    <w:p>
      <w:pPr>
        <w:pStyle w:val="Heading2"/>
      </w:pPr>
      <w:r>
        <w:t xml:space="preserve">6.1 Entity Management</w:t>
      </w:r>
    </w:p>
    <w:p>
      <w:pPr>
        <w:spacing w:after="120" w:line="276"/>
      </w:pPr>
      <w:r>
        <w:rPr>
          <w:rFonts w:ascii="Arial" w:cs="Arial" w:eastAsia="Arial" w:hAnsi="Arial"/>
          <w:color w:val="1A1A2E"/>
          <w:sz w:val="22"/>
          <w:szCs w:val="22"/>
        </w:rPr>
        <w:t xml:space="preserve">The platform must allow KPMG consultants to create and manage government entity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Create Government Entity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Entity name (AR/EN), sector, ministry/authority classification, primary contact name, contact email, contact phone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Edit Entity Profile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Update all entity fields; track modification history with timestamps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Delete Entity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Soft delete with confirmation; retain data for audit trail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List/Search Entities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Searchable list with filters by sector, completion status, assigned consultant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Assign Consultant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Link one or more KPMG consultants to an entity</w:t>
            </w:r>
          </w:p>
        </w:tc>
      </w:tr>
    </w:tbl>
    <w:p>
      <w:r>
        <w:br w:type="page"/>
      </w:r>
    </w:p>
    <w:p>
      <w:pPr>
        <w:pStyle w:val="Heading2"/>
      </w:pPr>
      <w:r>
        <w:t xml:space="preserve">6.2 AI Product Registry</w:t>
      </w:r>
    </w:p>
    <w:p>
      <w:pPr>
        <w:spacing w:after="120" w:line="276"/>
      </w:pPr>
      <w:r>
        <w:rPr>
          <w:rFonts w:ascii="Arial" w:cs="Arial" w:eastAsia="Arial" w:hAnsi="Arial"/>
          <w:color w:val="1A1A2E"/>
          <w:sz w:val="22"/>
          <w:szCs w:val="22"/>
        </w:rPr>
        <w:t xml:space="preserve">For each government entity, the consultant registers every AI product and fills in Sections 1 and 2.</w:t>
      </w:r>
    </w:p>
    <w:p>
      <w:pPr>
        <w:pStyle w:val="Heading3"/>
      </w:pPr>
      <w:r>
        <w:t xml:space="preserve">6.2.1 Section 1: Product Information (معلومات عن المنتج)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 Name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Text field (AR/EN)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 Description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Multi-line text describing the AI product purpose and functionality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Sources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 of data sources used by the product (structured input, multiple entries)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Technology / Model Type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Dropdown or free text: ML, Deep Learning, NLP, Computer Vision, GenAI, Rule-Based, Other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Deployment Model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On-premise, Cloud, Hybrid, SaaS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Development Source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In-house, Vendor/Third-party, Open-source, Mixed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Go-Live Date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Date picker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Current Status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Dropdown: Development, Pilot, Production, Retired</w:t>
            </w:r>
          </w:p>
        </w:tc>
      </w:tr>
    </w:tbl>
    <w:p>
      <w:pPr>
        <w:pStyle w:val="Heading3"/>
      </w:pPr>
      <w:r>
        <w:t xml:space="preserve">6.2.2 Section 2: Customer Information (معلومات عن عملاء المنتج)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Target Audience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Multi-select: Citizens, Businesses, Government employees, Internal users, Other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Number of Current Users/Customers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Numeric field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Usage Volume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Text field describing daily/monthly transaction or interaction volume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Geographic Coverage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National, Regional (specify regions), International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Impact Scope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Text field describing the breadth of impact on end users</w:t>
            </w:r>
          </w:p>
        </w:tc>
      </w:tr>
    </w:tbl>
    <w:p>
      <w:pPr>
        <w:pStyle w:val="Heading3"/>
      </w:pPr>
      <w:r>
        <w:t xml:space="preserve">6.2.3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Add AI Product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Create new product under an entity with Sections 1 and 2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Edit AI Product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Modify any product field; maintain change log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Delete AI Product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Soft delete with confirmation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 Products per Entity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View all products under an entity with completion indicators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Save as Draft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Allow partial saves; auto-save every 60 seconds</w:t>
            </w:r>
          </w:p>
        </w:tc>
      </w:tr>
    </w:tbl>
    <w:p>
      <w:r>
        <w:br w:type="page"/>
      </w:r>
    </w:p>
    <w:p>
      <w:pPr>
        <w:pStyle w:val="Heading2"/>
      </w:pPr>
      <w:r>
        <w:t xml:space="preserve">6.3 Section 4: Audit Document Collection</w:t>
      </w:r>
    </w:p>
    <w:p>
      <w:pPr>
        <w:spacing w:after="120" w:line="276"/>
      </w:pPr>
      <w:r>
        <w:rPr>
          <w:rFonts w:ascii="Arial" w:cs="Arial" w:eastAsia="Arial" w:hAnsi="Arial"/>
          <w:color w:val="1A1A2E"/>
          <w:sz w:val="22"/>
          <w:szCs w:val="22"/>
        </w:rPr>
        <w:t xml:space="preserve">For each registered AI product, the consultant must complete structured forms and/or upload supporting documents across all 11 report domains listed below. Each domain has specific sub-requirements that must be addressed.</w:t>
      </w:r>
    </w:p>
    <w:p>
      <w:pPr>
        <w:pStyle w:val="Heading3"/>
      </w:pPr>
      <w:r>
        <w:t xml:space="preserve">6.3.1 Domain 1: Transparency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Algorithm Documentation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Model types, training data characteristics, parameter settings, model cards, outcome explanations, key decision points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 Guides / Manuals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 guide summary for non-technical stakeholders, visual aids (flowcharts/diagrams), simplified explanations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Methods Explanation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System behavior explanation, underlying mechanism explanation, outcome interpretation guidance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Transparency Log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Architecture details, data sources, algorithms, decision-making processes, model limitations, model uncertainties, data collection/storage/processing/usage details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Internal Audit Logs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Traceability records, timestamps, data points used, intermediate processing steps</w:t>
            </w:r>
          </w:p>
        </w:tc>
      </w:tr>
    </w:tbl>
    <w:p>
      <w:pPr>
        <w:pStyle w:val="Heading3"/>
      </w:pPr>
      <w:r>
        <w:t xml:space="preserve">6.3.2 Domain 2: Training Initiatives for Employees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TI-001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Training Session Report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Training session logs, session dates, list of attendees, materials used, session objectives, session topics</w:t>
            </w:r>
          </w:p>
        </w:tc>
      </w:tr>
    </w:tbl>
    <w:p>
      <w:pPr>
        <w:pStyle w:val="Heading3"/>
      </w:pPr>
      <w:r>
        <w:t xml:space="preserve">6.3.3 Domain 3: System Performance Indicators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 of Performance Indicators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KPIs related to safety and reliability: accuracy rates, response times, system uptime, error rates, failure rates; custom KPI definitions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Measurement Methodology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How each KPI is measured, data sources used, frequency of measurement, tools/methods for data collection and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Test Results and Analysis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Safety test results summary, failures or anomalies, unexpected behaviors, reliability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Validation Protocols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Validation protocols for safety and reliability, external audits, certifications obtained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Monitoring Tools and Techniques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Continuous monitoring tools, monitoring techniques applied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Stakeholder Responsibilities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Developer roles, operator roles, maintenance team roles, stakeholder contributions to system reliability</w:t>
            </w:r>
          </w:p>
        </w:tc>
      </w:tr>
    </w:tbl>
    <w:p>
      <w:r>
        <w:br w:type="page"/>
      </w:r>
    </w:p>
    <w:p>
      <w:pPr>
        <w:pStyle w:val="Heading3"/>
      </w:pPr>
      <w:r>
        <w:t xml:space="preserve">6.3.4 Domain 4: Stakeholder Engagement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Stakeholder Identification and Analysis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 of all stakeholders involved or impacted; categorization by impact level (high/medium/low) and interest level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Stakeholder Engagement Methods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Methods used: surveys, focus groups, workshops, other methods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Feedback Analysis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Key areas for improvement, identified risks from feedback, opportunities identified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Stakeholder MoMs (sanitized)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Sample records of meetings held with stakeholders demonstrating transparency and accountability</w:t>
            </w:r>
          </w:p>
        </w:tc>
      </w:tr>
    </w:tbl>
    <w:p>
      <w:pPr>
        <w:pStyle w:val="Heading3"/>
      </w:pPr>
      <w:r>
        <w:t xml:space="preserve">6.3.5 Domain 5: Social, Environmental &amp; Cultural Impact Assessment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SEC-001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Impact Evaluation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Social impact assessment, environmental impact assessment, cultural impact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SEC-002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Plans to Mitigate Potential Impacts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Social mitigation plan, environmental mitigation plan, cultural mitigation measures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SEC-003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 of Identified Impacts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Enumerated list of all negative impacts identified in the assessment report</w:t>
            </w:r>
          </w:p>
        </w:tc>
      </w:tr>
    </w:tbl>
    <w:p>
      <w:pPr>
        <w:pStyle w:val="Heading3"/>
      </w:pPr>
      <w:r>
        <w:t xml:space="preserve">6.3.6 Domain 6: Risk Management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System Categorization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Categorization methodology description, criteria used, decision-making tools, classification matrix or decision tree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Risk Assessment Report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Technical risks, ethical risks, operational risks; methods used to assess likelihood and impact; risk matrix visualization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Risk Mitigation Plans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Per risk: actions taken, responsible party, timeline; supporting evidence or appendices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Safety Validation and Testing Documentation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Test scenarios with descriptions, methodologies, and outcomes; summary of modifications made to enhance safety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Performance Monitoring Logs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Metrics monitored, monitoring frequency, reporting structures, corrective actions taken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Stress Test Documentation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Test case descriptions with system responses, findings, actions taken; sample results attachment</w:t>
            </w:r>
          </w:p>
        </w:tc>
      </w:tr>
    </w:tbl>
    <w:p>
      <w:r>
        <w:br w:type="page"/>
      </w:r>
    </w:p>
    <w:p>
      <w:pPr>
        <w:pStyle w:val="Heading3"/>
      </w:pPr>
      <w:r>
        <w:t xml:space="preserve">6.3.7 Domain 7: Privacy and Security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Privacy Impact Assessments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Personal data handling evaluation, compliance with data protection laws, privacy risks identified, mitigation measures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Privacy and Security Policies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protection policies against unauthorized access, practices for preventing breaches and adversarial attacks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Incident Response Plan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Detailed response plan for system breaches, procedures for handling other incidents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Anonymization and Pseudonymization Methods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Methods for removing personal identifiers, techniques for obscuring personal identifiers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Compliance with Regulatory Landscape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List of regulations complied with, applicable standards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Access Logs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Records of who accessed data, details of when and for what purpose</w:t>
            </w:r>
          </w:p>
        </w:tc>
      </w:tr>
    </w:tbl>
    <w:p>
      <w:pPr>
        <w:pStyle w:val="Heading3"/>
      </w:pPr>
      <w:r>
        <w:t xml:space="preserve">6.3.8 Domain 8: Impact of AI System on Human Rights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HR-001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Human Rights Impact Assessments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Impact assessment report detailing potential impact on human rights; areas where human rights may be affected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HR-002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Stakeholder Consultation Report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Consultation details, feedback summary, key concerns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HR-003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Monitoring and Reporting on Human Rights Impacts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Monitoring plan, reporting procedures for regular human rights impact updates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HR-004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Plans to Mitigate Potential Impacts on Human Rights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Mitigation strategies, implementation timelines, responsible parties</w:t>
            </w:r>
          </w:p>
        </w:tc>
      </w:tr>
    </w:tbl>
    <w:p>
      <w:pPr>
        <w:pStyle w:val="Heading3"/>
      </w:pPr>
      <w:r>
        <w:t xml:space="preserve">6.3.9 Domain 9: Fairness &amp; Equity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Diversity and Inclusion Analysis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Training dataset representativeness, potential biases in training datasets, steps taken to ensure diversity and inclusion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Bias Detection and Mitigation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Methodologies and tools for detecting bias (fairness metrics, debiasing algorithms), specific mitigation steps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Fairness Metrics Documentation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Metrics used to assess fairness (disparate impact, equalized odds), calculation methods, acceptable fairness thresholds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Internal Audit Report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Periodic audit findings on fairness and bias in AI outcomes, methodologies, results, corrective actions, follow-up measures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Fairness Position Statement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How fairness criteria were communicated to users, rationale behind chosen fairness criteria</w:t>
            </w:r>
          </w:p>
        </w:tc>
      </w:tr>
    </w:tbl>
    <w:p>
      <w:r>
        <w:br w:type="page"/>
      </w:r>
    </w:p>
    <w:p>
      <w:pPr>
        <w:pStyle w:val="Heading3"/>
      </w:pPr>
      <w:r>
        <w:t xml:space="preserve">6.3.10 Domain 10: Compliance in Principles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CP-001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Standards Referenced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Global standards referenced in the compliance framework, ISO/IEC standards, IEEE guidelines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CP-002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Compliance Certification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Certifications obtained for sectorial compliance, recognitions received for adherence to regulations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CP-003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Compliance Audits and Reviews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Process description for conducting regular compliance audits, audit frequency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CP-004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Monitoring Activities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Overview of regular compliance monitoring activities, examples of monitoring practices</w:t>
            </w:r>
          </w:p>
        </w:tc>
      </w:tr>
    </w:tbl>
    <w:p>
      <w:pPr>
        <w:pStyle w:val="Heading3"/>
      </w:pPr>
      <w:r>
        <w:t xml:space="preserve">6.3.11 Domain 11: Accountability and Responsibility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AR-001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Organizational Charts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All roles involved in AI development, deployment, and oversight; authority and accountability lines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AR-002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Accountability Mechanisms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Mechanisms for holding entities/individuals accountable for AI outcomes; internal and external review processes; performance evaluations and corrective action plans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AR-003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Human Intervention Protocols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Guidelines for when and how human intervention is necessary; escalation and reporting process; criteria for overriding AI decisions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AR-004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Incident Report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Descriptions of incidents where human oversight was applied (context, actions, outcomes); incident reporting process for AI-related accidents</w:t>
            </w:r>
          </w:p>
        </w:tc>
      </w:tr>
    </w:tbl>
    <w:p>
      <w:pPr>
        <w:pBdr>
          <w:bottom w:val="single" w:color="00338D" w:sz="6" w:space="1"/>
        </w:pBdr>
        <w:spacing w:after="200" w:before="200"/>
      </w:pPr>
    </w:p>
    <w:p>
      <w:pPr>
        <w:pStyle w:val="Heading2"/>
      </w:pPr>
      <w:r>
        <w:t xml:space="preserve">6.4 Completion Tracking &amp;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Entity Dashboard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Overview of all AI products under the entity; overall completion percentage across all products and all 11 domains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 Completion Matrix</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Grid view: products (rows) x 11 domains (columns); status per cell: Not Started, In Progress, Complete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Domain Completion Detail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For each domain under a product, show which sub-requirements are filled vs. missing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Consultant Workload View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Show entities and products assigned to each consultant with status indicators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Export Capability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Export entity assessment data as PDF summary report; export completion matrix as Excel</w:t>
            </w:r>
          </w:p>
        </w:tc>
      </w:tr>
    </w:tbl>
    <w:p>
      <w:pPr>
        <w:pBdr>
          <w:bottom w:val="single" w:color="00338D" w:sz="6" w:space="1"/>
        </w:pBdr>
        <w:spacing w:after="200" w:before="200"/>
      </w:pPr>
    </w:p>
    <w:p>
      <w:pPr>
        <w:pStyle w:val="Heading2"/>
      </w:pPr>
      <w:r>
        <w:t xml:space="preserve">6.5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File Upload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Support PDF, DOCX, XLSX, PPTX, images (PNG, JPG); max file size 25MB per file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File Association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Each uploaded file is linked to a specific AI product + specific domain + specific sub-requirement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Version Control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Track file versions; maintain upload history with timestamps and uploader name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File Preview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In-browser preview for PDF and image files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Bulk Download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Download all documents for a product or entity as a ZIP archive</w:t>
            </w:r>
          </w:p>
        </w:tc>
      </w:tr>
    </w:tbl>
    <w:p>
      <w:pPr>
        <w:pBdr>
          <w:bottom w:val="single" w:color="00338D" w:sz="6" w:space="1"/>
        </w:pBdr>
        <w:spacing w:after="200" w:before="200"/>
      </w:pPr>
    </w:p>
    <w:p>
      <w:r>
        <w:br w:type="page"/>
      </w:r>
    </w:p>
    <w:p>
      <w:pPr>
        <w:pStyle w:val="Heading1"/>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Language Support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Bilingual UI (Arabic RTL / English LTR); all form fields accept Arabic and English input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Authentication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Role-based access control; SSO integration with KPMG identity provider (future); email/password for initial deployment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Security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All data encrypted at rest and in transit (TLS 1.2+); access logging for audit purposes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Performance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Page load time under 3 seconds; support concurrent usage by up to 50 consultants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Availability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99.5% uptime during business hours (Sunday–Thursday, 8AM–6PM AST)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Browser Support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Chrome (latest 2 versions), Edge (latest 2 versions), Safari (latest)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Responsive Design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Desktop-first; tablet-compatible for field data collection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Data Backup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Daily automated backups; 30-day retention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Audit Trail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Log all create, update, delete operations with user, timestamp, and before/after values</w:t>
            </w:r>
          </w:p>
        </w:tc>
      </w:tr>
    </w:tbl>
    <w:p>
      <w:pPr>
        <w:pBdr>
          <w:bottom w:val="single" w:color="00338D" w:sz="6" w:space="1"/>
        </w:pBdr>
        <w:spacing w:after="200" w:before="200"/>
      </w:pPr>
    </w:p>
    <w:p>
      <w:pPr>
        <w:pStyle w:val="Heading1"/>
      </w:pPr>
      <w:r>
        <w:t xml:space="preserve">8. Data Model Overview</w:t>
      </w:r>
    </w:p>
    <w:p>
      <w:pPr>
        <w:spacing w:after="120" w:line="276"/>
      </w:pPr>
      <w:r>
        <w:rPr>
          <w:rFonts w:ascii="Arial" w:cs="Arial" w:eastAsia="Arial" w:hAnsi="Arial"/>
          <w:color w:val="1A1A2E"/>
          <w:sz w:val="22"/>
          <w:szCs w:val="22"/>
        </w:rPr>
        <w:t xml:space="preserve">The platform follows a hierarchical data structure:</w:t>
      </w:r>
    </w:p>
    <w:p>
      <w:pPr>
        <w:spacing w:after="120" w:line="276"/>
      </w:pPr>
      <w:r>
        <w:rPr>
          <w:rFonts w:ascii="Arial" w:cs="Arial" w:eastAsia="Arial" w:hAnsi="Arial"/>
          <w:color w:val="1A1A2E"/>
          <w:sz w:val="22"/>
          <w:szCs w:val="22"/>
        </w:rPr>
        <w:t xml:space="preserve">Government Entity → AI Products (1:many) → Report Domains (1:11 per product) → Sub-Requirements (1:many per domain) → Form Fields + Document Uploads</w:t>
      </w:r>
    </w:p>
    <w:p>
      <w:pPr>
        <w:spacing w:after="120" w:line="276"/>
      </w:pPr>
      <w:r>
        <w:rPr>
          <w:rFonts w:ascii="Arial" w:cs="Arial" w:eastAsia="Arial" w:hAnsi="Arial"/>
          <w:color w:val="1A1A2E"/>
          <w:sz w:val="22"/>
          <w:szCs w:val="22"/>
        </w:rPr>
        <w:t xml:space="preserve">Key entities in the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 ID</w:t>
            </w:r>
          </w:p>
        </w:tc>
        <w:tc>
          <w:tcPr>
            <w:tcW w:type="dxa" w:w="350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466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Sub-Requirements / Fields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entity_id, name_ar, name_en, sector, classification, contact_name, contact_email, contact_phone, assigned_consultant_ids, badge_tier (nullable), created_at, updated_at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AI Product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product_id, entity_id (FK), name_ar, name_en, description, data_sources, technology_type, deployment_model, development_source, go_live_date, status, created_at, updated_at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Customer Info</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customer_info_id, product_id (FK), target_audience, user_count, usage_volume, geographic_coverage, impact_scope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Domain Assessment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assessment_id, product_id (FK), domain_id (1–11), status (not_started / in_progress / complete), last_updated, updated_by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Sub-Requirement Response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response_id, assessment_id (FK), sub_requirement_id, field_value (text/JSON), created_at, updated_at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Document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document_id, assessment_id (FK), sub_requirement_id (nullable), file_name, file_type, file_size, file_path, version, uploaded_by, uploaded_at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DM-007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user_id, name, email, role (admin/consultant/viewer), created_at, last_login</w:t>
            </w:r>
          </w:p>
        </w:tc>
      </w:tr>
    </w:tbl>
    <w:p>
      <w:pPr>
        <w:pBdr>
          <w:bottom w:val="single" w:color="00338D" w:sz="6" w:space="1"/>
        </w:pBdr>
        <w:spacing w:after="200" w:before="200"/>
      </w:pPr>
    </w:p>
    <w:p>
      <w:pPr>
        <w:pStyle w:val="Heading1"/>
      </w:pPr>
      <w:r>
        <w:t xml:space="preserve">9. Future Phase Considerations</w:t>
      </w:r>
    </w:p>
    <w:p>
      <w:pPr>
        <w:spacing w:after="120" w:line="276"/>
      </w:pPr>
      <w:r>
        <w:rPr>
          <w:rFonts w:ascii="Arial" w:cs="Arial" w:eastAsia="Arial" w:hAnsi="Arial"/>
          <w:color w:val="1A1A2E"/>
          <w:sz w:val="22"/>
          <w:szCs w:val="22"/>
        </w:rPr>
        <w:t xml:space="preserve">The following capabilities are explicitly deferred and will be addressed in subsequent phases:</w:t>
      </w:r>
    </w:p>
    <w:p>
      <w:pPr>
        <w:pStyle w:val="ListParagraph"/>
        <w:numPr>
          <w:ilvl w:val="0"/>
          <w:numId w:val="2"/>
        </w:numPr>
        <w:spacing w:after="120" w:line="276"/>
      </w:pPr>
      <w:r>
        <w:rPr>
          <w:rFonts w:ascii="Arial" w:cs="Arial" w:eastAsia="Arial" w:hAnsi="Arial"/>
          <w:color w:val="1A1A2E"/>
          <w:sz w:val="22"/>
          <w:szCs w:val="22"/>
        </w:rPr>
        <w:t xml:space="preserve">Phase 2 — Scoring &amp; Badge Assignment: Define domain weights and scoring methodology; automate risk assessment calculation (Section 3); implement automated badge tier assignment based on aggregate scores across all products.</w:t>
      </w:r>
    </w:p>
    <w:p>
      <w:pPr>
        <w:pStyle w:val="ListParagraph"/>
        <w:numPr>
          <w:ilvl w:val="0"/>
          <w:numId w:val="2"/>
        </w:numPr>
        <w:spacing w:after="120" w:line="276"/>
      </w:pPr>
      <w:r>
        <w:rPr>
          <w:rFonts w:ascii="Arial" w:cs="Arial" w:eastAsia="Arial" w:hAnsi="Arial"/>
          <w:color w:val="1A1A2E"/>
          <w:sz w:val="22"/>
          <w:szCs w:val="22"/>
        </w:rPr>
        <w:t xml:space="preserve">Phase 3 — Badge Verification &amp; Lifecycle: QR code generation per entity badge; public badge verification portal; badge expiry dates and renewal workflows; historical badge tracking.</w:t>
      </w:r>
    </w:p>
    <w:p>
      <w:pPr>
        <w:pStyle w:val="ListParagraph"/>
        <w:numPr>
          <w:ilvl w:val="0"/>
          <w:numId w:val="2"/>
        </w:numPr>
        <w:spacing w:after="120" w:line="276"/>
      </w:pPr>
      <w:r>
        <w:rPr>
          <w:rFonts w:ascii="Arial" w:cs="Arial" w:eastAsia="Arial" w:hAnsi="Arial"/>
          <w:color w:val="1A1A2E"/>
          <w:sz w:val="22"/>
          <w:szCs w:val="22"/>
        </w:rPr>
        <w:t xml:space="preserve">Phase 4 — Government Entity Self-Service: Entity portal for self-registration and direct data entry; approval workflows between entity submissions and KPMG review; real-time status notifications.</w:t>
      </w:r>
    </w:p>
    <w:p>
      <w:pPr>
        <w:pStyle w:val="ListParagraph"/>
        <w:numPr>
          <w:ilvl w:val="0"/>
          <w:numId w:val="2"/>
        </w:numPr>
        <w:spacing w:after="120" w:line="276"/>
      </w:pPr>
      <w:r>
        <w:rPr>
          <w:rFonts w:ascii="Arial" w:cs="Arial" w:eastAsia="Arial" w:hAnsi="Arial"/>
          <w:color w:val="1A1A2E"/>
          <w:sz w:val="22"/>
          <w:szCs w:val="22"/>
        </w:rPr>
        <w:t xml:space="preserve">Phase 5 — Analytics &amp; Benchmarking: Cross-entity benchmarking dashboards; sector-level maturity analysis; trend analysis over time; national AI ethics maturity index.</w:t>
      </w:r>
    </w:p>
    <w:p>
      <w:pPr>
        <w:pBdr>
          <w:bottom w:val="single" w:color="00338D" w:sz="6" w:space="1"/>
        </w:pBdr>
        <w:spacing w:after="200" w:before="200"/>
      </w:pPr>
    </w:p>
    <w:p>
      <w:pPr>
        <w:pStyle w:val="Heading1"/>
      </w:pPr>
      <w:r>
        <w:t xml:space="preserve">10. Requirement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Requirements</w:t>
            </w:r>
          </w:p>
        </w:tc>
        <w:tc>
          <w:tcPr>
            <w:tcW w:type="dxa" w:w="234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 Range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Entity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ENT-001 to ENT-005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 Info (Section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PRD-001 to PRD-008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Customer Info (Section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CUS-001 to CUS-005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Product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PM-001 to PM-005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D1: Transparency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TR-001 to TR-005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D2: Training Initiatives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TI-001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D3: System 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SP-001 to SP-006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D4: Stakeholder Engagement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SE-001 to SE-004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D5: Social/Env/Cultural 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SEC-001 to SEC-003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D6: Risk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RM-001 to RM-006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D7: Privacy &amp; 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PS-001 to PS-006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D8: Human Rights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HR-001 to HR-004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D9: Fairness &amp; Equity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FE-001 to FE-005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D10: Compliance in Principles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CP-001 to CP-004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D11: Accountability &amp; Responsibility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AR-001 to AR-004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Dashboards &amp;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DAS-001 to DAS-005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Document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DOC-001 to DOC-005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Non-Functional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NFR-001 to NFR-009</w:t>
            </w:r>
          </w:p>
        </w:tc>
      </w:tr>
      <w:tr>
        <w:tc>
          <w:tcPr>
            <w:tcW w:type="dxa" w:w="468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w:t>
            </w:r>
          </w:p>
        </w:tc>
        <w:tc>
          <w:tcPr>
            <w:tcW w:type="dxa" w:w="234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90</w:t>
            </w:r>
          </w:p>
        </w:tc>
        <w:tc>
          <w:tcPr>
            <w:tcW w:type="dxa" w:w="2340"/>
            <w:tcBorders>
              <w:top w:val="single" w:color="CCCCCC" w:sz="1"/>
              <w:left w:val="single" w:color="CCCCCC" w:sz="1"/>
              <w:bottom w:val="single" w:color="CCCCCC" w:sz="1"/>
              <w:right w:val="single" w:color="CCCCCC" w:sz="1"/>
            </w:tcBorders>
            <w:shd w:fill="00338D" w:val="clear"/>
            <w:tcMar>
              <w:top w:type="dxa" w:w="80"/>
              <w:left w:type="dxa" w:w="120"/>
              <w:bottom w:type="dxa" w:w="80"/>
              <w:right w:type="dxa" w:w="120"/>
            </w:tcMar>
            <w:vAlign w:val="center"/>
          </w:tcPr>
          <w:p>
            <w:pPr>
              <w:jc w:val="left"/>
            </w:pPr>
            <w:r>
              <w:rPr>
                <w:rFonts w:ascii="Arial" w:cs="Arial" w:eastAsia="Arial" w:hAnsi="Arial"/>
                <w:color w:val="1A1A2E"/>
                <w:sz w:val="20"/>
                <w:szCs w:val="20"/>
              </w:rPr>
              <w:t xml:space="preserve"/>
            </w:r>
          </w:p>
        </w:tc>
      </w:tr>
    </w:tbl>
    <w:p>
      <w:pPr>
        <w:spacing w:before="400"/>
      </w:pPr>
    </w:p>
    <w:p>
      <w:pPr>
        <w:spacing w:after="120" w:line="276"/>
        <w:jc w:val="center"/>
        <w:rPr>
          <w:i/>
          <w:iCs/>
          <w:color w:val="6D6E71"/>
        </w:rPr>
      </w:pPr>
      <w:r>
        <w:rPr>
          <w:rFonts w:ascii="Arial" w:cs="Arial" w:eastAsia="Arial" w:hAnsi="Arial"/>
          <w:i/>
          <w:iCs/>
          <w:color w:val="6D6E71"/>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D6E71"/>
        <w:sz w:val="16"/>
        <w:szCs w:val="16"/>
      </w:rPr>
      <w:t xml:space="preserve">KPMG Saudi Arabia | Confidential</w:t>
    </w:r>
    <w:r>
      <w:rPr>
        <w:rFonts w:ascii="Arial" w:cs="Arial" w:eastAsia="Arial" w:hAnsi="Arial"/>
        <w:color w:val="6D6E71"/>
        <w:sz w:val="16"/>
        <w:szCs w:val="16"/>
      </w:rPr>
      <w:t xml:space="preserve">	</w:t>
    </w:r>
    <w:r>
      <w:rPr>
        <w:rFonts w:ascii="Arial" w:cs="Arial" w:eastAsia="Arial" w:hAnsi="Arial"/>
        <w:color w:val="6D6E71"/>
        <w:sz w:val="16"/>
        <w:szCs w:val="16"/>
      </w:rPr>
      <w:t xml:space="preserve">Page </w:t>
    </w:r>
    <w:r>
      <w:rPr>
        <w:rFonts w:ascii="Arial" w:cs="Arial" w:eastAsia="Arial" w:hAnsi="Arial"/>
        <w:color w:val="6D6E7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0338D"/>
        <w:sz w:val="18"/>
        <w:szCs w:val="18"/>
      </w:rPr>
      <w:t xml:space="preserve">AI Badges by KPMG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8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338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8369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2026-04-04T21:21:36.539Z</dcterms:created>
  <dcterms:modified xsi:type="dcterms:W3CDTF">2026-04-04T21:21:36.540Z</dcterms:modified>
</cp:coreProperties>
</file>

<file path=docProps/custom.xml><?xml version="1.0" encoding="utf-8"?>
<Properties xmlns="http://schemas.openxmlformats.org/officeDocument/2006/custom-properties" xmlns:vt="http://schemas.openxmlformats.org/officeDocument/2006/docPropsVTypes"/>
</file>