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sz w:val="6"/>
          <w:szCs w:val="6"/>
        </w:rPr>
        <w:t xml:space="preserve"/>
      </w:r>
    </w:p>
    <w:p>
      <w:pPr>
        <w:spacing w:after="60"/>
      </w:pPr>
      <w:r>
        <w:rPr>
          <w:rFonts w:ascii="Aptos" w:cs="Aptos" w:eastAsia="Aptos" w:hAnsi="Aptos"/>
          <w:b/>
          <w:bCs/>
          <w:color w:val="5A6672"/>
          <w:spacing w:val="60"/>
          <w:sz w:val="19"/>
          <w:szCs w:val="19"/>
        </w:rPr>
        <w:t xml:space="preserve">ZATCA  ·  PROOF OF CONCEPT</w:t>
      </w:r>
    </w:p>
    <w:p>
      <w:pPr>
        <w:spacing w:after="80"/>
      </w:pPr>
      <w:r>
        <w:rPr>
          <w:rFonts w:ascii="Aptos" w:cs="Aptos" w:eastAsia="Aptos" w:hAnsi="Aptos"/>
          <w:b/>
          <w:bCs/>
          <w:color w:val="156082"/>
          <w:sz w:val="64"/>
          <w:szCs w:val="64"/>
        </w:rPr>
        <w:t xml:space="preserve">AI E-AUDIT</w:t>
      </w:r>
    </w:p>
    <w:p>
      <w:pPr>
        <w:spacing w:after="200"/>
      </w:pPr>
      <w:r>
        <w:rPr>
          <w:rFonts w:ascii="Aptos" w:cs="Aptos" w:eastAsia="Aptos" w:hAnsi="Aptos"/>
          <w:color w:val="0E3F52"/>
          <w:sz w:val="32"/>
          <w:szCs w:val="32"/>
        </w:rPr>
        <w:t xml:space="preserve">AI-Assisted VAT Audit Agent for ZATCA</w:t>
      </w:r>
    </w:p>
    <w:p>
      <w:pPr>
        <w:pBdr>
          <w:bottom w:val="single" w:color="156082" w:sz="12" w:space="8"/>
        </w:pBdr>
        <w:spacing w:after="340"/>
      </w:pPr>
      <w:r>
        <w:rPr>
          <w:rFonts w:ascii="Aptos" w:cs="Aptos" w:eastAsia="Aptos" w:hAnsi="Aptos"/>
          <w:i/>
          <w:iCs/>
          <w:color w:val="5A6672"/>
          <w:sz w:val="26"/>
          <w:szCs w:val="26"/>
        </w:rPr>
        <w:t xml:space="preserve">Solution Overview</w:t>
      </w:r>
    </w:p>
    <w:tbl>
      <w:tblPr>
        <w:tblW w:type="dxa" w:w="9020"/>
        <w:tblBorders>
          <w:top w:val="none" w:color="FFFFFF" w:sz="0"/>
          <w:left w:val="none" w:color="FFFFFF" w:sz="0"/>
          <w:bottom w:val="none" w:color="FFFFFF" w:sz="0"/>
          <w:right w:val="none" w:color="FFFFFF" w:sz="0"/>
          <w:insideH w:val="single" w:color="C9D6DC" w:sz="2"/>
          <w:insideV w:val="none" w:color="FFFFFF" w:sz="0"/>
        </w:tblBorders>
      </w:tblPr>
      <w:tblGrid>
        <w:gridCol w:w="1900"/>
        <w:gridCol w:w="7120"/>
      </w:tblGrid>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Document</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Solution Overview — consolidated</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Version</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2.0 — merges the Solution Overview with the outcomes of the VAT Audit Team meeting, and resolves the review comments raised on v1.0</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Status</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Proof of concept / stakeholder demo. Synthetic data only.</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Date</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21 August 2026</w:t>
            </w:r>
          </w:p>
        </w:tc>
      </w:tr>
      <w:tr>
        <w:tc>
          <w:tcPr>
            <w:tcW w:type="dxa" w:w="1900"/>
            <w:tcMar>
              <w:top w:type="dxa" w:w="80"/>
              <w:left w:type="dxa" w:w="0"/>
              <w:bottom w:type="dxa" w:w="80"/>
              <w:right w:type="dxa" w:w="130"/>
            </w:tcMar>
          </w:tcPr>
          <w:p>
            <w:pPr>
              <w:spacing w:after="0" w:line="255"/>
            </w:pPr>
            <w:r>
              <w:rPr>
                <w:rFonts w:ascii="Aptos" w:cs="Aptos" w:eastAsia="Aptos" w:hAnsi="Aptos"/>
                <w:b/>
                <w:bCs/>
                <w:color w:val="156082"/>
                <w:sz w:val="20"/>
                <w:szCs w:val="20"/>
              </w:rPr>
              <w:t xml:space="preserve">Positioning</w:t>
            </w:r>
          </w:p>
        </w:tc>
        <w:tc>
          <w:tcPr>
            <w:tcW w:type="dxa" w:w="7120"/>
            <w:tcMar>
              <w:top w:type="dxa" w:w="80"/>
              <w:left w:type="dxa" w:w="0"/>
              <w:bottom w:type="dxa" w:w="80"/>
              <w:right w:type="dxa" w:w="130"/>
            </w:tcMar>
          </w:tcPr>
          <w:p>
            <w:pPr>
              <w:spacing w:after="0" w:line="255"/>
            </w:pPr>
            <w:r>
              <w:rPr>
                <w:rFonts w:ascii="Aptos" w:cs="Aptos" w:eastAsia="Aptos" w:hAnsi="Aptos"/>
                <w:b w:val="false"/>
                <w:bCs w:val="false"/>
                <w:color w:val="1A1A1A"/>
                <w:sz w:val="20"/>
                <w:szCs w:val="20"/>
              </w:rPr>
              <w:t xml:space="preserve">AI Audit Copilot — the AI supports the auditor end to end; the auditor decides.</w:t>
            </w:r>
          </w:p>
        </w:tc>
      </w:tr>
    </w:tbl>
    <w:p>
      <w:pPr>
        <w:spacing w:after="26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Core invariant</w:t>
            </w:r>
          </w:p>
          <w:p>
            <w:pPr>
              <w:spacing w:after="0" w:line="265"/>
            </w:pPr>
            <w:r>
              <w:rPr>
                <w:rFonts w:ascii="Aptos" w:cs="Aptos" w:eastAsia="Aptos" w:hAnsi="Aptos"/>
                <w:color w:val="1A1A1A"/>
                <w:sz w:val="20"/>
                <w:szCs w:val="20"/>
              </w:rPr>
              <w:t xml:space="preserve">The deterministic engine computes </w:t>
            </w:r>
            <w:r>
              <w:rPr>
                <w:rFonts w:ascii="Aptos" w:cs="Aptos" w:eastAsia="Aptos" w:hAnsi="Aptos"/>
                <w:b/>
                <w:bCs/>
                <w:color w:val="1A1A1A"/>
                <w:sz w:val="20"/>
                <w:szCs w:val="20"/>
              </w:rPr>
              <w:t xml:space="preserve">every number</w:t>
            </w:r>
            <w:r>
              <w:rPr>
                <w:rFonts w:ascii="Aptos" w:cs="Aptos" w:eastAsia="Aptos" w:hAnsi="Aptos"/>
                <w:color w:val="1A1A1A"/>
                <w:sz w:val="20"/>
                <w:szCs w:val="20"/>
              </w:rPr>
              <w:t xml:space="preserve">. Language models write </w:t>
            </w:r>
            <w:r>
              <w:rPr>
                <w:rFonts w:ascii="Aptos" w:cs="Aptos" w:eastAsia="Aptos" w:hAnsi="Aptos"/>
                <w:b/>
                <w:bCs/>
                <w:color w:val="1A1A1A"/>
                <w:sz w:val="20"/>
                <w:szCs w:val="20"/>
              </w:rPr>
              <w:t xml:space="preserve">words only</w:t>
            </w:r>
            <w:r>
              <w:rPr>
                <w:rFonts w:ascii="Aptos" w:cs="Aptos" w:eastAsia="Aptos" w:hAnsi="Aptos"/>
                <w:color w:val="1A1A1A"/>
                <w:sz w:val="20"/>
                <w:szCs w:val="20"/>
              </w:rPr>
              <w:t xml:space="preserve">, and every drafted claim is verified against engine facts before it is shown. A human auditor approves everything that leaves the building.</w:t>
            </w:r>
          </w:p>
        </w:tc>
      </w:tr>
    </w:tbl>
    <w:p>
      <w:pPr>
        <w:spacing w:after="160"/>
      </w:pPr>
      <w:r>
        <w:rPr>
          <w:sz w:val="6"/>
          <w:szCs w:val="6"/>
        </w:rPr>
        <w:t xml:space="preserve"/>
      </w:r>
    </w:p>
    <w:tbl>
      <w:tblPr>
        <w:tblW w:type="dxa" w:w="9020"/>
        <w:tblBorders>
          <w:top w:val="single" w:color="FDF3E7" w:sz="2"/>
          <w:left w:val="single" w:color="C1741B" w:sz="24"/>
          <w:bottom w:val="single" w:color="FDF3E7" w:sz="2"/>
          <w:right w:val="single" w:color="FDF3E7" w:sz="2"/>
          <w:insideH w:val="none" w:color="FFFFFF" w:sz="0"/>
          <w:insideV w:val="none" w:color="FFFFFF" w:sz="0"/>
        </w:tblBorders>
      </w:tblPr>
      <w:tblGrid>
        <w:gridCol w:w="9020"/>
      </w:tblGrid>
      <w:tr>
        <w:tc>
          <w:tcPr>
            <w:tcW w:type="dxa" w:w="9020"/>
            <w:shd w:fill="FDF3E7" w:color="auto" w:val="clear"/>
            <w:tcMar>
              <w:top w:type="dxa" w:w="150"/>
              <w:left w:type="dxa" w:w="190"/>
              <w:bottom w:type="dxa" w:w="150"/>
              <w:right w:type="dxa" w:w="170"/>
            </w:tcMar>
          </w:tcPr>
          <w:p>
            <w:pPr>
              <w:spacing w:after="90" w:line="260"/>
            </w:pPr>
            <w:r>
              <w:rPr>
                <w:rFonts w:ascii="Aptos" w:cs="Aptos" w:eastAsia="Aptos" w:hAnsi="Aptos"/>
                <w:b/>
                <w:bCs/>
                <w:color w:val="C1741B"/>
                <w:sz w:val="21"/>
                <w:szCs w:val="21"/>
              </w:rPr>
              <w:t xml:space="preserve">Important — please read before evaluating this solution</w:t>
            </w:r>
          </w:p>
          <w:p>
            <w:pPr>
              <w:spacing w:after="100" w:line="265"/>
            </w:pPr>
            <w:r>
              <w:rPr>
                <w:rFonts w:ascii="Aptos" w:cs="Aptos" w:eastAsia="Aptos" w:hAnsi="Aptos"/>
                <w:b/>
                <w:bCs/>
                <w:color w:val="1A1A1A"/>
                <w:sz w:val="20"/>
                <w:szCs w:val="20"/>
              </w:rPr>
              <w:t xml:space="preserve">This solution is deliberately limited.</w:t>
            </w:r>
            <w:r>
              <w:rPr>
                <w:rFonts w:ascii="Aptos" w:cs="Aptos" w:eastAsia="Aptos" w:hAnsi="Aptos"/>
                <w:color w:val="1A1A1A"/>
                <w:sz w:val="20"/>
                <w:szCs w:val="20"/>
              </w:rPr>
              <w:t xml:space="preserve"> It is a proof of concept, not a production system, and it should be assessed on whether the approach is right, not on whether the coverage is complete.</w:t>
            </w:r>
          </w:p>
          <w:p>
            <w:pPr>
              <w:spacing w:after="100" w:line="265"/>
            </w:pPr>
            <w:r>
              <w:rPr>
                <w:rFonts w:ascii="Aptos" w:cs="Aptos" w:eastAsia="Aptos" w:hAnsi="Aptos"/>
                <w:b/>
                <w:bCs/>
                <w:color w:val="1A1A1A"/>
                <w:sz w:val="20"/>
                <w:szCs w:val="20"/>
              </w:rPr>
              <w:t xml:space="preserve">All data is synthetic.</w:t>
            </w:r>
            <w:r>
              <w:rPr>
                <w:rFonts w:ascii="Aptos" w:cs="Aptos" w:eastAsia="Aptos" w:hAnsi="Aptos"/>
                <w:color w:val="1A1A1A"/>
                <w:sz w:val="20"/>
                <w:szCs w:val="20"/>
              </w:rPr>
              <w:t xml:space="preserve"> Every taxpayer, case, invoice and return in the running system is fabricated for the demonstration. Behaviour against real ZATCA data cannot be guaranteed until it is tested against real ZATCA data.</w:t>
            </w:r>
          </w:p>
          <w:p>
            <w:pPr>
              <w:spacing w:after="100" w:line="265"/>
            </w:pPr>
            <w:r>
              <w:rPr>
                <w:rFonts w:ascii="Aptos" w:cs="Aptos" w:eastAsia="Aptos" w:hAnsi="Aptos"/>
                <w:b/>
                <w:bCs/>
                <w:color w:val="1A1A1A"/>
                <w:sz w:val="20"/>
                <w:szCs w:val="20"/>
              </w:rPr>
              <w:t xml:space="preserve">Not all rules are taken into consideration.</w:t>
            </w:r>
            <w:r>
              <w:rPr>
                <w:rFonts w:ascii="Aptos" w:cs="Aptos" w:eastAsia="Aptos" w:hAnsi="Aptos"/>
                <w:color w:val="1A1A1A"/>
                <w:sz w:val="20"/>
                <w:szCs w:val="20"/>
              </w:rPr>
              <w:t xml:space="preserve"> A subset of the VAT rule set is wired into the engine. The remainder is specified in the rulebook but not implemented at this stage.</w:t>
            </w:r>
          </w:p>
          <w:p>
            <w:pPr>
              <w:spacing w:after="100" w:line="265"/>
            </w:pPr>
            <w:r>
              <w:rPr>
                <w:rFonts w:ascii="Aptos" w:cs="Aptos" w:eastAsia="Aptos" w:hAnsi="Aptos"/>
                <w:b/>
                <w:bCs/>
                <w:color w:val="1A1A1A"/>
                <w:sz w:val="20"/>
                <w:szCs w:val="20"/>
              </w:rPr>
              <w:t xml:space="preserve">Many edge cases cannot be taken into account at this stage.</w:t>
            </w:r>
            <w:r>
              <w:rPr>
                <w:rFonts w:ascii="Aptos" w:cs="Aptos" w:eastAsia="Aptos" w:hAnsi="Aptos"/>
                <w:color w:val="1A1A1A"/>
                <w:sz w:val="20"/>
                <w:szCs w:val="20"/>
              </w:rPr>
              <w:t xml:space="preserve"> Sector-specific scenarios, unusual timing arrangements and contradictory-evidence situations are known, named, and out of scope for this pass.</w:t>
            </w:r>
          </w:p>
          <w:p>
            <w:pPr>
              <w:spacing w:after="100" w:line="265"/>
            </w:pPr>
            <w:r>
              <w:rPr>
                <w:rFonts w:ascii="Aptos" w:cs="Aptos" w:eastAsia="Aptos" w:hAnsi="Aptos"/>
                <w:b/>
                <w:bCs/>
                <w:color w:val="1A1A1A"/>
                <w:sz w:val="20"/>
                <w:szCs w:val="20"/>
              </w:rPr>
              <w:t xml:space="preserve">There is no integration with any system whatsoever.</w:t>
            </w:r>
            <w:r>
              <w:rPr>
                <w:rFonts w:ascii="Aptos" w:cs="Aptos" w:eastAsia="Aptos" w:hAnsi="Aptos"/>
                <w:color w:val="1A1A1A"/>
                <w:sz w:val="20"/>
                <w:szCs w:val="20"/>
              </w:rPr>
              <w:t xml:space="preserve"> All data is entered manually. No risk-engine output, no DAL dashboard, no warehouse history, no customs or AP feed.</w:t>
            </w:r>
          </w:p>
          <w:p>
            <w:pPr>
              <w:spacing w:after="0" w:line="265"/>
            </w:pPr>
            <w:r>
              <w:rPr>
                <w:rFonts w:ascii="Aptos" w:cs="Aptos" w:eastAsia="Aptos" w:hAnsi="Aptos"/>
                <w:color w:val="1A1A1A"/>
                <w:sz w:val="20"/>
                <w:szCs w:val="20"/>
              </w:rPr>
              <w:t xml:space="preserve">Section 6 sets out scope and exclusions in full; Section 13 sets out the limitations and what would be required to move beyond them.</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  Executive Summary</w:t>
      </w:r>
    </w:p>
    <w:p>
      <w:pPr>
        <w:spacing w:after="140" w:line="276"/>
      </w:pPr>
      <w:r>
        <w:rPr>
          <w:rFonts w:ascii="Aptos" w:cs="Aptos" w:eastAsia="Aptos" w:hAnsi="Aptos"/>
          <w:color w:val="1A1A1A"/>
          <w:sz w:val="21"/>
          <w:szCs w:val="21"/>
        </w:rPr>
        <w:t xml:space="preserve">E-AUDIT is an </w:t>
      </w:r>
      <w:r>
        <w:rPr>
          <w:rFonts w:ascii="Aptos" w:cs="Aptos" w:eastAsia="Aptos" w:hAnsi="Aptos"/>
          <w:b/>
          <w:bCs/>
          <w:color w:val="1A1A1A"/>
          <w:sz w:val="21"/>
          <w:szCs w:val="21"/>
        </w:rPr>
        <w:t xml:space="preserve">AI Audit Copilot</w:t>
      </w:r>
      <w:r>
        <w:rPr>
          <w:rFonts w:ascii="Aptos" w:cs="Aptos" w:eastAsia="Aptos" w:hAnsi="Aptos"/>
          <w:color w:val="1A1A1A"/>
          <w:sz w:val="21"/>
          <w:szCs w:val="21"/>
        </w:rPr>
        <w:t xml:space="preserve"> for ZATCA VAT auditors. It is built to reduce the work that surrounds an auditor's professional judgement, not to replace that judgement. This is the positioning the audit team themselves asked for, and it is the principle the whole design is organised around.</w:t>
      </w:r>
    </w:p>
    <w:p>
      <w:pPr>
        <w:spacing w:after="140" w:line="276"/>
      </w:pPr>
      <w:r>
        <w:rPr>
          <w:rFonts w:ascii="Aptos" w:cs="Aptos" w:eastAsia="Aptos" w:hAnsi="Aptos"/>
          <w:color w:val="1A1A1A"/>
          <w:sz w:val="21"/>
          <w:szCs w:val="21"/>
        </w:rPr>
        <w:t xml:space="preserve">The audit team described their work as split between two things: the </w:t>
      </w:r>
      <w:r>
        <w:rPr>
          <w:rFonts w:ascii="Aptos" w:cs="Aptos" w:eastAsia="Aptos" w:hAnsi="Aptos"/>
          <w:b/>
          <w:bCs/>
          <w:color w:val="1A1A1A"/>
          <w:sz w:val="21"/>
          <w:szCs w:val="21"/>
        </w:rPr>
        <w:t xml:space="preserve">administrative and formal work</w:t>
      </w:r>
      <w:r>
        <w:rPr>
          <w:rFonts w:ascii="Aptos" w:cs="Aptos" w:eastAsia="Aptos" w:hAnsi="Aptos"/>
          <w:color w:val="1A1A1A"/>
          <w:sz w:val="21"/>
          <w:szCs w:val="21"/>
        </w:rPr>
        <w:t xml:space="preserve"> of getting complete, correct information out of a taxpayer, and the </w:t>
      </w:r>
      <w:r>
        <w:rPr>
          <w:rFonts w:ascii="Aptos" w:cs="Aptos" w:eastAsia="Aptos" w:hAnsi="Aptos"/>
          <w:b/>
          <w:bCs/>
          <w:color w:val="1A1A1A"/>
          <w:sz w:val="21"/>
          <w:szCs w:val="21"/>
        </w:rPr>
        <w:t xml:space="preserve">technical work</w:t>
      </w:r>
      <w:r>
        <w:rPr>
          <w:rFonts w:ascii="Aptos" w:cs="Aptos" w:eastAsia="Aptos" w:hAnsi="Aptos"/>
          <w:color w:val="1A1A1A"/>
          <w:sz w:val="21"/>
          <w:szCs w:val="21"/>
        </w:rPr>
        <w:t xml:space="preserve"> of deciding what that information means. The first consumes most of the calendar. The second is where the auditor's expertise actually earns its value. E-AUDIT attacks the first, supports the second, and stays out of the third — the final decision.</w:t>
      </w:r>
    </w:p>
    <w:p>
      <w:pPr>
        <w:pStyle w:val="Heading2"/>
        <w:keepNext/>
        <w:spacing w:after="120" w:before="300"/>
      </w:pPr>
      <w:r>
        <w:rPr>
          <w:rFonts w:ascii="Aptos" w:cs="Aptos" w:eastAsia="Aptos" w:hAnsi="Aptos"/>
          <w:b/>
          <w:bCs/>
          <w:color w:val="0E3F52"/>
          <w:sz w:val="25"/>
          <w:szCs w:val="25"/>
        </w:rPr>
        <w:t xml:space="preserve">What the AI does</w:t>
      </w:r>
    </w:p>
    <w:p>
      <w:pPr>
        <w:spacing w:after="140" w:line="276"/>
      </w:pPr>
      <w:r>
        <w:rPr>
          <w:rFonts w:ascii="Aptos" w:cs="Aptos" w:eastAsia="Aptos" w:hAnsi="Aptos"/>
          <w:color w:val="1A1A1A"/>
          <w:sz w:val="21"/>
          <w:szCs w:val="21"/>
        </w:rPr>
        <w:t xml:space="preserve">Three contributions, in the order an auditor meets them:</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520"/>
        <w:gridCol w:w="2500"/>
        <w:gridCol w:w="6000"/>
      </w:tblGrid>
      <w:tr>
        <w:trPr>
          <w:tblHeader/>
        </w:trPr>
        <w:tc>
          <w:tcPr>
            <w:tcW w:type="dxa" w:w="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
            </w:r>
          </w:p>
        </w:tc>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AI supports</w:t>
            </w:r>
          </w:p>
        </w:tc>
        <w:tc>
          <w:tcPr>
            <w:tcW w:type="dxa" w:w="60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that means in practice</w:t>
            </w:r>
          </w:p>
        </w:tc>
      </w:tr>
      <w:tr>
        <w:tc>
          <w:tcPr>
            <w:tcW w:type="dxa" w:w="520"/>
            <w:tcMar>
              <w:top w:type="dxa" w:w="64"/>
              <w:left w:type="dxa" w:w="110"/>
              <w:bottom w:type="dxa" w:w="64"/>
              <w:right w:type="dxa" w:w="110"/>
            </w:tcMar>
          </w:tcPr>
          <w:p>
            <w:pPr>
              <w:spacing w:after="0" w:line="250"/>
            </w:pPr>
            <w:r>
              <w:rPr>
                <w:rFonts w:ascii="Aptos" w:cs="Aptos" w:eastAsia="Aptos" w:hAnsi="Aptos"/>
                <w:color w:val="1A1A1A"/>
                <w:sz w:val="19"/>
                <w:szCs w:val="19"/>
              </w:rPr>
              <w:t xml:space="preserve">1</w:t>
            </w:r>
          </w:p>
        </w:tc>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end-to-end administrative work</w:t>
            </w:r>
          </w:p>
        </w:tc>
        <w:tc>
          <w:tcPr>
            <w:tcW w:type="dxa" w:w="60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AI supports the whole administrative spine of an audit, not one step of it: turning the auditor's own request email into a checkable specification, testing what the taxpayer returned against it, drafting the follow-up chase, tracking where every case is waiting and on whom, validating the auditor's own arithmetic, catching taxpayer data-entry errors and duplicates, prioritising the case list, and drafting the audit report and the taxpayer letter at the end.</w:t>
            </w:r>
          </w:p>
        </w:tc>
      </w:tr>
      <w:tr>
        <w:tc>
          <w:tcPr>
            <w:tcW w:type="dxa" w:w="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2</w:t>
            </w:r>
          </w:p>
        </w:tc>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reconciliation</w:t>
            </w:r>
          </w:p>
        </w:tc>
        <w:tc>
          <w:tcPr>
            <w:tcW w:type="dxa" w:w="6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engine qualifies each uploaded line to a VAT box and a period, sums the qualifying lines into an expected return, and compares it against what was declared. Every difference is then explained by a named rule — credit notes, timing, confirmed evidence — down to a true residual. A difference is not a finding until nothing legitimate explains it.</w:t>
            </w:r>
          </w:p>
        </w:tc>
      </w:tr>
      <w:tr>
        <w:tc>
          <w:tcPr>
            <w:tcW w:type="dxa" w:w="520"/>
            <w:tcMar>
              <w:top w:type="dxa" w:w="64"/>
              <w:left w:type="dxa" w:w="110"/>
              <w:bottom w:type="dxa" w:w="64"/>
              <w:right w:type="dxa" w:w="110"/>
            </w:tcMar>
          </w:tcPr>
          <w:p>
            <w:pPr>
              <w:spacing w:after="0" w:line="250"/>
            </w:pPr>
            <w:r>
              <w:rPr>
                <w:rFonts w:ascii="Aptos" w:cs="Aptos" w:eastAsia="Aptos" w:hAnsi="Aptos"/>
                <w:color w:val="1A1A1A"/>
                <w:sz w:val="19"/>
                <w:szCs w:val="19"/>
              </w:rPr>
              <w:t xml:space="preserve">3</w:t>
            </w:r>
          </w:p>
        </w:tc>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next best action</w:t>
            </w:r>
          </w:p>
        </w:tc>
        <w:tc>
          <w:tcPr>
            <w:tcW w:type="dxa" w:w="6000"/>
            <w:tcMar>
              <w:top w:type="dxa" w:w="64"/>
              <w:left w:type="dxa" w:w="110"/>
              <w:bottom w:type="dxa" w:w="64"/>
              <w:right w:type="dxa" w:w="110"/>
            </w:tcMar>
          </w:tcPr>
          <w:p>
            <w:pPr>
              <w:spacing w:after="0" w:line="250"/>
            </w:pPr>
            <w:r>
              <w:rPr>
                <w:rFonts w:ascii="Aptos" w:cs="Aptos" w:eastAsia="Aptos" w:hAnsi="Aptos"/>
                <w:color w:val="1A1A1A"/>
                <w:sz w:val="19"/>
                <w:szCs w:val="19"/>
              </w:rPr>
              <w:t xml:space="preserve">A dedicated, schema-validated recommendation of the single piece of evidence that would confirm or clear the case. It is grounded in three things: the engine's computed state, the adjudicated findings of the four agents, and retrieval over the governed rule corpus (RAG). It is decision </w:t>
            </w:r>
            <w:r>
              <w:rPr>
                <w:rFonts w:ascii="Aptos" w:cs="Aptos" w:eastAsia="Aptos" w:hAnsi="Aptos"/>
                <w:b/>
                <w:bCs/>
                <w:color w:val="1A1A1A"/>
                <w:sz w:val="19"/>
                <w:szCs w:val="19"/>
              </w:rPr>
              <w:t xml:space="preserve">support</w:t>
            </w:r>
            <w:r>
              <w:rPr>
                <w:rFonts w:ascii="Aptos" w:cs="Aptos" w:eastAsia="Aptos" w:hAnsi="Aptos"/>
                <w:color w:val="1A1A1A"/>
                <w:sz w:val="19"/>
                <w:szCs w:val="19"/>
              </w:rPr>
              <w:t xml:space="preserve"> — the auditor decides.</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The one place the AI is deliberately kept out is </w:t>
      </w:r>
      <w:r>
        <w:rPr>
          <w:rFonts w:ascii="Aptos" w:cs="Aptos" w:eastAsia="Aptos" w:hAnsi="Aptos"/>
          <w:b/>
          <w:bCs/>
          <w:color w:val="1A1A1A"/>
          <w:sz w:val="21"/>
          <w:szCs w:val="21"/>
        </w:rPr>
        <w:t xml:space="preserve">stating a number</w:t>
      </w:r>
      <w:r>
        <w:rPr>
          <w:rFonts w:ascii="Aptos" w:cs="Aptos" w:eastAsia="Aptos" w:hAnsi="Aptos"/>
          <w:color w:val="1A1A1A"/>
          <w:sz w:val="21"/>
          <w:szCs w:val="21"/>
        </w:rPr>
        <w:t xml:space="preserve">. Every figure that reaches a report is computed by deterministic Python, and every AI-drafted sentence is checked against those numbers before it is shown, with a corrective retry and then an honest deterministic fallback. That is not an absence of AI — it is the one design decision that lets a taxpayer, or a tribunal, trust the number in the first place.</w:t>
      </w:r>
    </w:p>
    <w:p>
      <w:pPr>
        <w:pStyle w:val="Heading2"/>
        <w:keepNext/>
        <w:spacing w:after="120" w:before="300"/>
      </w:pPr>
      <w:r>
        <w:rPr>
          <w:rFonts w:ascii="Aptos" w:cs="Aptos" w:eastAsia="Aptos" w:hAnsi="Aptos"/>
          <w:b/>
          <w:bCs/>
          <w:color w:val="0E3F52"/>
          <w:sz w:val="25"/>
          <w:szCs w:val="25"/>
        </w:rPr>
        <w:t xml:space="preserve">What this document is</w:t>
      </w:r>
    </w:p>
    <w:p>
      <w:pPr>
        <w:spacing w:after="140" w:line="276"/>
      </w:pPr>
      <w:r>
        <w:rPr>
          <w:rFonts w:ascii="Aptos" w:cs="Aptos" w:eastAsia="Aptos" w:hAnsi="Aptos"/>
          <w:color w:val="1A1A1A"/>
          <w:sz w:val="21"/>
          <w:szCs w:val="21"/>
        </w:rPr>
        <w:t xml:space="preserve">This version consolidates two inputs into one reference: the </w:t>
      </w:r>
      <w:r>
        <w:rPr>
          <w:rFonts w:ascii="Aptos" w:cs="Aptos" w:eastAsia="Aptos" w:hAnsi="Aptos"/>
          <w:b/>
          <w:bCs/>
          <w:color w:val="1A1A1A"/>
          <w:sz w:val="21"/>
          <w:szCs w:val="21"/>
        </w:rPr>
        <w:t xml:space="preserve">Solution Overview</w:t>
      </w:r>
      <w:r>
        <w:rPr>
          <w:rFonts w:ascii="Aptos" w:cs="Aptos" w:eastAsia="Aptos" w:hAnsi="Aptos"/>
          <w:color w:val="1A1A1A"/>
          <w:sz w:val="21"/>
          <w:szCs w:val="21"/>
        </w:rPr>
        <w:t xml:space="preserve"> describing what has been built, and the </w:t>
      </w:r>
      <w:r>
        <w:rPr>
          <w:rFonts w:ascii="Aptos" w:cs="Aptos" w:eastAsia="Aptos" w:hAnsi="Aptos"/>
          <w:b/>
          <w:bCs/>
          <w:color w:val="1A1A1A"/>
          <w:sz w:val="21"/>
          <w:szCs w:val="21"/>
        </w:rPr>
        <w:t xml:space="preserve">detailed notes from the meeting with the VAT audit team</w:t>
      </w:r>
      <w:r>
        <w:rPr>
          <w:rFonts w:ascii="Aptos" w:cs="Aptos" w:eastAsia="Aptos" w:hAnsi="Aptos"/>
          <w:color w:val="1A1A1A"/>
          <w:sz w:val="21"/>
          <w:szCs w:val="21"/>
        </w:rPr>
        <w:t xml:space="preserve"> describing how auditors actually work and what they need. Section 12 maps every requirement the audit team raised to how the solution answers it, with an honest status against each.</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2.  Objective &amp; Overview</w:t>
      </w:r>
    </w:p>
    <w:p>
      <w:pPr>
        <w:spacing w:after="140" w:line="276"/>
      </w:pPr>
      <w:r>
        <w:rPr>
          <w:rFonts w:ascii="Aptos" w:cs="Aptos" w:eastAsia="Aptos" w:hAnsi="Aptos"/>
          <w:color w:val="1A1A1A"/>
          <w:sz w:val="21"/>
          <w:szCs w:val="21"/>
        </w:rPr>
        <w:t xml:space="preserve">E-AUDIT is a multi-agent AI system built for ZATCA as a stakeholder demo and proof of concept: four AI agents, an orchestrator, and seven separate AI calls that read documents, interpret free text, and actively recommend the auditor's next move.</w:t>
      </w:r>
    </w:p>
    <w:p>
      <w:pPr>
        <w:spacing w:after="140" w:line="276"/>
      </w:pPr>
      <w:r>
        <w:rPr>
          <w:rFonts w:ascii="Aptos" w:cs="Aptos" w:eastAsia="Aptos" w:hAnsi="Aptos"/>
          <w:color w:val="1A1A1A"/>
          <w:sz w:val="21"/>
          <w:szCs w:val="21"/>
        </w:rPr>
        <w:t xml:space="preserve">It begins the moment a taxpayer's documents arrive — not upstream of that, and not from a pre-computed risk-engine output. Everything the system needs is in the files the taxpayer sent, which at this phase are entered into the solution manually by the auditor.</w:t>
      </w:r>
    </w:p>
    <w:p>
      <w:pPr>
        <w:pStyle w:val="Heading2"/>
        <w:keepNext/>
        <w:spacing w:after="120" w:before="300"/>
      </w:pPr>
      <w:r>
        <w:rPr>
          <w:rFonts w:ascii="Aptos" w:cs="Aptos" w:eastAsia="Aptos" w:hAnsi="Aptos"/>
          <w:b/>
          <w:bCs/>
          <w:color w:val="0E3F52"/>
          <w:sz w:val="25"/>
          <w:szCs w:val="25"/>
        </w:rPr>
        <w:t xml:space="preserve">Objectives</w:t>
      </w:r>
    </w:p>
    <w:p>
      <w:pPr>
        <w:pStyle w:val="ListParagraph"/>
        <w:numPr>
          <w:ilvl w:val="0"/>
          <w:numId w:val="2"/>
        </w:numPr>
        <w:spacing w:after="70" w:line="270"/>
      </w:pPr>
      <w:r>
        <w:rPr>
          <w:rFonts w:ascii="Aptos" w:cs="Aptos" w:eastAsia="Aptos" w:hAnsi="Aptos"/>
          <w:color w:val="1A1A1A"/>
          <w:sz w:val="21"/>
          <w:szCs w:val="21"/>
        </w:rPr>
        <w:t xml:space="preserve">Let an auditor spend their time on the cases that are </w:t>
      </w:r>
      <w:r>
        <w:rPr>
          <w:rFonts w:ascii="Aptos" w:cs="Aptos" w:eastAsia="Aptos" w:hAnsi="Aptos"/>
          <w:b/>
          <w:bCs/>
          <w:color w:val="1A1A1A"/>
          <w:sz w:val="21"/>
          <w:szCs w:val="21"/>
        </w:rPr>
        <w:t xml:space="preserve">genuinely wrong</w:t>
      </w:r>
      <w:r>
        <w:rPr>
          <w:rFonts w:ascii="Aptos" w:cs="Aptos" w:eastAsia="Aptos" w:hAnsi="Aptos"/>
          <w:color w:val="1A1A1A"/>
          <w:sz w:val="21"/>
          <w:szCs w:val="21"/>
        </w:rPr>
        <w:t xml:space="preserve"> — supported at every step by AI that reads their documents, interprets their own stated methods, and recommends what to do next — instead of chasing paperwork or re-deriving arithmetic by hand.</w:t>
      </w:r>
    </w:p>
    <w:p>
      <w:pPr>
        <w:pStyle w:val="ListParagraph"/>
        <w:numPr>
          <w:ilvl w:val="0"/>
          <w:numId w:val="2"/>
        </w:numPr>
        <w:spacing w:after="70" w:line="270"/>
      </w:pPr>
      <w:r>
        <w:rPr>
          <w:rFonts w:ascii="Aptos" w:cs="Aptos" w:eastAsia="Aptos" w:hAnsi="Aptos"/>
          <w:b/>
          <w:bCs/>
          <w:color w:val="1A1A1A"/>
          <w:sz w:val="21"/>
          <w:szCs w:val="21"/>
        </w:rPr>
        <w:t xml:space="preserve">Support the auditor in the manual and desk work, and minimise it</w:t>
      </w:r>
      <w:r>
        <w:rPr>
          <w:rFonts w:ascii="Aptos" w:cs="Aptos" w:eastAsia="Aptos" w:hAnsi="Aptos"/>
          <w:color w:val="1A1A1A"/>
          <w:sz w:val="21"/>
          <w:szCs w:val="21"/>
        </w:rPr>
        <w:t xml:space="preserve">: reviewing whether documents are as requested, writing the audit report, and checking calculations to reduce the risk of human error.</w:t>
      </w:r>
    </w:p>
    <w:p>
      <w:pPr>
        <w:pStyle w:val="ListParagraph"/>
        <w:numPr>
          <w:ilvl w:val="0"/>
          <w:numId w:val="2"/>
        </w:numPr>
        <w:spacing w:after="70" w:line="270"/>
      </w:pPr>
      <w:r>
        <w:rPr>
          <w:rFonts w:ascii="Aptos" w:cs="Aptos" w:eastAsia="Aptos" w:hAnsi="Aptos"/>
          <w:b/>
          <w:bCs/>
          <w:color w:val="1A1A1A"/>
          <w:sz w:val="21"/>
          <w:szCs w:val="21"/>
        </w:rPr>
        <w:t xml:space="preserve">Have AI support the auditor, but not take decisions.</w:t>
      </w:r>
    </w:p>
    <w:p>
      <w:pPr>
        <w:pStyle w:val="ListParagraph"/>
        <w:numPr>
          <w:ilvl w:val="0"/>
          <w:numId w:val="2"/>
        </w:numPr>
        <w:spacing w:after="70" w:line="270"/>
      </w:pPr>
      <w:r>
        <w:rPr>
          <w:rFonts w:ascii="Aptos" w:cs="Aptos" w:eastAsia="Aptos" w:hAnsi="Aptos"/>
          <w:color w:val="1A1A1A"/>
          <w:sz w:val="21"/>
          <w:szCs w:val="21"/>
        </w:rPr>
        <w:t xml:space="preserve">Provide a </w:t>
      </w:r>
      <w:r>
        <w:rPr>
          <w:rFonts w:ascii="Aptos" w:cs="Aptos" w:eastAsia="Aptos" w:hAnsi="Aptos"/>
          <w:b/>
          <w:bCs/>
          <w:color w:val="1A1A1A"/>
          <w:sz w:val="21"/>
          <w:szCs w:val="21"/>
        </w:rPr>
        <w:t xml:space="preserve">UI holding all cases</w:t>
      </w:r>
      <w:r>
        <w:rPr>
          <w:rFonts w:ascii="Aptos" w:cs="Aptos" w:eastAsia="Aptos" w:hAnsi="Aptos"/>
          <w:color w:val="1A1A1A"/>
          <w:sz w:val="21"/>
          <w:szCs w:val="21"/>
        </w:rPr>
        <w:t xml:space="preserve"> with a high-level priority and the relevant dates, giving a full list and enabling tracking.</w:t>
      </w:r>
    </w:p>
    <w:p>
      <w:pPr>
        <w:pStyle w:val="ListParagraph"/>
        <w:numPr>
          <w:ilvl w:val="0"/>
          <w:numId w:val="2"/>
        </w:numPr>
        <w:spacing w:after="70" w:line="270"/>
      </w:pPr>
      <w:r>
        <w:rPr>
          <w:rFonts w:ascii="Aptos" w:cs="Aptos" w:eastAsia="Aptos" w:hAnsi="Aptos"/>
          <w:b/>
          <w:bCs/>
          <w:color w:val="1A1A1A"/>
          <w:sz w:val="21"/>
          <w:szCs w:val="21"/>
        </w:rPr>
        <w:t xml:space="preserve">AI agents that support in finding the reason for discrepancies.</w:t>
      </w:r>
      <w:r>
        <w:rPr>
          <w:rFonts w:ascii="Aptos" w:cs="Aptos" w:eastAsia="Aptos" w:hAnsi="Aptos"/>
          <w:color w:val="1A1A1A"/>
          <w:sz w:val="21"/>
          <w:szCs w:val="21"/>
        </w:rPr>
        <w:t xml:space="preserve"> This scope is limited.</w:t>
      </w:r>
    </w:p>
    <w:p>
      <w:pPr>
        <w:spacing w:after="60"/>
      </w:pPr>
      <w:r>
        <w:rPr>
          <w:sz w:val="6"/>
          <w:szCs w:val="6"/>
        </w:rPr>
        <w:t xml:space="preserve"/>
      </w:r>
    </w:p>
    <w:p>
      <w:pPr>
        <w:spacing w:after="140" w:line="276"/>
      </w:pPr>
      <w:r>
        <w:rPr>
          <w:rFonts w:ascii="Aptos" w:cs="Aptos" w:eastAsia="Aptos" w:hAnsi="Aptos"/>
          <w:color w:val="1A1A1A"/>
          <w:sz w:val="21"/>
          <w:szCs w:val="21"/>
        </w:rPr>
        <w:t xml:space="preserve">This document also shows where AI can play a role in the wider audit process beyond the PoC scope, so the audit team can see the direction of travel (Sections 13 and 14).</w:t>
      </w:r>
    </w:p>
    <w:p>
      <w:pPr>
        <w:pStyle w:val="Heading2"/>
        <w:keepNext/>
        <w:spacing w:after="120" w:before="300"/>
      </w:pPr>
      <w:r>
        <w:rPr>
          <w:rFonts w:ascii="Aptos" w:cs="Aptos" w:eastAsia="Aptos" w:hAnsi="Aptos"/>
          <w:b/>
          <w:bCs/>
          <w:color w:val="0E3F52"/>
          <w:sz w:val="25"/>
          <w:szCs w:val="25"/>
        </w:rPr>
        <w:t xml:space="preserve">The two jobs, in order</w:t>
      </w:r>
    </w:p>
    <w:p>
      <w:pPr>
        <w:spacing w:after="140" w:line="276"/>
      </w:pPr>
      <w:r>
        <w:rPr>
          <w:rFonts w:ascii="Aptos" w:cs="Aptos" w:eastAsia="Aptos" w:hAnsi="Aptos"/>
          <w:color w:val="1A1A1A"/>
          <w:sz w:val="21"/>
          <w:szCs w:val="21"/>
        </w:rPr>
        <w:t xml:space="preserve">The solution does two jobs, and it does them in sequence. Each is stated as the question the auditor is actually asking at that moment.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20"/>
        <w:gridCol w:w="2500"/>
        <w:gridCol w:w="5800"/>
      </w:tblGrid>
      <w:tr>
        <w:trPr>
          <w:tblHeader/>
        </w:trPr>
        <w:tc>
          <w:tcPr>
            <w:tcW w:type="dxa" w:w="7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
            </w:r>
          </w:p>
        </w:tc>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The question the auditor is asking</w:t>
            </w:r>
          </w:p>
        </w:tc>
        <w:tc>
          <w:tcPr>
            <w:tcW w:type="dxa" w:w="58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system does</w:t>
            </w:r>
          </w:p>
        </w:tc>
      </w:tr>
      <w:tr>
        <w:tc>
          <w:tcPr>
            <w:tcW w:type="dxa" w:w="720"/>
            <w:tcMar>
              <w:top w:type="dxa" w:w="64"/>
              <w:left w:type="dxa" w:w="110"/>
              <w:bottom w:type="dxa" w:w="64"/>
              <w:right w:type="dxa" w:w="110"/>
            </w:tcMar>
          </w:tcPr>
          <w:p>
            <w:pPr>
              <w:spacing w:after="0" w:line="250"/>
            </w:pPr>
            <w:r>
              <w:rPr>
                <w:rFonts w:ascii="Aptos" w:cs="Aptos" w:eastAsia="Aptos" w:hAnsi="Aptos"/>
                <w:color w:val="1A1A1A"/>
                <w:sz w:val="19"/>
                <w:szCs w:val="19"/>
              </w:rPr>
              <w:t xml:space="preserve">Job 1</w:t>
            </w:r>
          </w:p>
        </w:tc>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“Did we get what we asked for?”</w:t>
            </w:r>
          </w:p>
        </w:tc>
        <w:tc>
          <w:tcPr>
            <w:tcW w:type="dxa" w:w="58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 pastes the email they sent; it is parsed into a checkable specification, which the auditor confirms. The uploaded spreadsheets are then tested against that specification — missing documents, missing columns, blank mandatory fields, period coverage, and totals that do not foot. Where there are gaps, the chase email is drafted from the gaps alone.</w:t>
            </w:r>
          </w:p>
        </w:tc>
      </w:tr>
      <w:tr>
        <w:tc>
          <w:tcPr>
            <w:tcW w:type="dxa" w:w="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Job 2</w:t>
            </w:r>
          </w:p>
        </w:tc>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“Does the return reconcile — and if it does not, why?”</w:t>
            </w:r>
          </w:p>
        </w:tc>
        <w:tc>
          <w:tcPr>
            <w:tcW w:type="dxa" w:w="58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engine decides which of the uploaded lines qualify for each VAT box and period, sums them into an expected VAT return, and compares that against what was declared. A difference is not treated as non-compliance: the four AI agents propose what could explain it, a deterministic adjudicator tests each proposal against the data, and the system then recommends the single next best action to the auditor.</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Job 1 is the </w:t>
      </w:r>
      <w:r>
        <w:rPr>
          <w:rFonts w:ascii="Aptos" w:cs="Aptos" w:eastAsia="Aptos" w:hAnsi="Aptos"/>
          <w:b/>
          <w:bCs/>
          <w:color w:val="1A1A1A"/>
          <w:sz w:val="21"/>
          <w:szCs w:val="21"/>
        </w:rPr>
        <w:t xml:space="preserve">formal review</w:t>
      </w:r>
      <w:r>
        <w:rPr>
          <w:rFonts w:ascii="Aptos" w:cs="Aptos" w:eastAsia="Aptos" w:hAnsi="Aptos"/>
          <w:color w:val="1A1A1A"/>
          <w:sz w:val="21"/>
          <w:szCs w:val="21"/>
        </w:rPr>
        <w:t xml:space="preserve"> the auditors described — is the response complete? Job 2 is the </w:t>
      </w:r>
      <w:r>
        <w:rPr>
          <w:rFonts w:ascii="Aptos" w:cs="Aptos" w:eastAsia="Aptos" w:hAnsi="Aptos"/>
          <w:b/>
          <w:bCs/>
          <w:color w:val="1A1A1A"/>
          <w:sz w:val="21"/>
          <w:szCs w:val="21"/>
        </w:rPr>
        <w:t xml:space="preserve">technical review</w:t>
      </w:r>
      <w:r>
        <w:rPr>
          <w:rFonts w:ascii="Aptos" w:cs="Aptos" w:eastAsia="Aptos" w:hAnsi="Aptos"/>
          <w:color w:val="1A1A1A"/>
          <w:sz w:val="21"/>
          <w:szCs w:val="21"/>
        </w:rPr>
        <w:t xml:space="preserve"> — what does the information mean? The auditors were explicit that these are distinct, that the formal review comes first, and that today it is done manually and consumes a significant share of their time.</w:t>
      </w:r>
    </w:p>
    <w:p>
      <w:pPr>
        <w:spacing w:after="60"/>
      </w:pPr>
      <w:r>
        <w:rPr>
          <w:sz w:val="6"/>
          <w:szCs w:val="6"/>
        </w:rPr>
        <w:t xml:space="preserve"/>
      </w:r>
    </w:p>
    <w:p>
      <w:pPr>
        <w:spacing w:after="140" w:line="276"/>
      </w:pPr>
      <w:r>
        <w:rPr>
          <w:rFonts w:ascii="Aptos" w:cs="Aptos" w:eastAsia="Aptos" w:hAnsi="Aptos"/>
          <w:color w:val="1A1A1A"/>
          <w:sz w:val="21"/>
          <w:szCs w:val="21"/>
        </w:rPr>
        <w:t xml:space="preserve">Both the </w:t>
      </w:r>
      <w:r>
        <w:rPr>
          <w:rFonts w:ascii="Aptos" w:cs="Aptos" w:eastAsia="Aptos" w:hAnsi="Aptos"/>
          <w:b/>
          <w:bCs/>
          <w:color w:val="1A1A1A"/>
          <w:sz w:val="21"/>
          <w:szCs w:val="21"/>
        </w:rPr>
        <w:t xml:space="preserve">output side</w:t>
      </w:r>
      <w:r>
        <w:rPr>
          <w:rFonts w:ascii="Aptos" w:cs="Aptos" w:eastAsia="Aptos" w:hAnsi="Aptos"/>
          <w:color w:val="1A1A1A"/>
          <w:sz w:val="21"/>
          <w:szCs w:val="21"/>
        </w:rPr>
        <w:t xml:space="preserve"> (standard-rated sales) and the </w:t>
      </w:r>
      <w:r>
        <w:rPr>
          <w:rFonts w:ascii="Aptos" w:cs="Aptos" w:eastAsia="Aptos" w:hAnsi="Aptos"/>
          <w:b/>
          <w:bCs/>
          <w:color w:val="1A1A1A"/>
          <w:sz w:val="21"/>
          <w:szCs w:val="21"/>
        </w:rPr>
        <w:t xml:space="preserve">input side</w:t>
      </w:r>
      <w:r>
        <w:rPr>
          <w:rFonts w:ascii="Aptos" w:cs="Aptos" w:eastAsia="Aptos" w:hAnsi="Aptos"/>
          <w:color w:val="1A1A1A"/>
          <w:sz w:val="21"/>
          <w:szCs w:val="21"/>
        </w:rPr>
        <w:t xml:space="preserve"> (standard-rated purchases) are qualified and reconciled separately, using the same machinery. A third box, </w:t>
      </w:r>
      <w:r>
        <w:rPr>
          <w:rFonts w:ascii="Aptos" w:cs="Aptos" w:eastAsia="Aptos" w:hAnsi="Aptos"/>
          <w:b/>
          <w:bCs/>
          <w:color w:val="1A1A1A"/>
          <w:sz w:val="21"/>
          <w:szCs w:val="21"/>
        </w:rPr>
        <w:t xml:space="preserve">zero-rated domestic sales</w:t>
      </w:r>
      <w:r>
        <w:rPr>
          <w:rFonts w:ascii="Aptos" w:cs="Aptos" w:eastAsia="Aptos" w:hAnsi="Aptos"/>
          <w:color w:val="1A1A1A"/>
          <w:sz w:val="21"/>
          <w:szCs w:val="21"/>
        </w:rPr>
        <w:t xml:space="preserve">, is reconciled the same way. A fourth strand — imports, reverse charge, prior-period corrections and rounding — is counted wherever the taxpayer's own documents support it and the auditor confirms it. See Section 6.</w:t>
      </w:r>
    </w:p>
    <w:p>
      <w:pPr>
        <w:spacing w:after="140"/>
      </w:pPr>
      <w:r>
        <w:rPr>
          <w:sz w:val="6"/>
          <w:szCs w:val="6"/>
        </w:rPr>
        <w:t xml:space="preserve"/>
      </w:r>
    </w:p>
    <w:tbl>
      <w:tblPr>
        <w:tblW w:type="dxa" w:w="9020"/>
        <w:tblBorders>
          <w:top w:val="single" w:color="FDF3E7" w:sz="2"/>
          <w:left w:val="single" w:color="C1741B" w:sz="24"/>
          <w:bottom w:val="single" w:color="FDF3E7" w:sz="2"/>
          <w:right w:val="single" w:color="FDF3E7" w:sz="2"/>
          <w:insideH w:val="none" w:color="FFFFFF" w:sz="0"/>
          <w:insideV w:val="none" w:color="FFFFFF" w:sz="0"/>
        </w:tblBorders>
      </w:tblPr>
      <w:tblGrid>
        <w:gridCol w:w="9020"/>
      </w:tblGrid>
      <w:tr>
        <w:tc>
          <w:tcPr>
            <w:tcW w:type="dxa" w:w="9020"/>
            <w:shd w:fill="FDF3E7" w:color="auto" w:val="clear"/>
            <w:tcMar>
              <w:top w:type="dxa" w:w="150"/>
              <w:left w:type="dxa" w:w="190"/>
              <w:bottom w:type="dxa" w:w="150"/>
              <w:right w:type="dxa" w:w="170"/>
            </w:tcMar>
          </w:tcPr>
          <w:p>
            <w:pPr>
              <w:spacing w:after="90" w:line="260"/>
            </w:pPr>
            <w:r>
              <w:rPr>
                <w:rFonts w:ascii="Aptos" w:cs="Aptos" w:eastAsia="Aptos" w:hAnsi="Aptos"/>
                <w:b/>
                <w:bCs/>
                <w:color w:val="C1741B"/>
                <w:sz w:val="21"/>
                <w:szCs w:val="21"/>
              </w:rPr>
              <w:t xml:space="preserve">Note on the limits of this solution</w:t>
            </w:r>
          </w:p>
          <w:p>
            <w:pPr>
              <w:spacing w:after="0" w:line="265"/>
            </w:pPr>
            <w:r>
              <w:rPr>
                <w:rFonts w:ascii="Aptos" w:cs="Aptos" w:eastAsia="Aptos" w:hAnsi="Aptos"/>
                <w:color w:val="1A1A1A"/>
                <w:sz w:val="20"/>
                <w:szCs w:val="20"/>
              </w:rPr>
              <w:t xml:space="preserve">This solution is limited. All data is synthetic. Not all rules will be taken into consideration. Many edge cases cannot be taken into account at this stage. This note applies to every capability described in this document, and is set out in full on the cover page and in Sections 6, 7 and 13.</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3.  What the Audit Team Told Us</w:t>
      </w:r>
    </w:p>
    <w:p>
      <w:pPr>
        <w:spacing w:after="140" w:line="276"/>
      </w:pPr>
      <w:r>
        <w:rPr>
          <w:rFonts w:ascii="Aptos" w:cs="Aptos" w:eastAsia="Aptos" w:hAnsi="Aptos"/>
          <w:color w:val="1A1A1A"/>
          <w:sz w:val="21"/>
          <w:szCs w:val="21"/>
        </w:rPr>
        <w:t xml:space="preserve">This section consolidates the detailed notes from the discussion with the VAT audit team. It is the requirements baseline for everything that follows, and Section 12 traces each point through to how the solution answers it.</w:t>
      </w:r>
    </w:p>
    <w:p>
      <w:pPr>
        <w:pStyle w:val="Heading2"/>
        <w:keepNext/>
        <w:spacing w:after="120" w:before="300"/>
      </w:pPr>
      <w:r>
        <w:rPr>
          <w:rFonts w:ascii="Aptos" w:cs="Aptos" w:eastAsia="Aptos" w:hAnsi="Aptos"/>
          <w:b/>
          <w:bCs/>
          <w:color w:val="0E3F52"/>
          <w:sz w:val="25"/>
          <w:szCs w:val="25"/>
        </w:rPr>
        <w:t xml:space="preserve">3.1  How an audit actually runs</w:t>
      </w:r>
    </w:p>
    <w:p>
      <w:pPr>
        <w:spacing w:after="140" w:line="276"/>
      </w:pPr>
      <w:r>
        <w:rPr>
          <w:rFonts w:ascii="Aptos" w:cs="Aptos" w:eastAsia="Aptos" w:hAnsi="Aptos"/>
          <w:color w:val="1A1A1A"/>
          <w:sz w:val="21"/>
          <w:szCs w:val="21"/>
        </w:rPr>
        <w:t xml:space="preserve">The starting understanding put to the auditors was: taxpayer files VAT return → case or risk is identified → auditor reviews the case → additional information is requested → taxpayer responds → auditor reviews the response → further requests may be raised iteratively → auditor reaches a conclusion → audit report is prepared. The auditors broadly confirmed this flow, and added significant detail.</w:t>
      </w:r>
    </w:p>
    <w:p>
      <w:pPr>
        <w:spacing w:after="140" w:line="276"/>
      </w:pPr>
      <w:r>
        <w:rPr>
          <w:rFonts w:ascii="Aptos" w:cs="Aptos" w:eastAsia="Aptos" w:hAnsi="Aptos"/>
          <w:color w:val="1A1A1A"/>
          <w:sz w:val="21"/>
          <w:szCs w:val="21"/>
        </w:rPr>
        <w:t xml:space="preserve">The most important correction was that </w:t>
      </w:r>
      <w:r>
        <w:rPr>
          <w:rFonts w:ascii="Aptos" w:cs="Aptos" w:eastAsia="Aptos" w:hAnsi="Aptos"/>
          <w:b/>
          <w:bCs/>
          <w:color w:val="1A1A1A"/>
          <w:sz w:val="21"/>
          <w:szCs w:val="21"/>
        </w:rPr>
        <w:t xml:space="preserve">auditors do not start from a blank page, and they do not start with the regulations.</w:t>
      </w:r>
      <w:r>
        <w:rPr>
          <w:rFonts w:ascii="Aptos" w:cs="Aptos" w:eastAsia="Aptos" w:hAnsi="Aptos"/>
          <w:color w:val="1A1A1A"/>
          <w:sz w:val="21"/>
          <w:szCs w:val="21"/>
        </w:rPr>
        <w:t xml:space="preserve"> For risk-driven audits the Risk Engine supplies the specific reason a case was triggered — POS-related risk, potential underreporting of sales, purchases unusually high against sales, financial discrepancies, differences between sources — which gives the auditor a starting hypothesis. Only once the facts and documents are in hand do they map those facts to the applicable VAT provisions.</w:t>
      </w:r>
    </w:p>
    <w:p>
      <w:pPr>
        <w:spacing w:after="140" w:line="276"/>
      </w:pPr>
      <w:r>
        <w:rPr>
          <w:rFonts w:ascii="Aptos" w:cs="Aptos" w:eastAsia="Aptos" w:hAnsi="Aptos"/>
          <w:color w:val="1A1A1A"/>
          <w:sz w:val="21"/>
          <w:szCs w:val="21"/>
        </w:rPr>
        <w:t xml:space="preserve">The real planning sequence they described is: </w:t>
      </w:r>
      <w:r>
        <w:rPr>
          <w:rFonts w:ascii="Aptos" w:cs="Aptos" w:eastAsia="Aptos" w:hAnsi="Aptos"/>
          <w:b/>
          <w:bCs/>
          <w:color w:val="1A1A1A"/>
          <w:sz w:val="21"/>
          <w:szCs w:val="21"/>
        </w:rPr>
        <w:t xml:space="preserve">risk → investigate what ZATCA already holds → understand potential causes → formulate hypotheses and questions → identify missing evidence → request targeted information.</w:t>
      </w:r>
      <w:r>
        <w:rPr>
          <w:rFonts w:ascii="Aptos" w:cs="Aptos" w:eastAsia="Aptos" w:hAnsi="Aptos"/>
          <w:color w:val="1A1A1A"/>
          <w:sz w:val="21"/>
          <w:szCs w:val="21"/>
        </w:rPr>
        <w:t xml:space="preserve"> Auditors deliberately do not ask a taxpayer for anything already obtainable internally from e-invoicing, imports and exports, VAT returns or other internal sources.</w:t>
      </w:r>
    </w:p>
    <w:p>
      <w:pPr>
        <w:pStyle w:val="Heading2"/>
        <w:keepNext/>
        <w:spacing w:after="120" w:before="300"/>
      </w:pPr>
      <w:r>
        <w:rPr>
          <w:rFonts w:ascii="Aptos" w:cs="Aptos" w:eastAsia="Aptos" w:hAnsi="Aptos"/>
          <w:b/>
          <w:bCs/>
          <w:color w:val="0E3F52"/>
          <w:sz w:val="25"/>
          <w:szCs w:val="25"/>
        </w:rPr>
        <w:t xml:space="preserve">3.2  The two phases</w:t>
      </w:r>
    </w:p>
    <w:p>
      <w:pPr>
        <w:spacing w:after="140" w:line="276"/>
      </w:pPr>
      <w:r>
        <w:rPr>
          <w:rFonts w:ascii="Aptos" w:cs="Aptos" w:eastAsia="Aptos" w:hAnsi="Aptos"/>
          <w:color w:val="1A1A1A"/>
          <w:sz w:val="21"/>
          <w:szCs w:val="21"/>
        </w:rPr>
        <w:t xml:space="preserve">The auditors described their work as </w:t>
      </w:r>
      <w:r>
        <w:rPr>
          <w:rFonts w:ascii="Aptos" w:cs="Aptos" w:eastAsia="Aptos" w:hAnsi="Aptos"/>
          <w:b/>
          <w:bCs/>
          <w:color w:val="1A1A1A"/>
          <w:sz w:val="21"/>
          <w:szCs w:val="21"/>
        </w:rPr>
        <w:t xml:space="preserve">Planning</w:t>
      </w:r>
      <w:r>
        <w:rPr>
          <w:rFonts w:ascii="Aptos" w:cs="Aptos" w:eastAsia="Aptos" w:hAnsi="Aptos"/>
          <w:color w:val="1A1A1A"/>
          <w:sz w:val="21"/>
          <w:szCs w:val="21"/>
        </w:rPr>
        <w:t xml:space="preserve"> and </w:t>
      </w:r>
      <w:r>
        <w:rPr>
          <w:rFonts w:ascii="Aptos" w:cs="Aptos" w:eastAsia="Aptos" w:hAnsi="Aptos"/>
          <w:b/>
          <w:bCs/>
          <w:color w:val="1A1A1A"/>
          <w:sz w:val="21"/>
          <w:szCs w:val="21"/>
        </w:rPr>
        <w:t xml:space="preserve">Execution</w:t>
      </w:r>
      <w:r>
        <w:rPr>
          <w:rFonts w:ascii="Aptos" w:cs="Aptos" w:eastAsia="Aptos" w:hAnsi="Aptos"/>
          <w:color w:val="1A1A1A"/>
          <w:sz w:val="21"/>
          <w:szCs w:val="21"/>
        </w:rPr>
        <w:t xml:space="preserve">, with closure and reporting following execution. Within execution they drew a sharp line between the </w:t>
      </w:r>
      <w:r>
        <w:rPr>
          <w:rFonts w:ascii="Aptos" w:cs="Aptos" w:eastAsia="Aptos" w:hAnsi="Aptos"/>
          <w:b/>
          <w:bCs/>
          <w:color w:val="1A1A1A"/>
          <w:sz w:val="21"/>
          <w:szCs w:val="21"/>
        </w:rPr>
        <w:t xml:space="preserve">formal review</w:t>
      </w:r>
      <w:r>
        <w:rPr>
          <w:rFonts w:ascii="Aptos" w:cs="Aptos" w:eastAsia="Aptos" w:hAnsi="Aptos"/>
          <w:color w:val="1A1A1A"/>
          <w:sz w:val="21"/>
          <w:szCs w:val="21"/>
        </w:rPr>
        <w:t xml:space="preserve"> (“did the taxpayer actually provide what I requested?”) and the </w:t>
      </w:r>
      <w:r>
        <w:rPr>
          <w:rFonts w:ascii="Aptos" w:cs="Aptos" w:eastAsia="Aptos" w:hAnsi="Aptos"/>
          <w:b/>
          <w:bCs/>
          <w:color w:val="1A1A1A"/>
          <w:sz w:val="21"/>
          <w:szCs w:val="21"/>
        </w:rPr>
        <w:t xml:space="preserve">technical review</w:t>
      </w:r>
      <w:r>
        <w:rPr>
          <w:rFonts w:ascii="Aptos" w:cs="Aptos" w:eastAsia="Aptos" w:hAnsi="Aptos"/>
          <w:color w:val="1A1A1A"/>
          <w:sz w:val="21"/>
          <w:szCs w:val="21"/>
        </w:rPr>
        <w:t xml:space="preserve"> (“is the information correct, and what does it mean?”). The formal review comes first, is largely manual today, and was named directly as the area where they want AI support.</w:t>
      </w:r>
    </w:p>
    <w:p>
      <w:pPr>
        <w:pStyle w:val="Heading2"/>
        <w:keepNext/>
        <w:spacing w:after="120" w:before="300"/>
      </w:pPr>
      <w:r>
        <w:rPr>
          <w:rFonts w:ascii="Aptos" w:cs="Aptos" w:eastAsia="Aptos" w:hAnsi="Aptos"/>
          <w:b/>
          <w:bCs/>
          <w:color w:val="0E3F52"/>
          <w:sz w:val="25"/>
          <w:szCs w:val="25"/>
        </w:rPr>
        <w:t xml:space="preserve">3.3  Requests are specific — and responses often do not match</w:t>
      </w:r>
    </w:p>
    <w:p>
      <w:pPr>
        <w:spacing w:after="140" w:line="276"/>
      </w:pPr>
      <w:r>
        <w:rPr>
          <w:rFonts w:ascii="Aptos" w:cs="Aptos" w:eastAsia="Aptos" w:hAnsi="Aptos"/>
          <w:color w:val="1A1A1A"/>
          <w:sz w:val="21"/>
          <w:szCs w:val="21"/>
        </w:rPr>
        <w:t xml:space="preserve">A request may not simply say “please provide your sales data.” The auditor may specify an Excel file with eight named columns. The response then routinely falls short: a requested column is missing, fields are empty, the structure differs from what was asked for, a document is missing or the wrong document is supplied, the information is incomplete, or the taxpayer has misunderstood the request. The auditor must then open the response and compare it against the original request by hand. This was described as one of the biggest operational problems, and as very time-consuming.</w:t>
      </w:r>
    </w:p>
    <w:p>
      <w:pPr>
        <w:spacing w:after="140" w:line="276"/>
      </w:pPr>
      <w:r>
        <w:rPr>
          <w:rFonts w:ascii="Aptos" w:cs="Aptos" w:eastAsia="Aptos" w:hAnsi="Aptos"/>
          <w:color w:val="1A1A1A"/>
          <w:sz w:val="21"/>
          <w:szCs w:val="21"/>
        </w:rPr>
        <w:t xml:space="preserve">The AI capability the auditors asked for is precise: </w:t>
      </w:r>
      <w:r>
        <w:rPr>
          <w:rFonts w:ascii="Aptos" w:cs="Aptos" w:eastAsia="Aptos" w:hAnsi="Aptos"/>
          <w:b/>
          <w:bCs/>
          <w:color w:val="1A1A1A"/>
          <w:sz w:val="21"/>
          <w:szCs w:val="21"/>
        </w:rPr>
        <w:t xml:space="preserve">understand the original request → review the received response → compare the two → identify missing elements → inform the auditor → draft the follow-up request.</w:t>
      </w:r>
      <w:r>
        <w:rPr>
          <w:rFonts w:ascii="Aptos" w:cs="Aptos" w:eastAsia="Aptos" w:hAnsi="Aptos"/>
          <w:color w:val="1A1A1A"/>
          <w:sz w:val="21"/>
          <w:szCs w:val="21"/>
        </w:rPr>
        <w:t xml:space="preserve"> That is Job 1 of this solution, built to that description.</w:t>
      </w:r>
    </w:p>
    <w:p>
      <w:pPr>
        <w:pStyle w:val="Heading2"/>
        <w:keepNext/>
        <w:spacing w:after="120" w:before="300"/>
      </w:pPr>
      <w:r>
        <w:rPr>
          <w:rFonts w:ascii="Aptos" w:cs="Aptos" w:eastAsia="Aptos" w:hAnsi="Aptos"/>
          <w:b/>
          <w:bCs/>
          <w:color w:val="0E3F52"/>
          <w:sz w:val="25"/>
          <w:szCs w:val="25"/>
        </w:rPr>
        <w:t xml:space="preserve">3.4  Response time is a major pain point</w:t>
      </w:r>
    </w:p>
    <w:p>
      <w:pPr>
        <w:spacing w:after="140" w:line="276"/>
      </w:pPr>
      <w:r>
        <w:rPr>
          <w:rFonts w:ascii="Aptos" w:cs="Aptos" w:eastAsia="Aptos" w:hAnsi="Aptos"/>
          <w:color w:val="1A1A1A"/>
          <w:sz w:val="21"/>
          <w:szCs w:val="21"/>
        </w:rPr>
        <w:t xml:space="preserve">Taxpayer responses can take three to four months, contributing significantly to overall audit duration. The problem exists on both sides — long taxpayer response times, and substantial auditor workload once information arrives, much of it administrative before any substantive analysis begins.</w:t>
      </w:r>
    </w:p>
    <w:tbl>
      <w:tblPr>
        <w:tblW w:type="dxa" w:w="9020"/>
        <w:tblBorders>
          <w:top w:val="single" w:color="F4F6F7" w:sz="2"/>
          <w:left w:val="single" w:color="5A6672" w:sz="24"/>
          <w:bottom w:val="single" w:color="F4F6F7" w:sz="2"/>
          <w:right w:val="single" w:color="F4F6F7" w:sz="2"/>
          <w:insideH w:val="none" w:color="FFFFFF" w:sz="0"/>
          <w:insideV w:val="none" w:color="FFFFFF" w:sz="0"/>
        </w:tblBorders>
      </w:tblPr>
      <w:tblGrid>
        <w:gridCol w:w="9020"/>
      </w:tblGrid>
      <w:tr>
        <w:tc>
          <w:tcPr>
            <w:tcW w:type="dxa" w:w="9020"/>
            <w:shd w:fill="F4F6F7" w:color="auto" w:val="clear"/>
            <w:tcMar>
              <w:top w:type="dxa" w:w="150"/>
              <w:left w:type="dxa" w:w="190"/>
              <w:bottom w:type="dxa" w:w="150"/>
              <w:right w:type="dxa" w:w="170"/>
            </w:tcMar>
          </w:tcPr>
          <w:p>
            <w:pPr>
              <w:spacing w:after="0" w:line="265"/>
            </w:pPr>
            <w:r>
              <w:rPr>
                <w:rFonts w:ascii="Aptos" w:cs="Aptos" w:eastAsia="Aptos" w:hAnsi="Aptos"/>
                <w:b/>
                <w:bCs/>
                <w:color w:val="1A1A1A"/>
                <w:sz w:val="20"/>
                <w:szCs w:val="20"/>
              </w:rPr>
              <w:t xml:space="preserve">The AI will not do anything about a taxpayer being late.</w:t>
            </w:r>
            <w:r>
              <w:rPr>
                <w:rFonts w:ascii="Aptos" w:cs="Aptos" w:eastAsia="Aptos" w:hAnsi="Aptos"/>
                <w:color w:val="1A1A1A"/>
                <w:sz w:val="20"/>
                <w:szCs w:val="20"/>
              </w:rPr>
              <w:t xml:space="preserve"> It cannot shorten the taxpayer's side of the clock. What it can do is remove auditor-side processing time and make the waiting visible and trackable, so the elapsed time is at least attributable and the case does not sit unnoticed.</w:t>
            </w:r>
          </w:p>
        </w:tc>
      </w:tr>
    </w:tbl>
    <w:p>
      <w:pPr>
        <w:pStyle w:val="Heading2"/>
        <w:keepNext/>
        <w:spacing w:after="120" w:before="300"/>
      </w:pPr>
      <w:r>
        <w:rPr>
          <w:rFonts w:ascii="Aptos" w:cs="Aptos" w:eastAsia="Aptos" w:hAnsi="Aptos"/>
          <w:b/>
          <w:bCs/>
          <w:color w:val="0E3F52"/>
          <w:sz w:val="25"/>
          <w:szCs w:val="25"/>
        </w:rPr>
        <w:t xml:space="preserve">3.5  Reconciliation is not invoice total versus return total</w:t>
      </w:r>
    </w:p>
    <w:p>
      <w:pPr>
        <w:spacing w:after="140" w:line="276"/>
      </w:pPr>
      <w:r>
        <w:rPr>
          <w:rFonts w:ascii="Aptos" w:cs="Aptos" w:eastAsia="Aptos" w:hAnsi="Aptos"/>
          <w:color w:val="1A1A1A"/>
          <w:sz w:val="21"/>
          <w:szCs w:val="21"/>
        </w:rPr>
        <w:t xml:space="preserve">The auditors were emphatic that e-invoicing data and VAT returns </w:t>
      </w:r>
      <w:r>
        <w:rPr>
          <w:rFonts w:ascii="Aptos" w:cs="Aptos" w:eastAsia="Aptos" w:hAnsi="Aptos"/>
          <w:b/>
          <w:bCs/>
          <w:color w:val="1A1A1A"/>
          <w:sz w:val="21"/>
          <w:szCs w:val="21"/>
        </w:rPr>
        <w:t xml:space="preserve">will not always reconcile directly, even where the taxpayer has done nothing wrong.</w:t>
      </w:r>
      <w:r>
        <w:rPr>
          <w:rFonts w:ascii="Aptos" w:cs="Aptos" w:eastAsia="Aptos" w:hAnsi="Aptos"/>
          <w:color w:val="1A1A1A"/>
          <w:sz w:val="21"/>
          <w:szCs w:val="21"/>
        </w:rPr>
        <w:t xml:space="preserve"> The sum of e-invoices does not necessarily equal the VAT return amount, and a difference must not automatically be treated as non-compliance. The reconciliation has to understand the underlying reason for the difference.</w:t>
      </w:r>
    </w:p>
    <w:p>
      <w:pPr>
        <w:spacing w:after="140" w:line="276"/>
      </w:pPr>
      <w:r>
        <w:rPr>
          <w:rFonts w:ascii="Aptos" w:cs="Aptos" w:eastAsia="Aptos" w:hAnsi="Aptos"/>
          <w:color w:val="1A1A1A"/>
          <w:sz w:val="21"/>
          <w:szCs w:val="21"/>
        </w:rPr>
        <w:t xml:space="preserve">The dominant reason is </w:t>
      </w:r>
      <w:r>
        <w:rPr>
          <w:rFonts w:ascii="Aptos" w:cs="Aptos" w:eastAsia="Aptos" w:hAnsi="Aptos"/>
          <w:b/>
          <w:bCs/>
          <w:color w:val="1A1A1A"/>
          <w:sz w:val="21"/>
          <w:szCs w:val="21"/>
        </w:rPr>
        <w:t xml:space="preserve">timing</w:t>
      </w:r>
      <w:r>
        <w:rPr>
          <w:rFonts w:ascii="Aptos" w:cs="Aptos" w:eastAsia="Aptos" w:hAnsi="Aptos"/>
          <w:color w:val="1A1A1A"/>
          <w:sz w:val="21"/>
          <w:szCs w:val="21"/>
        </w:rPr>
        <w:t xml:space="preserve">. Which period a transaction belongs to for VAT purposes cannot always be determined from the invoice issue date. Invoice date, supply date, tax point, payment date and advance-payment date may all differ, and specific VAT rules determine which applies. Four scenarios were raised specifically:</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100"/>
        <w:gridCol w:w="6920"/>
      </w:tblGrid>
      <w:tr>
        <w:trPr>
          <w:tblHeader/>
        </w:trPr>
        <w:tc>
          <w:tcPr>
            <w:tcW w:type="dxa" w:w="21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Scenario</w:t>
            </w:r>
          </w:p>
        </w:tc>
        <w:tc>
          <w:tcPr>
            <w:tcW w:type="dxa" w:w="69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Why a naive reconciliation gets it wrong</w:t>
            </w:r>
          </w:p>
        </w:tc>
      </w:tr>
      <w:tr>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Advance payments / prepayments</w:t>
            </w:r>
          </w:p>
        </w:tc>
        <w:tc>
          <w:tcPr>
            <w:tcW w:type="dxa" w:w="6920"/>
            <w:tcMar>
              <w:top w:type="dxa" w:w="64"/>
              <w:left w:type="dxa" w:w="110"/>
              <w:bottom w:type="dxa" w:w="64"/>
              <w:right w:type="dxa" w:w="110"/>
            </w:tcMar>
          </w:tcPr>
          <w:p>
            <w:pPr>
              <w:spacing w:after="0" w:line="250"/>
            </w:pPr>
            <w:r>
              <w:rPr>
                <w:rFonts w:ascii="Aptos" w:cs="Aptos" w:eastAsia="Aptos" w:hAnsi="Aptos"/>
                <w:color w:val="1A1A1A"/>
                <w:sz w:val="19"/>
                <w:szCs w:val="19"/>
              </w:rPr>
              <w:t xml:space="preserve">Where an advance payment creates a tax point, VAT may fall due before the final supply or final invoice. The reconciliation must consider whether an advance was received, whether VAT became due on it, whether it was already reported in a previous period, and whether the final invoice then includes amounts already accounted for.</w:t>
            </w:r>
          </w:p>
        </w:tc>
      </w:tr>
      <w:tr>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Continuous supplies</w:t>
            </w:r>
          </w:p>
        </w:tc>
        <w:tc>
          <w:tcPr>
            <w:tcW w:type="dxa" w:w="69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Telecommunications, subscriptions, leases, maintenance contracts and certain professional-service arrangements span multiple periods. The tax point follows the continuous-supply rules — invoicing, payment, instalments — not the start or end of the overall service. The auditors asked that this become an explicit business rule in the solution.</w:t>
            </w:r>
          </w:p>
        </w:tc>
      </w:tr>
      <w:tr>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Government / public-sector (Etimad)</w:t>
            </w:r>
          </w:p>
        </w:tc>
        <w:tc>
          <w:tcPr>
            <w:tcW w:type="dxa" w:w="6920"/>
            <w:tcMar>
              <w:top w:type="dxa" w:w="64"/>
              <w:left w:type="dxa" w:w="110"/>
              <w:bottom w:type="dxa" w:w="64"/>
              <w:right w:type="dxa" w:w="110"/>
            </w:tcMar>
          </w:tcPr>
          <w:p>
            <w:pPr>
              <w:spacing w:after="0" w:line="250"/>
            </w:pPr>
            <w:r>
              <w:rPr>
                <w:rFonts w:ascii="Aptos" w:cs="Aptos" w:eastAsia="Aptos" w:hAnsi="Aptos"/>
                <w:color w:val="1A1A1A"/>
                <w:sz w:val="19"/>
                <w:szCs w:val="19"/>
              </w:rPr>
              <w:t xml:space="preserve">A supplier may invoice in one period while the government approval and payment process concludes much later. Gaps of six or seven months between invoice issuance, the Etimad process and VAT recognition were cited. Comparing invoices against the return for the invoice month would incorrectly flag a discrepancy.</w:t>
            </w:r>
          </w:p>
        </w:tc>
      </w:tr>
      <w:tr>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Telecommunications vouchers</w:t>
            </w:r>
          </w:p>
        </w:tc>
        <w:tc>
          <w:tcPr>
            <w:tcW w:type="dxa" w:w="69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Prepaid voucher and top-up scenarios do not align commercial or e-invoicing activity with the point VAT becomes due; issuance, activation or redemption, consumption, expiry and reversal are distinct stages. Prepaid and postpaid may carry different timing treatments. Telecom cannot be handled by one generic invoice-date rule.</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The auditors already know these scenarios from experience and investigate them directly. That is precisely the problem described in the next point.</w:t>
      </w:r>
    </w:p>
    <w:p>
      <w:pPr>
        <w:pStyle w:val="Heading2"/>
        <w:keepNext/>
        <w:spacing w:after="120" w:before="300"/>
      </w:pPr>
      <w:r>
        <w:rPr>
          <w:rFonts w:ascii="Aptos" w:cs="Aptos" w:eastAsia="Aptos" w:hAnsi="Aptos"/>
          <w:b/>
          <w:bCs/>
          <w:color w:val="0E3F52"/>
          <w:sz w:val="25"/>
          <w:szCs w:val="25"/>
        </w:rPr>
        <w:t xml:space="preserve">3.6  Auditor knowledge is currently tacit</w:t>
      </w:r>
    </w:p>
    <w:p>
      <w:pPr>
        <w:spacing w:after="140" w:line="276"/>
      </w:pPr>
      <w:r>
        <w:rPr>
          <w:rFonts w:ascii="Aptos" w:cs="Aptos" w:eastAsia="Aptos" w:hAnsi="Aptos"/>
          <w:color w:val="1A1A1A"/>
          <w:sz w:val="21"/>
          <w:szCs w:val="21"/>
        </w:rPr>
        <w:t xml:space="preserve">One of the strongest observations was how much sits in auditors' heads. An experienced auditor immediately knows that a government transaction will not reconcile in the same period because of the payment process, or that a telecom difference may be expected because of voucher treatment. Experience, previous cases, sector knowledge, internal practices, known exceptions, lessons learned and understanding of taxpayer behaviour are extremely valuable and are not documented in a structured, reusable way.</w:t>
      </w:r>
    </w:p>
    <w:p>
      <w:pPr>
        <w:spacing w:after="140" w:line="276"/>
      </w:pPr>
      <w:r>
        <w:rPr>
          <w:rFonts w:ascii="Aptos" w:cs="Aptos" w:eastAsia="Aptos" w:hAnsi="Aptos"/>
          <w:color w:val="1A1A1A"/>
          <w:sz w:val="21"/>
          <w:szCs w:val="21"/>
        </w:rPr>
        <w:t xml:space="preserve">The auditors proposed an </w:t>
      </w:r>
      <w:r>
        <w:rPr>
          <w:rFonts w:ascii="Aptos" w:cs="Aptos" w:eastAsia="Aptos" w:hAnsi="Aptos"/>
          <w:b/>
          <w:bCs/>
          <w:color w:val="1A1A1A"/>
          <w:sz w:val="21"/>
          <w:szCs w:val="21"/>
        </w:rPr>
        <w:t xml:space="preserve">Auditor Knowledge</w:t>
      </w:r>
      <w:r>
        <w:rPr>
          <w:rFonts w:ascii="Aptos" w:cs="Aptos" w:eastAsia="Aptos" w:hAnsi="Aptos"/>
          <w:color w:val="1A1A1A"/>
          <w:sz w:val="21"/>
          <w:szCs w:val="21"/>
        </w:rPr>
        <w:t xml:space="preserve"> capability holding sector-specific rules, known reconciliation differences, common explanations for discrepancies, timing rules, known exceptions and lessons learned — with an explicit governance model: </w:t>
      </w:r>
      <w:r>
        <w:rPr>
          <w:rFonts w:ascii="Aptos" w:cs="Aptos" w:eastAsia="Aptos" w:hAnsi="Aptos"/>
          <w:b/>
          <w:bCs/>
          <w:color w:val="1A1A1A"/>
          <w:sz w:val="21"/>
          <w:szCs w:val="21"/>
        </w:rPr>
        <w:t xml:space="preserve">an auditor proposes knowledge, a designated SME validates it, and only approved knowledge becomes available to the AI.</w:t>
      </w:r>
      <w:r>
        <w:rPr>
          <w:rFonts w:ascii="Aptos" w:cs="Aptos" w:eastAsia="Aptos" w:hAnsi="Aptos"/>
          <w:color w:val="1A1A1A"/>
          <w:sz w:val="21"/>
          <w:szCs w:val="21"/>
        </w:rPr>
        <w:t xml:space="preserve"> They were clear that auditors must not be able to enter arbitrary information and have the model treat it as fact. The same concept extends to surfacing similar previous cases and how the issue was investigated before.</w:t>
      </w:r>
    </w:p>
    <w:p>
      <w:pPr>
        <w:pStyle w:val="Heading2"/>
        <w:keepNext/>
        <w:spacing w:after="120" w:before="300"/>
      </w:pPr>
      <w:r>
        <w:rPr>
          <w:rFonts w:ascii="Aptos" w:cs="Aptos" w:eastAsia="Aptos" w:hAnsi="Aptos"/>
          <w:b/>
          <w:bCs/>
          <w:color w:val="0E3F52"/>
          <w:sz w:val="25"/>
          <w:szCs w:val="25"/>
        </w:rPr>
        <w:t xml:space="preserve">3.7  Regulations: a clear RAG opportunity</w:t>
      </w:r>
    </w:p>
    <w:p>
      <w:pPr>
        <w:spacing w:after="140" w:line="276"/>
      </w:pPr>
      <w:r>
        <w:rPr>
          <w:rFonts w:ascii="Aptos" w:cs="Aptos" w:eastAsia="Aptos" w:hAnsi="Aptos"/>
          <w:color w:val="1A1A1A"/>
          <w:sz w:val="21"/>
          <w:szCs w:val="21"/>
        </w:rPr>
        <w:t xml:space="preserve">The auditors confirmed that the relevant VAT legislation, regulations and guidance are </w:t>
      </w:r>
      <w:r>
        <w:rPr>
          <w:rFonts w:ascii="Aptos" w:cs="Aptos" w:eastAsia="Aptos" w:hAnsi="Aptos"/>
          <w:b/>
          <w:bCs/>
          <w:color w:val="1A1A1A"/>
          <w:sz w:val="21"/>
          <w:szCs w:val="21"/>
        </w:rPr>
        <w:t xml:space="preserve">publicly available</w:t>
      </w:r>
      <w:r>
        <w:rPr>
          <w:rFonts w:ascii="Aptos" w:cs="Aptos" w:eastAsia="Aptos" w:hAnsi="Aptos"/>
          <w:color w:val="1A1A1A"/>
          <w:sz w:val="21"/>
          <w:szCs w:val="21"/>
        </w:rPr>
        <w:t xml:space="preserve">, and that they apply these provisions from experience once the facts are in hand — economic activities, input VAT deductibility, invoice requirements, and the VAT treatment of particular transactions. Article 50 of the VAT Implementing Regulations was cited in the context of assessing whether an expense relates to the economic activity.</w:t>
      </w:r>
    </w:p>
    <w:p>
      <w:pPr>
        <w:spacing w:after="140" w:line="276"/>
      </w:pPr>
      <w:r>
        <w:rPr>
          <w:rFonts w:ascii="Aptos" w:cs="Aptos" w:eastAsia="Aptos" w:hAnsi="Aptos"/>
          <w:color w:val="1A1A1A"/>
          <w:sz w:val="21"/>
          <w:szCs w:val="21"/>
        </w:rPr>
        <w:t xml:space="preserve">The capability they described is: </w:t>
      </w:r>
      <w:r>
        <w:rPr>
          <w:rFonts w:ascii="Aptos" w:cs="Aptos" w:eastAsia="Aptos" w:hAnsi="Aptos"/>
          <w:b/>
          <w:bCs/>
          <w:color w:val="1A1A1A"/>
          <w:sz w:val="21"/>
          <w:szCs w:val="21"/>
        </w:rPr>
        <w:t xml:space="preserve">identify potentially relevant provisions → retrieve the applicable article → explain its relevance to the issue → link the finding to the regulatory source → provide evidence for the auditor → support the auditor's assessment</w:t>
      </w:r>
      <w:r>
        <w:rPr>
          <w:rFonts w:ascii="Aptos" w:cs="Aptos" w:eastAsia="Aptos" w:hAnsi="Aptos"/>
          <w:color w:val="1A1A1A"/>
          <w:sz w:val="21"/>
          <w:szCs w:val="21"/>
        </w:rPr>
        <w:t xml:space="preserve">, with the final interpretation and decision remaining with the auditor. Section 11 sets out the retrieval strategy against this requirement.</w:t>
      </w:r>
    </w:p>
    <w:p>
      <w:pPr>
        <w:pStyle w:val="Heading2"/>
        <w:keepNext/>
        <w:spacing w:after="120" w:before="300"/>
      </w:pPr>
      <w:r>
        <w:rPr>
          <w:rFonts w:ascii="Aptos" w:cs="Aptos" w:eastAsia="Aptos" w:hAnsi="Aptos"/>
          <w:b/>
          <w:bCs/>
          <w:color w:val="0E3F52"/>
          <w:sz w:val="25"/>
          <w:szCs w:val="25"/>
        </w:rPr>
        <w:t xml:space="preserve">3.8  Where AI can help, and where human judgement is required</w:t>
      </w:r>
    </w:p>
    <w:p>
      <w:pPr>
        <w:spacing w:after="140" w:line="276"/>
      </w:pPr>
      <w:r>
        <w:rPr>
          <w:rFonts w:ascii="Aptos" w:cs="Aptos" w:eastAsia="Aptos" w:hAnsi="Aptos"/>
          <w:color w:val="1A1A1A"/>
          <w:sz w:val="21"/>
          <w:szCs w:val="21"/>
        </w:rPr>
        <w:t xml:space="preserve">The auditors set out three levels. This framing is theirs, and the solution is organised around it.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000"/>
        <w:gridCol w:w="4200"/>
        <w:gridCol w:w="2820"/>
      </w:tblGrid>
      <w:tr>
        <w:trPr>
          <w:tblHeader/>
        </w:trPr>
        <w:tc>
          <w:tcPr>
            <w:tcW w:type="dxa" w:w="20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Level</w:t>
            </w:r>
          </w:p>
        </w:tc>
        <w:tc>
          <w:tcPr>
            <w:tcW w:type="dxa" w:w="4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covers</w:t>
            </w:r>
          </w:p>
        </w:tc>
        <w:tc>
          <w:tcPr>
            <w:tcW w:type="dxa" w:w="28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Position of the AI</w:t>
            </w:r>
          </w:p>
        </w:tc>
      </w:tr>
      <w:tr>
        <w:tc>
          <w:tcPr>
            <w:tcW w:type="dxa" w:w="2000"/>
            <w:tcMar>
              <w:top w:type="dxa" w:w="64"/>
              <w:left w:type="dxa" w:w="110"/>
              <w:bottom w:type="dxa" w:w="64"/>
              <w:right w:type="dxa" w:w="110"/>
            </w:tcMar>
          </w:tcPr>
          <w:p>
            <w:pPr>
              <w:spacing w:after="60" w:line="250"/>
            </w:pPr>
            <w:r>
              <w:rPr>
                <w:rFonts w:ascii="Aptos" w:cs="Aptos" w:eastAsia="Aptos" w:hAnsi="Aptos"/>
                <w:color w:val="1A1A1A"/>
                <w:sz w:val="19"/>
                <w:szCs w:val="19"/>
              </w:rPr>
              <w:t xml:space="preserve">Level 1</w:t>
            </w:r>
          </w:p>
          <w:p>
            <w:pPr>
              <w:spacing w:after="0" w:line="250"/>
            </w:pPr>
            <w:r>
              <w:rPr>
                <w:rFonts w:ascii="Aptos" w:cs="Aptos" w:eastAsia="Aptos" w:hAnsi="Aptos"/>
                <w:color w:val="1A1A1A"/>
                <w:sz w:val="19"/>
                <w:szCs w:val="19"/>
              </w:rPr>
              <w:t xml:space="preserve">Formal / deterministic checks</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Missing documents · missing columns · empty mandatory fields · required invoice fields · duplicate invoices · basic calculations · data-entry checks · requested-versus-received comparison.</w:t>
            </w:r>
          </w:p>
        </w:tc>
        <w:tc>
          <w:tcPr>
            <w:tcW w:type="dxa" w:w="28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Automate.</w:t>
            </w:r>
            <w:r>
              <w:rPr>
                <w:rFonts w:ascii="Aptos" w:cs="Aptos" w:eastAsia="Aptos" w:hAnsi="Aptos"/>
                <w:color w:val="1A1A1A"/>
                <w:sz w:val="19"/>
                <w:szCs w:val="19"/>
              </w:rPr>
              <w:t xml:space="preserve"> These are deterministic and well suited to automation. This is where the largest, safest time saving sits.</w:t>
            </w:r>
          </w:p>
        </w:tc>
      </w:tr>
      <w:tr>
        <w:tc>
          <w:tcPr>
            <w:tcW w:type="dxa" w:w="2000"/>
            <w:shd w:fill="F1F6F8" w:color="auto" w:val="clear"/>
            <w:tcMar>
              <w:top w:type="dxa" w:w="64"/>
              <w:left w:type="dxa" w:w="110"/>
              <w:bottom w:type="dxa" w:w="64"/>
              <w:right w:type="dxa" w:w="110"/>
            </w:tcMar>
          </w:tcPr>
          <w:p>
            <w:pPr>
              <w:spacing w:after="60" w:line="250"/>
            </w:pPr>
            <w:r>
              <w:rPr>
                <w:rFonts w:ascii="Aptos" w:cs="Aptos" w:eastAsia="Aptos" w:hAnsi="Aptos"/>
                <w:color w:val="1A1A1A"/>
                <w:sz w:val="19"/>
                <w:szCs w:val="19"/>
              </w:rPr>
              <w:t xml:space="preserve">Level 2</w:t>
            </w:r>
          </w:p>
          <w:p>
            <w:pPr>
              <w:spacing w:after="0" w:line="250"/>
            </w:pPr>
            <w:r>
              <w:rPr>
                <w:rFonts w:ascii="Aptos" w:cs="Aptos" w:eastAsia="Aptos" w:hAnsi="Aptos"/>
                <w:color w:val="1A1A1A"/>
                <w:sz w:val="19"/>
                <w:szCs w:val="19"/>
              </w:rPr>
              <w:t xml:space="preserve">Analytical &amp; regulatory decision support</w:t>
            </w:r>
          </w:p>
        </w:tc>
        <w:tc>
          <w:tcPr>
            <w:tcW w:type="dxa" w:w="4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Potentially unusual transactions · potential non-compliance · applicable VAT articles · sector-specific rules · possible explanations for discrepancies · similar historical cases · hypotheses requiring investigation.</w:t>
            </w:r>
          </w:p>
        </w:tc>
        <w:tc>
          <w:tcPr>
            <w:tcW w:type="dxa" w:w="282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Support.</w:t>
            </w:r>
            <w:r>
              <w:rPr>
                <w:rFonts w:ascii="Aptos" w:cs="Aptos" w:eastAsia="Aptos" w:hAnsi="Aptos"/>
                <w:color w:val="1A1A1A"/>
                <w:sz w:val="19"/>
                <w:szCs w:val="19"/>
              </w:rPr>
              <w:t xml:space="preserve"> The AI proposes, retrieves and evidences. It does not conclude. Every proposal is tested deterministically before it reaches the auditor.</w:t>
            </w:r>
          </w:p>
        </w:tc>
      </w:tr>
      <w:tr>
        <w:tc>
          <w:tcPr>
            <w:tcW w:type="dxa" w:w="2000"/>
            <w:tcMar>
              <w:top w:type="dxa" w:w="64"/>
              <w:left w:type="dxa" w:w="110"/>
              <w:bottom w:type="dxa" w:w="64"/>
              <w:right w:type="dxa" w:w="110"/>
            </w:tcMar>
          </w:tcPr>
          <w:p>
            <w:pPr>
              <w:spacing w:after="60" w:line="250"/>
            </w:pPr>
            <w:r>
              <w:rPr>
                <w:rFonts w:ascii="Aptos" w:cs="Aptos" w:eastAsia="Aptos" w:hAnsi="Aptos"/>
                <w:color w:val="1A1A1A"/>
                <w:sz w:val="19"/>
                <w:szCs w:val="19"/>
              </w:rPr>
              <w:t xml:space="preserve">Level 3</w:t>
            </w:r>
          </w:p>
          <w:p>
            <w:pPr>
              <w:spacing w:after="0" w:line="250"/>
            </w:pPr>
            <w:r>
              <w:rPr>
                <w:rFonts w:ascii="Aptos" w:cs="Aptos" w:eastAsia="Aptos" w:hAnsi="Aptos"/>
                <w:color w:val="1A1A1A"/>
                <w:sz w:val="19"/>
                <w:szCs w:val="19"/>
              </w:rPr>
              <w:t xml:space="preserve">Professional audit judgement</w:t>
            </w:r>
          </w:p>
        </w:tc>
        <w:tc>
          <w:tcPr>
            <w:tcW w:type="dxa" w:w="4200"/>
            <w:tcMar>
              <w:top w:type="dxa" w:w="64"/>
              <w:left w:type="dxa" w:w="110"/>
              <w:bottom w:type="dxa" w:w="64"/>
              <w:right w:type="dxa" w:w="110"/>
            </w:tcMar>
          </w:tcPr>
          <w:p>
            <w:pPr>
              <w:spacing w:after="0" w:line="250"/>
            </w:pPr>
            <w:r>
              <w:rPr>
                <w:rFonts w:ascii="Aptos" w:cs="Aptos" w:eastAsia="Aptos" w:hAnsi="Aptos"/>
                <w:color w:val="1A1A1A"/>
                <w:sz w:val="19"/>
                <w:szCs w:val="19"/>
              </w:rPr>
              <w:t xml:space="preserve">Materiality · complex technical tax interpretations · whether ambiguous expenses genuinely relate to the business · assessing incomplete or contradictory evidence · complex sector-specific conclusions · final findings · final audit decision.</w:t>
            </w:r>
          </w:p>
        </w:tc>
        <w:tc>
          <w:tcPr>
            <w:tcW w:type="dxa" w:w="28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Stay out.</w:t>
            </w:r>
            <w:r>
              <w:rPr>
                <w:rFonts w:ascii="Aptos" w:cs="Aptos" w:eastAsia="Aptos" w:hAnsi="Aptos"/>
                <w:color w:val="1A1A1A"/>
                <w:sz w:val="19"/>
                <w:szCs w:val="19"/>
              </w:rPr>
              <w:t xml:space="preserve"> The auditor remains responsible for the technical conclusion. The AI supplies information and validation, never the decision.</w:t>
            </w:r>
          </w:p>
        </w:tc>
      </w:tr>
    </w:tbl>
    <w:p>
      <w:pPr>
        <w:spacing w:after="14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The positioning the auditors asked for</w:t>
            </w:r>
          </w:p>
          <w:p>
            <w:pPr>
              <w:spacing w:after="100" w:line="265"/>
            </w:pPr>
            <w:r>
              <w:rPr>
                <w:rFonts w:ascii="Aptos" w:cs="Aptos" w:eastAsia="Aptos" w:hAnsi="Aptos"/>
                <w:color w:val="1A1A1A"/>
                <w:sz w:val="20"/>
                <w:szCs w:val="20"/>
              </w:rPr>
              <w:t xml:space="preserve">The auditors strongly emphasised that the auditor must remain responsible for technical conclusions. Their preferred positioning was around </w:t>
            </w:r>
            <w:r>
              <w:rPr>
                <w:rFonts w:ascii="Aptos" w:cs="Aptos" w:eastAsia="Aptos" w:hAnsi="Aptos"/>
                <w:b/>
                <w:bCs/>
                <w:color w:val="1A1A1A"/>
                <w:sz w:val="20"/>
                <w:szCs w:val="20"/>
              </w:rPr>
              <w:t xml:space="preserve">reducing administrative work, supporting analysis, checking calculations, reviewing document completeness, retrieving regulations, drafting communications, drafting reports, and supporting decision-making.</w:t>
            </w:r>
          </w:p>
          <w:p>
            <w:pPr>
              <w:spacing w:after="0" w:line="265"/>
            </w:pPr>
            <w:r>
              <w:rPr>
                <w:rFonts w:ascii="Aptos" w:cs="Aptos" w:eastAsia="Aptos" w:hAnsi="Aptos"/>
                <w:color w:val="1A1A1A"/>
                <w:sz w:val="20"/>
                <w:szCs w:val="20"/>
              </w:rPr>
              <w:t xml:space="preserve">The appropriate positioning for the solution is therefore an </w:t>
            </w:r>
            <w:r>
              <w:rPr>
                <w:rFonts w:ascii="Aptos" w:cs="Aptos" w:eastAsia="Aptos" w:hAnsi="Aptos"/>
                <w:b/>
                <w:bCs/>
                <w:color w:val="1A1A1A"/>
                <w:sz w:val="20"/>
                <w:szCs w:val="20"/>
              </w:rPr>
              <w:t xml:space="preserve">AI Audit Copilot</w:t>
            </w:r>
            <w:r>
              <w:rPr>
                <w:rFonts w:ascii="Aptos" w:cs="Aptos" w:eastAsia="Aptos" w:hAnsi="Aptos"/>
                <w:color w:val="1A1A1A"/>
                <w:sz w:val="20"/>
                <w:szCs w:val="20"/>
              </w:rPr>
              <w:t xml:space="preserve">. The objective is not to claim that AI independently performs the VAT audit, but to reduce the work surrounding the auditor's professional judgement and to provide better information and validation, so the auditor can decide faster and on stronger evidence.</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4.  Challenges Faced by the Audit Team</w:t>
      </w:r>
    </w:p>
    <w:p>
      <w:pPr>
        <w:spacing w:after="140" w:line="276"/>
      </w:pPr>
      <w:r>
        <w:rPr>
          <w:rFonts w:ascii="Aptos" w:cs="Aptos" w:eastAsia="Aptos" w:hAnsi="Aptos"/>
          <w:color w:val="1A1A1A"/>
          <w:sz w:val="21"/>
          <w:szCs w:val="21"/>
        </w:rPr>
        <w:t xml:space="preserve">Five pain points the auditors described directly, with the concrete cost of each and the place in the solution that answers it. Each is named at the point in the system that addresses it, so the design rationale is traceable rather than asserted.</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420"/>
        <w:gridCol w:w="1900"/>
        <w:gridCol w:w="5300"/>
        <w:gridCol w:w="1400"/>
      </w:tblGrid>
      <w:tr>
        <w:trPr>
          <w:tblHeader/>
        </w:trPr>
        <w:tc>
          <w:tcPr>
            <w:tcW w:type="dxa" w:w="4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t>
            </w:r>
          </w:p>
        </w:tc>
        <w:tc>
          <w:tcPr>
            <w:tcW w:type="dxa" w:w="19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Pain point</w:t>
            </w:r>
          </w:p>
        </w:tc>
        <w:tc>
          <w:tcPr>
            <w:tcW w:type="dxa" w:w="53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costs today</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Answered in</w:t>
            </w:r>
          </w:p>
        </w:tc>
      </w:tr>
      <w:tr>
        <w:tc>
          <w:tcPr>
            <w:tcW w:type="dxa" w:w="420"/>
            <w:tcMar>
              <w:top w:type="dxa" w:w="64"/>
              <w:left w:type="dxa" w:w="110"/>
              <w:bottom w:type="dxa" w:w="64"/>
              <w:right w:type="dxa" w:w="110"/>
            </w:tcMar>
          </w:tcPr>
          <w:p>
            <w:pPr>
              <w:spacing w:after="0" w:line="250"/>
            </w:pPr>
            <w:r>
              <w:rPr>
                <w:rFonts w:ascii="Aptos" w:cs="Aptos" w:eastAsia="Aptos" w:hAnsi="Aptos"/>
                <w:color w:val="1A1A1A"/>
                <w:sz w:val="19"/>
                <w:szCs w:val="19"/>
              </w:rPr>
              <w:t xml:space="preserve">1</w:t>
            </w:r>
          </w:p>
        </w:tc>
        <w:tc>
          <w:tcPr>
            <w:tcW w:type="dxa" w:w="1900"/>
            <w:tcMar>
              <w:top w:type="dxa" w:w="64"/>
              <w:left w:type="dxa" w:w="110"/>
              <w:bottom w:type="dxa" w:w="64"/>
              <w:right w:type="dxa" w:w="110"/>
            </w:tcMar>
          </w:tcPr>
          <w:p>
            <w:pPr>
              <w:spacing w:after="0" w:line="250"/>
            </w:pPr>
            <w:r>
              <w:rPr>
                <w:rFonts w:ascii="Aptos" w:cs="Aptos" w:eastAsia="Aptos" w:hAnsi="Aptos"/>
                <w:color w:val="1A1A1A"/>
                <w:sz w:val="19"/>
                <w:szCs w:val="19"/>
              </w:rPr>
              <w:t xml:space="preserve">Months-long correspondence</w:t>
            </w:r>
          </w:p>
        </w:tc>
        <w:tc>
          <w:tcPr>
            <w:tcW w:type="dxa" w:w="5300"/>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responses can take three to four months. Each round of “you left out two columns” costs weeks, and a case can run months on correspondence alone. Work genuinely blocked on the taxpayer is indistinguishable, in most systems, from work the auditor has simply not picked up.</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§5.1 · §9</w:t>
            </w:r>
          </w:p>
        </w:tc>
      </w:tr>
      <w:tr>
        <w:tc>
          <w:tcPr>
            <w:tcW w:type="dxa" w:w="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2</w:t>
            </w:r>
          </w:p>
        </w:tc>
        <w:tc>
          <w:tcPr>
            <w:tcW w:type="dxa" w:w="19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Structure over substance</w:t>
            </w:r>
          </w:p>
        </w:tc>
        <w:tc>
          <w:tcPr>
            <w:tcW w:type="dxa" w:w="53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bulk of every response review is spent on completeness, field presence and whether totals foot — before any tax judgement is applied at all. This is the formal review, and today it is manual.</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§5.1 · §9</w:t>
            </w:r>
          </w:p>
        </w:tc>
      </w:tr>
      <w:tr>
        <w:tc>
          <w:tcPr>
            <w:tcW w:type="dxa" w:w="420"/>
            <w:tcMar>
              <w:top w:type="dxa" w:w="64"/>
              <w:left w:type="dxa" w:w="110"/>
              <w:bottom w:type="dxa" w:w="64"/>
              <w:right w:type="dxa" w:w="110"/>
            </w:tcMar>
          </w:tcPr>
          <w:p>
            <w:pPr>
              <w:spacing w:after="0" w:line="250"/>
            </w:pPr>
            <w:r>
              <w:rPr>
                <w:rFonts w:ascii="Aptos" w:cs="Aptos" w:eastAsia="Aptos" w:hAnsi="Aptos"/>
                <w:color w:val="1A1A1A"/>
                <w:sz w:val="19"/>
                <w:szCs w:val="19"/>
              </w:rPr>
              <w:t xml:space="preserve">3</w:t>
            </w:r>
          </w:p>
        </w:tc>
        <w:tc>
          <w:tcPr>
            <w:tcW w:type="dxa" w:w="1900"/>
            <w:tcMar>
              <w:top w:type="dxa" w:w="64"/>
              <w:left w:type="dxa" w:w="110"/>
              <w:bottom w:type="dxa" w:w="64"/>
              <w:right w:type="dxa" w:w="110"/>
            </w:tcMar>
          </w:tcPr>
          <w:p>
            <w:pPr>
              <w:spacing w:after="0" w:line="250"/>
            </w:pPr>
            <w:r>
              <w:rPr>
                <w:rFonts w:ascii="Aptos" w:cs="Aptos" w:eastAsia="Aptos" w:hAnsi="Aptos"/>
                <w:color w:val="1A1A1A"/>
                <w:sz w:val="19"/>
                <w:szCs w:val="19"/>
              </w:rPr>
              <w:t xml:space="preserve">Fragmented internal data</w:t>
            </w:r>
          </w:p>
        </w:tc>
        <w:tc>
          <w:tcPr>
            <w:tcW w:type="dxa" w:w="5300"/>
            <w:tcMar>
              <w:top w:type="dxa" w:w="64"/>
              <w:left w:type="dxa" w:w="110"/>
              <w:bottom w:type="dxa" w:w="64"/>
              <w:right w:type="dxa" w:w="110"/>
            </w:tcMar>
          </w:tcPr>
          <w:p>
            <w:pPr>
              <w:spacing w:after="0" w:line="250"/>
            </w:pPr>
            <w:r>
              <w:rPr>
                <w:rFonts w:ascii="Aptos" w:cs="Aptos" w:eastAsia="Aptos" w:hAnsi="Aptos"/>
                <w:color w:val="1A1A1A"/>
                <w:sz w:val="19"/>
                <w:szCs w:val="19"/>
              </w:rPr>
              <w:t xml:space="preserve">“Investigate internal data first” means opening several separate systems in turn just to know what ZATCA already holds, before any genuine gap can be identified.</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§9 · §13</w:t>
            </w:r>
          </w:p>
        </w:tc>
      </w:tr>
      <w:tr>
        <w:tc>
          <w:tcPr>
            <w:tcW w:type="dxa" w:w="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4</w:t>
            </w:r>
          </w:p>
        </w:tc>
        <w:tc>
          <w:tcPr>
            <w:tcW w:type="dxa" w:w="19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Tacit institutional knowledge</w:t>
            </w:r>
          </w:p>
        </w:tc>
        <w:tc>
          <w:tcPr>
            <w:tcW w:type="dxa" w:w="53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Regulatory interpretation, sector patterns and precedent from past cases live in individual auditors' experience, with no shared, retrievable record. Every auditor re-derives the same explanation.</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§11 · §13</w:t>
            </w:r>
          </w:p>
        </w:tc>
      </w:tr>
      <w:tr>
        <w:tc>
          <w:tcPr>
            <w:tcW w:type="dxa" w:w="420"/>
            <w:tcMar>
              <w:top w:type="dxa" w:w="64"/>
              <w:left w:type="dxa" w:w="110"/>
              <w:bottom w:type="dxa" w:w="64"/>
              <w:right w:type="dxa" w:w="110"/>
            </w:tcMar>
          </w:tcPr>
          <w:p>
            <w:pPr>
              <w:spacing w:after="0" w:line="250"/>
            </w:pPr>
            <w:r>
              <w:rPr>
                <w:rFonts w:ascii="Aptos" w:cs="Aptos" w:eastAsia="Aptos" w:hAnsi="Aptos"/>
                <w:color w:val="1A1A1A"/>
                <w:sz w:val="19"/>
                <w:szCs w:val="19"/>
              </w:rPr>
              <w:t xml:space="preserve">5</w:t>
            </w:r>
          </w:p>
        </w:tc>
        <w:tc>
          <w:tcPr>
            <w:tcW w:type="dxa" w:w="1900"/>
            <w:tcMar>
              <w:top w:type="dxa" w:w="64"/>
              <w:left w:type="dxa" w:w="110"/>
              <w:bottom w:type="dxa" w:w="64"/>
              <w:right w:type="dxa" w:w="110"/>
            </w:tcMar>
          </w:tcPr>
          <w:p>
            <w:pPr>
              <w:spacing w:after="0" w:line="250"/>
            </w:pPr>
            <w:r>
              <w:rPr>
                <w:rFonts w:ascii="Aptos" w:cs="Aptos" w:eastAsia="Aptos" w:hAnsi="Aptos"/>
                <w:color w:val="1A1A1A"/>
                <w:sz w:val="19"/>
                <w:szCs w:val="19"/>
              </w:rPr>
              <w:t xml:space="preserve">Manual arithmetic and keying risk</w:t>
            </w:r>
          </w:p>
        </w:tc>
        <w:tc>
          <w:tcPr>
            <w:tcW w:type="dxa" w:w="5300"/>
            <w:tcMar>
              <w:top w:type="dxa" w:w="64"/>
              <w:left w:type="dxa" w:w="110"/>
              <w:bottom w:type="dxa" w:w="64"/>
              <w:right w:type="dxa" w:w="110"/>
            </w:tcMar>
          </w:tcPr>
          <w:p>
            <w:pPr>
              <w:spacing w:after="0" w:line="250"/>
            </w:pPr>
            <w:r>
              <w:rPr>
                <w:rFonts w:ascii="Aptos" w:cs="Aptos" w:eastAsia="Aptos" w:hAnsi="Aptos"/>
                <w:color w:val="1A1A1A"/>
                <w:sz w:val="19"/>
                <w:szCs w:val="19"/>
              </w:rPr>
              <w:t xml:space="preserve">Calculations are re-derived by hand and taxpayer figures are taken as keyed. A transposition or a decimal shift on either side reads as under-declaration until someone notices it.</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§5.1 · §10</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5.  How AI Supports the Auditor</w:t>
      </w:r>
    </w:p>
    <w:p>
      <w:pPr>
        <w:spacing w:after="140" w:line="276"/>
      </w:pPr>
      <w:r>
        <w:rPr>
          <w:rFonts w:ascii="Aptos" w:cs="Aptos" w:eastAsia="Aptos" w:hAnsi="Aptos"/>
          <w:color w:val="1A1A1A"/>
          <w:sz w:val="21"/>
          <w:szCs w:val="21"/>
        </w:rPr>
        <w:t xml:space="preserve">The AI contributes in three places: the </w:t>
      </w:r>
      <w:r>
        <w:rPr>
          <w:rFonts w:ascii="Aptos" w:cs="Aptos" w:eastAsia="Aptos" w:hAnsi="Aptos"/>
          <w:b/>
          <w:bCs/>
          <w:color w:val="1A1A1A"/>
          <w:sz w:val="21"/>
          <w:szCs w:val="21"/>
        </w:rPr>
        <w:t xml:space="preserve">end-to-end administrative work</w:t>
      </w:r>
      <w:r>
        <w:rPr>
          <w:rFonts w:ascii="Aptos" w:cs="Aptos" w:eastAsia="Aptos" w:hAnsi="Aptos"/>
          <w:color w:val="1A1A1A"/>
          <w:sz w:val="21"/>
          <w:szCs w:val="21"/>
        </w:rPr>
        <w:t xml:space="preserve"> that surrounds an audit, the </w:t>
      </w:r>
      <w:r>
        <w:rPr>
          <w:rFonts w:ascii="Aptos" w:cs="Aptos" w:eastAsia="Aptos" w:hAnsi="Aptos"/>
          <w:b/>
          <w:bCs/>
          <w:color w:val="1A1A1A"/>
          <w:sz w:val="21"/>
          <w:szCs w:val="21"/>
        </w:rPr>
        <w:t xml:space="preserve">reconciliation</w:t>
      </w:r>
      <w:r>
        <w:rPr>
          <w:rFonts w:ascii="Aptos" w:cs="Aptos" w:eastAsia="Aptos" w:hAnsi="Aptos"/>
          <w:color w:val="1A1A1A"/>
          <w:sz w:val="21"/>
          <w:szCs w:val="21"/>
        </w:rPr>
        <w:t xml:space="preserve"> itself, and the </w:t>
      </w:r>
      <w:r>
        <w:rPr>
          <w:rFonts w:ascii="Aptos" w:cs="Aptos" w:eastAsia="Aptos" w:hAnsi="Aptos"/>
          <w:b/>
          <w:bCs/>
          <w:color w:val="1A1A1A"/>
          <w:sz w:val="21"/>
          <w:szCs w:val="21"/>
        </w:rPr>
        <w:t xml:space="preserve">next best action</w:t>
      </w:r>
      <w:r>
        <w:rPr>
          <w:rFonts w:ascii="Aptos" w:cs="Aptos" w:eastAsia="Aptos" w:hAnsi="Aptos"/>
          <w:color w:val="1A1A1A"/>
          <w:sz w:val="21"/>
          <w:szCs w:val="21"/>
        </w:rPr>
        <w:t xml:space="preserve"> that follows from it. The three are described in turn below, with an explicit statement at the end of what the AI is never permitted to do.</w:t>
      </w:r>
    </w:p>
    <w:p>
      <w:pPr>
        <w:pStyle w:val="Heading2"/>
        <w:keepNext/>
        <w:spacing w:after="120" w:before="300"/>
      </w:pPr>
      <w:r>
        <w:rPr>
          <w:rFonts w:ascii="Aptos" w:cs="Aptos" w:eastAsia="Aptos" w:hAnsi="Aptos"/>
          <w:b/>
          <w:bCs/>
          <w:color w:val="0E3F52"/>
          <w:sz w:val="25"/>
          <w:szCs w:val="25"/>
        </w:rPr>
        <w:t xml:space="preserve">5.1  The end-to-end administrative work</w:t>
      </w:r>
    </w:p>
    <w:p>
      <w:pPr>
        <w:spacing w:after="140" w:line="276"/>
      </w:pPr>
      <w:r>
        <w:rPr>
          <w:rFonts w:ascii="Aptos" w:cs="Aptos" w:eastAsia="Aptos" w:hAnsi="Aptos"/>
          <w:color w:val="1A1A1A"/>
          <w:sz w:val="21"/>
          <w:szCs w:val="21"/>
        </w:rPr>
        <w:t xml:space="preserve">This is the largest contribution, and the one the auditors asked for most directly. The administrative work of an audit is not a single step — it runs from the moment the request is drafted to the moment the report is signed. The AI supports </w:t>
      </w:r>
      <w:r>
        <w:rPr>
          <w:rFonts w:ascii="Aptos" w:cs="Aptos" w:eastAsia="Aptos" w:hAnsi="Aptos"/>
          <w:b/>
          <w:bCs/>
          <w:color w:val="1A1A1A"/>
          <w:sz w:val="21"/>
          <w:szCs w:val="21"/>
        </w:rPr>
        <w:t xml:space="preserve">every stage of that spine</w:t>
      </w:r>
      <w:r>
        <w:rPr>
          <w:rFonts w:ascii="Aptos" w:cs="Aptos" w:eastAsia="Aptos" w:hAnsi="Aptos"/>
          <w:color w:val="1A1A1A"/>
          <w:sz w:val="21"/>
          <w:szCs w:val="21"/>
        </w:rPr>
        <w:t xml:space="preserve">, and the auditor approves at each gate.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700"/>
        <w:gridCol w:w="5200"/>
        <w:gridCol w:w="2120"/>
      </w:tblGrid>
      <w:tr>
        <w:trPr>
          <w:tblHeader/>
        </w:trPr>
        <w:tc>
          <w:tcPr>
            <w:tcW w:type="dxa" w:w="1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Stage</w:t>
            </w:r>
          </w:p>
        </w:tc>
        <w:tc>
          <w:tcPr>
            <w:tcW w:type="dxa" w:w="5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AI does</w:t>
            </w:r>
          </w:p>
        </w:tc>
        <w:tc>
          <w:tcPr>
            <w:tcW w:type="dxa" w:w="21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 does</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Understand the request</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Parses the auditor's own request email into a structured, checkable specification — which documents, which columns, which period, which mandatory fields.</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Confirms or edits the parsed specification before it is used.</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Check the response</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Tests the uploaded spreadsheets against that specification: missing documents, missing columns, blank mandatory fields, period coverage, and totals that do not foot. Reports exactly what is absent.</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the completeness result; decides whether it is sufficient to proceed.</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Chase what is missing</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Drafts the follow-up communication from the identified gaps alone — information requested, information received, what remains outstanding, and the proposed follow-up.</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edits and approves the draft before it is sent.</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Track the case</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Maintains the lifecycle state — request sent date, documents received date, completeness status, reminder count, last reminder date, days overdue, non-cooperation status — and keeps “waiting on the taxpayer” distinct from “waiting on the auditor”. Completeness is rechecked automatically on every new document.</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Works the queue; decides when to escalate.</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Prioritise the queue</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Ranks cases on a composite of exposure, deadline, taxpayer history and quick-win potential, so the list has a defensible order rather than an arbitrary one.</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Agrees the methodology; overrides the order where judgement requires it.</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Validate calculations</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Independently re-derives figures the auditor keyed in by hand. The auditor describes their method in plain language — “I summed the VAT column, excluding January” — a model translates that sentence into a structured query, and deterministic Python executes it and produces the number. If ten invoices total SAR 1,000 and the auditor recorded SAR 900, the discrepancy is surfaced.</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Investigates the discrepancy; the AI never adjusts the figure.</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Catch data-entry errors</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Screens taxpayer-supplied data for decimal shifts, transpositions, out-of-character magnitudes, mathematical inconsistencies, abnormal values, missing values and unexpected relationships between fields — keying errors that would otherwise read as under-declaration.</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Decides whether an anomaly is an error or a finding.</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Detect duplicates</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Flags the same invoice number appearing more than once, the same invoice apparently used more than once for input VAT deduction, duplicated key invoice information, and missing required invoice fields. These are deterministic checks, well suited to automation.</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Confirms the duplicate and its treatment.</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 the report</w:t>
            </w:r>
          </w:p>
        </w:tc>
        <w:tc>
          <w:tcPr>
            <w:tcW w:type="dxa" w:w="5200"/>
            <w:tcMar>
              <w:top w:type="dxa" w:w="64"/>
              <w:left w:type="dxa" w:w="110"/>
              <w:bottom w:type="dxa" w:w="64"/>
              <w:right w:type="dxa" w:w="110"/>
            </w:tcMar>
          </w:tcPr>
          <w:p>
            <w:pPr>
              <w:spacing w:after="0" w:line="250"/>
            </w:pPr>
            <w:r>
              <w:rPr>
                <w:rFonts w:ascii="Aptos" w:cs="Aptos" w:eastAsia="Aptos" w:hAnsi="Aptos"/>
                <w:color w:val="1A1A1A"/>
                <w:sz w:val="19"/>
                <w:szCs w:val="19"/>
              </w:rPr>
              <w:t xml:space="preserve">Consolidates validated findings into a structured audit report, drafted section by section in the Authority's own template order and streamed to the screen as it is written. A field the case cannot answer is labelled honestly — “[not held]”, “[for the auditor to complete]” — rather than guessed.</w:t>
            </w:r>
          </w:p>
        </w:tc>
        <w:tc>
          <w:tcPr>
            <w:tcW w:type="dxa" w:w="2120"/>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completes and approves the report.</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 the taxpayer letter</w:t>
            </w:r>
          </w:p>
        </w:tc>
        <w:tc>
          <w:tcPr>
            <w:tcW w:type="dxa" w:w="5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Drafts the information request, the follow-up chase and the outcome / verdict letter. Every numeral in a draft must already appear in the engine's own facts block — the model may repeat a figure it was handed, never introduce one.</w:t>
            </w:r>
          </w:p>
        </w:tc>
        <w:tc>
          <w:tcPr>
            <w:tcW w:type="dxa" w:w="21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Reviews and approves before anything is sent.</w:t>
            </w:r>
          </w:p>
        </w:tc>
      </w:tr>
    </w:tbl>
    <w:p>
      <w:pPr>
        <w:spacing w:after="130"/>
      </w:pPr>
      <w:r>
        <w:rPr>
          <w:sz w:val="6"/>
          <w:szCs w:val="6"/>
        </w:rPr>
        <w:t xml:space="preserve"/>
      </w:r>
    </w:p>
    <w:p>
      <w:pPr>
        <w:spacing w:after="140" w:line="276"/>
      </w:pPr>
      <w:r>
        <w:rPr>
          <w:rFonts w:ascii="Aptos" w:cs="Aptos" w:eastAsia="Aptos" w:hAnsi="Aptos"/>
          <w:color w:val="1A1A1A"/>
          <w:sz w:val="21"/>
          <w:szCs w:val="21"/>
        </w:rPr>
        <w:t xml:space="preserve">Every one of these is a </w:t>
      </w:r>
      <w:r>
        <w:rPr>
          <w:rFonts w:ascii="Aptos" w:cs="Aptos" w:eastAsia="Aptos" w:hAnsi="Aptos"/>
          <w:b/>
          <w:bCs/>
          <w:color w:val="1A1A1A"/>
          <w:sz w:val="21"/>
          <w:szCs w:val="21"/>
        </w:rPr>
        <w:t xml:space="preserve">Level 1</w:t>
      </w:r>
      <w:r>
        <w:rPr>
          <w:rFonts w:ascii="Aptos" w:cs="Aptos" w:eastAsia="Aptos" w:hAnsi="Aptos"/>
          <w:color w:val="1A1A1A"/>
          <w:sz w:val="21"/>
          <w:szCs w:val="21"/>
        </w:rPr>
        <w:t xml:space="preserve"> activity in the auditors' own framing, or a Level 2 activity delivered with a deterministic check behind it. None of them asks the auditor to trust an AI-authored conclusion.</w:t>
      </w:r>
    </w:p>
    <w:p>
      <w:pPr>
        <w:pStyle w:val="Heading2"/>
        <w:keepNext/>
        <w:spacing w:after="120" w:before="300"/>
      </w:pPr>
      <w:r>
        <w:rPr>
          <w:rFonts w:ascii="Aptos" w:cs="Aptos" w:eastAsia="Aptos" w:hAnsi="Aptos"/>
          <w:b/>
          <w:bCs/>
          <w:color w:val="0E3F52"/>
          <w:sz w:val="25"/>
          <w:szCs w:val="25"/>
        </w:rPr>
        <w:t xml:space="preserve">5.2  The reconciliation</w:t>
      </w:r>
    </w:p>
    <w:p>
      <w:pPr>
        <w:spacing w:after="140" w:line="276"/>
      </w:pPr>
      <w:r>
        <w:rPr>
          <w:rFonts w:ascii="Aptos" w:cs="Aptos" w:eastAsia="Aptos" w:hAnsi="Aptos"/>
          <w:color w:val="1A1A1A"/>
          <w:sz w:val="21"/>
          <w:szCs w:val="21"/>
        </w:rPr>
        <w:t xml:space="preserve">The reconciliation is the technical core. It is built on the auditors' own principle: </w:t>
      </w:r>
      <w:r>
        <w:rPr>
          <w:rFonts w:ascii="Aptos" w:cs="Aptos" w:eastAsia="Aptos" w:hAnsi="Aptos"/>
          <w:b/>
          <w:bCs/>
          <w:color w:val="1A1A1A"/>
          <w:sz w:val="21"/>
          <w:szCs w:val="21"/>
        </w:rPr>
        <w:t xml:space="preserve">the sum of e-invoices does not equal the VAT return, and a difference is not a finding.</w:t>
      </w:r>
      <w:r>
        <w:rPr>
          <w:rFonts w:ascii="Aptos" w:cs="Aptos" w:eastAsia="Aptos" w:hAnsi="Aptos"/>
          <w:color w:val="1A1A1A"/>
          <w:sz w:val="21"/>
          <w:szCs w:val="21"/>
        </w:rPr>
        <w:t xml:space="preserve"> The engine therefore does not compare totals — it qualifies lines, sums the qualifying ones, and then explains the difference rule by rule until only a genuine residual remains.</w:t>
      </w:r>
    </w:p>
    <w:p>
      <w:pPr>
        <w:pStyle w:val="Heading3"/>
        <w:keepNext/>
        <w:spacing w:after="100" w:before="220"/>
      </w:pPr>
      <w:r>
        <w:rPr>
          <w:rFonts w:ascii="Aptos" w:cs="Aptos" w:eastAsia="Aptos" w:hAnsi="Aptos"/>
          <w:b/>
          <w:bCs/>
          <w:color w:val="44546A"/>
          <w:sz w:val="22"/>
          <w:szCs w:val="22"/>
        </w:rPr>
        <w:t xml:space="preserve">How a box is reconciled</w:t>
      </w:r>
    </w:p>
    <w:p>
      <w:pPr>
        <w:pStyle w:val="ListParagraph"/>
        <w:numPr>
          <w:ilvl w:val="0"/>
          <w:numId w:val="3"/>
        </w:numPr>
        <w:spacing w:after="70" w:line="270"/>
      </w:pPr>
      <w:r>
        <w:rPr>
          <w:rFonts w:ascii="Aptos" w:cs="Aptos" w:eastAsia="Aptos" w:hAnsi="Aptos"/>
          <w:b/>
          <w:bCs/>
          <w:color w:val="1A1A1A"/>
          <w:sz w:val="21"/>
          <w:szCs w:val="21"/>
        </w:rPr>
        <w:t xml:space="preserve">Qualify.</w:t>
      </w:r>
      <w:r>
        <w:rPr>
          <w:rFonts w:ascii="Aptos" w:cs="Aptos" w:eastAsia="Aptos" w:hAnsi="Aptos"/>
          <w:color w:val="1A1A1A"/>
          <w:sz w:val="21"/>
          <w:szCs w:val="21"/>
        </w:rPr>
        <w:t xml:space="preserve"> Every uploaded line is tested for whether it belongs to this VAT box, this rate, this direction and this period. Qualification is a rule, not a filter on a date column.</w:t>
      </w:r>
    </w:p>
    <w:p>
      <w:pPr>
        <w:pStyle w:val="ListParagraph"/>
        <w:numPr>
          <w:ilvl w:val="0"/>
          <w:numId w:val="3"/>
        </w:numPr>
        <w:spacing w:after="70" w:line="270"/>
      </w:pPr>
      <w:r>
        <w:rPr>
          <w:rFonts w:ascii="Aptos" w:cs="Aptos" w:eastAsia="Aptos" w:hAnsi="Aptos"/>
          <w:b/>
          <w:bCs/>
          <w:color w:val="1A1A1A"/>
          <w:sz w:val="21"/>
          <w:szCs w:val="21"/>
        </w:rPr>
        <w:t xml:space="preserve">Sum.</w:t>
      </w:r>
      <w:r>
        <w:rPr>
          <w:rFonts w:ascii="Aptos" w:cs="Aptos" w:eastAsia="Aptos" w:hAnsi="Aptos"/>
          <w:color w:val="1A1A1A"/>
          <w:sz w:val="21"/>
          <w:szCs w:val="21"/>
        </w:rPr>
        <w:t xml:space="preserve"> The qualifying lines are aggregated into an expected figure for the box.</w:t>
      </w:r>
    </w:p>
    <w:p>
      <w:pPr>
        <w:pStyle w:val="ListParagraph"/>
        <w:numPr>
          <w:ilvl w:val="0"/>
          <w:numId w:val="3"/>
        </w:numPr>
        <w:spacing w:after="70" w:line="270"/>
      </w:pPr>
      <w:r>
        <w:rPr>
          <w:rFonts w:ascii="Aptos" w:cs="Aptos" w:eastAsia="Aptos" w:hAnsi="Aptos"/>
          <w:b/>
          <w:bCs/>
          <w:color w:val="1A1A1A"/>
          <w:sz w:val="21"/>
          <w:szCs w:val="21"/>
        </w:rPr>
        <w:t xml:space="preserve">Compare.</w:t>
      </w:r>
      <w:r>
        <w:rPr>
          <w:rFonts w:ascii="Aptos" w:cs="Aptos" w:eastAsia="Aptos" w:hAnsi="Aptos"/>
          <w:color w:val="1A1A1A"/>
          <w:sz w:val="21"/>
          <w:szCs w:val="21"/>
        </w:rPr>
        <w:t xml:space="preserve"> Expected is compared against what the taxpayer declared.</w:t>
      </w:r>
    </w:p>
    <w:p>
      <w:pPr>
        <w:pStyle w:val="ListParagraph"/>
        <w:numPr>
          <w:ilvl w:val="0"/>
          <w:numId w:val="3"/>
        </w:numPr>
        <w:spacing w:after="70" w:line="270"/>
      </w:pPr>
      <w:r>
        <w:rPr>
          <w:rFonts w:ascii="Aptos" w:cs="Aptos" w:eastAsia="Aptos" w:hAnsi="Aptos"/>
          <w:b/>
          <w:bCs/>
          <w:color w:val="1A1A1A"/>
          <w:sz w:val="21"/>
          <w:szCs w:val="21"/>
        </w:rPr>
        <w:t xml:space="preserve">Explain.</w:t>
      </w:r>
      <w:r>
        <w:rPr>
          <w:rFonts w:ascii="Aptos" w:cs="Aptos" w:eastAsia="Aptos" w:hAnsi="Aptos"/>
          <w:color w:val="1A1A1A"/>
          <w:sz w:val="21"/>
          <w:szCs w:val="21"/>
        </w:rPr>
        <w:t xml:space="preserve"> Each legitimate reason for the difference is applied in turn as a named, coded rule — credit notes, tax-point straddle timing, auditor-confirmed taxpayer evidence, per-invoice rounding — each one moving the difference and each one leaving an audit trail.</w:t>
      </w:r>
    </w:p>
    <w:p>
      <w:pPr>
        <w:pStyle w:val="ListParagraph"/>
        <w:numPr>
          <w:ilvl w:val="0"/>
          <w:numId w:val="3"/>
        </w:numPr>
        <w:spacing w:after="70" w:line="270"/>
      </w:pPr>
      <w:r>
        <w:rPr>
          <w:rFonts w:ascii="Aptos" w:cs="Aptos" w:eastAsia="Aptos" w:hAnsi="Aptos"/>
          <w:b/>
          <w:bCs/>
          <w:color w:val="1A1A1A"/>
          <w:sz w:val="21"/>
          <w:szCs w:val="21"/>
        </w:rPr>
        <w:t xml:space="preserve">Band.</w:t>
      </w:r>
      <w:r>
        <w:rPr>
          <w:rFonts w:ascii="Aptos" w:cs="Aptos" w:eastAsia="Aptos" w:hAnsi="Aptos"/>
          <w:color w:val="1A1A1A"/>
          <w:sz w:val="21"/>
          <w:szCs w:val="21"/>
        </w:rPr>
        <w:t xml:space="preserve"> What remains after every rule has had its say is the residual, banded against materiality — the greater of SAR 1,000 or 0.5% of the box. Inside materiality, the case is done.</w:t>
      </w:r>
    </w:p>
    <w:p>
      <w:pPr>
        <w:pStyle w:val="ListParagraph"/>
        <w:numPr>
          <w:ilvl w:val="0"/>
          <w:numId w:val="3"/>
        </w:numPr>
        <w:spacing w:after="70" w:line="270"/>
      </w:pPr>
      <w:r>
        <w:rPr>
          <w:rFonts w:ascii="Aptos" w:cs="Aptos" w:eastAsia="Aptos" w:hAnsi="Aptos"/>
          <w:b/>
          <w:bCs/>
          <w:color w:val="1A1A1A"/>
          <w:sz w:val="21"/>
          <w:szCs w:val="21"/>
        </w:rPr>
        <w:t xml:space="preserve">Investigate.</w:t>
      </w:r>
      <w:r>
        <w:rPr>
          <w:rFonts w:ascii="Aptos" w:cs="Aptos" w:eastAsia="Aptos" w:hAnsi="Aptos"/>
          <w:color w:val="1A1A1A"/>
          <w:sz w:val="21"/>
          <w:szCs w:val="21"/>
        </w:rPr>
        <w:t xml:space="preserve"> Only what remains material and unexplained goes to the four agents (Section 10).</w:t>
      </w:r>
    </w:p>
    <w:p>
      <w:pPr>
        <w:spacing w:after="80"/>
      </w:pPr>
      <w:r>
        <w:rPr>
          <w:sz w:val="6"/>
          <w:szCs w:val="6"/>
        </w:rPr>
        <w:t xml:space="preserve"/>
      </w:r>
    </w:p>
    <w:p>
      <w:pPr>
        <w:spacing w:after="140" w:line="276"/>
      </w:pPr>
      <w:r>
        <w:rPr>
          <w:rFonts w:ascii="Aptos" w:cs="Aptos" w:eastAsia="Aptos" w:hAnsi="Aptos"/>
          <w:color w:val="1A1A1A"/>
          <w:sz w:val="21"/>
          <w:szCs w:val="21"/>
        </w:rPr>
        <w:t xml:space="preserve">The result is a </w:t>
      </w:r>
      <w:r>
        <w:rPr>
          <w:rFonts w:ascii="Aptos" w:cs="Aptos" w:eastAsia="Aptos" w:hAnsi="Aptos"/>
          <w:b/>
          <w:bCs/>
          <w:color w:val="1A1A1A"/>
          <w:sz w:val="21"/>
          <w:szCs w:val="21"/>
        </w:rPr>
        <w:t xml:space="preserve">bridge</w:t>
      </w:r>
      <w:r>
        <w:rPr>
          <w:rFonts w:ascii="Aptos" w:cs="Aptos" w:eastAsia="Aptos" w:hAnsi="Aptos"/>
          <w:color w:val="1A1A1A"/>
          <w:sz w:val="21"/>
          <w:szCs w:val="21"/>
        </w:rPr>
        <w:t xml:space="preserve">: a line-by-line walk from what was declared to what the records support, in which every step names its rule and its effect. That is what makes a finding defensible to a taxpayer — the auditor can point at each step and say where it came from.</w:t>
      </w:r>
    </w:p>
    <w:p>
      <w:pPr>
        <w:spacing w:after="60"/>
      </w:pPr>
      <w:r>
        <w:rPr>
          <w:sz w:val="6"/>
          <w:szCs w:val="6"/>
        </w:rPr>
        <w:t xml:space="preserve"/>
      </w:r>
    </w:p>
    <w:p>
      <w:pPr>
        <w:spacing w:after="140" w:line="276"/>
      </w:pPr>
      <w:r>
        <w:rPr>
          <w:rFonts w:ascii="Aptos" w:cs="Aptos" w:eastAsia="Aptos" w:hAnsi="Aptos"/>
          <w:b/>
          <w:bCs/>
          <w:color w:val="1A1A1A"/>
          <w:sz w:val="21"/>
          <w:szCs w:val="21"/>
        </w:rPr>
        <w:t xml:space="preserve">Coverage.</w:t>
      </w:r>
      <w:r>
        <w:rPr>
          <w:rFonts w:ascii="Aptos" w:cs="Aptos" w:eastAsia="Aptos" w:hAnsi="Aptos"/>
          <w:color w:val="1A1A1A"/>
          <w:sz w:val="21"/>
          <w:szCs w:val="21"/>
        </w:rPr>
        <w:t xml:space="preserve"> Both the output side (standard-rated sales) and the input side (standard-rated purchases) are reconstructed as separate bridges using the same machinery. Zero-rated domestic sales are reconciled as a third box. Imports, reverse charge, prior-period corrections and rounding are handled as described in Section 6.</w:t>
      </w:r>
    </w:p>
    <w:p>
      <w:pPr>
        <w:spacing w:after="60"/>
      </w:pPr>
      <w:r>
        <w:rPr>
          <w:sz w:val="6"/>
          <w:szCs w:val="6"/>
        </w:rPr>
        <w:t xml:space="preserve"/>
      </w:r>
    </w:p>
    <w:p>
      <w:pPr>
        <w:spacing w:after="140" w:line="276"/>
      </w:pPr>
      <w:r>
        <w:rPr>
          <w:rFonts w:ascii="Aptos" w:cs="Aptos" w:eastAsia="Aptos" w:hAnsi="Aptos"/>
          <w:b/>
          <w:bCs/>
          <w:color w:val="1A1A1A"/>
          <w:sz w:val="21"/>
          <w:szCs w:val="21"/>
        </w:rPr>
        <w:t xml:space="preserve">Timing is the known gap.</w:t>
      </w:r>
      <w:r>
        <w:rPr>
          <w:rFonts w:ascii="Aptos" w:cs="Aptos" w:eastAsia="Aptos" w:hAnsi="Aptos"/>
          <w:color w:val="1A1A1A"/>
          <w:sz w:val="21"/>
          <w:szCs w:val="21"/>
        </w:rPr>
        <w:t xml:space="preserve"> The engine currently approximates the tax point as the invoice issue date, using the delivery date only for the period-straddle test. The auditors' four scenarios — advance payments, continuous supplies, government/Etimad, and telecom vouchers — are exactly where that approximation breaks. Four candidate corrections are drafted and awaiting verification against the official ZATCA source documents; Section 13 sets them out in detail. This is stated plainly because it is the single most consequential simplification in the solution.</w:t>
      </w:r>
    </w:p>
    <w:p>
      <w:pPr>
        <w:pStyle w:val="Heading2"/>
        <w:keepNext/>
        <w:spacing w:after="120" w:before="300"/>
      </w:pPr>
      <w:r>
        <w:rPr>
          <w:rFonts w:ascii="Aptos" w:cs="Aptos" w:eastAsia="Aptos" w:hAnsi="Aptos"/>
          <w:b/>
          <w:bCs/>
          <w:color w:val="0E3F52"/>
          <w:sz w:val="25"/>
          <w:szCs w:val="25"/>
        </w:rPr>
        <w:t xml:space="preserve">5.3  The next best action</w:t>
      </w:r>
    </w:p>
    <w:p>
      <w:pPr>
        <w:spacing w:after="140" w:line="276"/>
      </w:pPr>
      <w:r>
        <w:rPr>
          <w:rFonts w:ascii="Aptos" w:cs="Aptos" w:eastAsia="Aptos" w:hAnsi="Aptos"/>
          <w:color w:val="1A1A1A"/>
          <w:sz w:val="21"/>
          <w:szCs w:val="21"/>
        </w:rPr>
        <w:t xml:space="preserve">When a material difference survives the bridge, the question stops being “what is the number?” and becomes “what should the auditor do now?”. This is where the solution moves from analysis to genuine decision support.</w:t>
      </w:r>
    </w:p>
    <w:p>
      <w:pPr>
        <w:spacing w:after="140" w:line="276"/>
      </w:pPr>
      <w:r>
        <w:rPr>
          <w:rFonts w:ascii="Aptos" w:cs="Aptos" w:eastAsia="Aptos" w:hAnsi="Aptos"/>
          <w:color w:val="1A1A1A"/>
          <w:sz w:val="21"/>
          <w:szCs w:val="21"/>
        </w:rPr>
        <w:t xml:space="preserve">The next best action is a dedicated, schema-validated AI call that decides </w:t>
      </w:r>
      <w:r>
        <w:rPr>
          <w:rFonts w:ascii="Aptos" w:cs="Aptos" w:eastAsia="Aptos" w:hAnsi="Aptos"/>
          <w:b/>
          <w:bCs/>
          <w:color w:val="1A1A1A"/>
          <w:sz w:val="21"/>
          <w:szCs w:val="21"/>
        </w:rPr>
        <w:t xml:space="preserve">the single, minimal piece of evidence that would confirm or clear the case.</w:t>
      </w:r>
      <w:r>
        <w:rPr>
          <w:rFonts w:ascii="Aptos" w:cs="Aptos" w:eastAsia="Aptos" w:hAnsi="Aptos"/>
          <w:color w:val="1A1A1A"/>
          <w:sz w:val="21"/>
          <w:szCs w:val="21"/>
        </w:rPr>
        <w:t xml:space="preserve"> It is not a canned message, and it is not a list of everything that could conceivably be requested. It is grounded in three inputs: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500"/>
        <w:gridCol w:w="6520"/>
      </w:tblGrid>
      <w:tr>
        <w:trPr>
          <w:tblHeader/>
        </w:trPr>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Input</w:t>
            </w:r>
          </w:p>
        </w:tc>
        <w:tc>
          <w:tcPr>
            <w:tcW w:type="dxa" w:w="6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contributes</w:t>
            </w:r>
          </w:p>
        </w:tc>
      </w:tr>
      <w:tr>
        <w:tc>
          <w:tcPr>
            <w:tcW w:type="dxa" w:w="2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engine's computed state</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Declared, expected, difference, which rules fired and for how much, what residual remains, and whether that residual is material. All computed deterministically, before any model is called. If the case is already immaterial, the engine overrides the recommendation outright — the AI is never asked to recommend action on a case that needs none.</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adjudicated agent findings</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four agents (Section 10) propose what could explain the residual; a deterministic adjudicator executes each proposed test against the data and returns confirmed, rejected, or insufficient evidence, with an amount and a named evidentiary basis. The recommendation follows the surviving hypotheses, not the proposed ones.</w:t>
            </w:r>
          </w:p>
        </w:tc>
      </w:tr>
      <w:tr>
        <w:tc>
          <w:tcPr>
            <w:tcW w:type="dxa" w:w="2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over the governed rule corpus (RAG)</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rules that actually fired on this case are retrieved from the structured rule corpus and placed in the model's context, so the recommendation is framed against the rule that applies rather than against a general impression. Section 11 sets out what is retrieved today and what the next phase adds.</w:t>
            </w:r>
          </w:p>
        </w:tc>
      </w:tr>
    </w:tbl>
    <w:p>
      <w:pPr>
        <w:spacing w:after="130"/>
      </w:pPr>
      <w:r>
        <w:rPr>
          <w:sz w:val="6"/>
          <w:szCs w:val="6"/>
        </w:rPr>
        <w:t xml:space="preserve"/>
      </w:r>
    </w:p>
    <w:p>
      <w:pPr>
        <w:spacing w:after="140" w:line="276"/>
      </w:pPr>
      <w:r>
        <w:rPr>
          <w:rFonts w:ascii="Aptos" w:cs="Aptos" w:eastAsia="Aptos" w:hAnsi="Aptos"/>
          <w:color w:val="1A1A1A"/>
          <w:sz w:val="21"/>
          <w:szCs w:val="21"/>
        </w:rPr>
        <w:t xml:space="preserve">The output is checked against the engine's own state before it is displayed, and any figure it references is a placeholder token the engine substitutes with its exact value. The recommendation is </w:t>
      </w:r>
      <w:r>
        <w:rPr>
          <w:rFonts w:ascii="Aptos" w:cs="Aptos" w:eastAsia="Aptos" w:hAnsi="Aptos"/>
          <w:b/>
          <w:bCs/>
          <w:color w:val="1A1A1A"/>
          <w:sz w:val="21"/>
          <w:szCs w:val="21"/>
        </w:rPr>
        <w:t xml:space="preserve">support, not instruction</w:t>
      </w:r>
      <w:r>
        <w:rPr>
          <w:rFonts w:ascii="Aptos" w:cs="Aptos" w:eastAsia="Aptos" w:hAnsi="Aptos"/>
          <w:color w:val="1A1A1A"/>
          <w:sz w:val="21"/>
          <w:szCs w:val="21"/>
        </w:rPr>
        <w:t xml:space="preserve"> — the auditor decides whether to act on it, and the audit decision remains theirs.</w:t>
      </w:r>
    </w:p>
    <w:p>
      <w:pPr>
        <w:pStyle w:val="Heading2"/>
        <w:keepNext/>
        <w:spacing w:after="120" w:before="300"/>
      </w:pPr>
      <w:r>
        <w:rPr>
          <w:rFonts w:ascii="Aptos" w:cs="Aptos" w:eastAsia="Aptos" w:hAnsi="Aptos"/>
          <w:b/>
          <w:bCs/>
          <w:color w:val="0E3F52"/>
          <w:sz w:val="25"/>
          <w:szCs w:val="25"/>
        </w:rPr>
        <w:t xml:space="preserve">5.4  What the AI is never permitted to do</w:t>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100" w:line="265"/>
            </w:pPr>
            <w:r>
              <w:rPr>
                <w:rFonts w:ascii="Aptos" w:cs="Aptos" w:eastAsia="Aptos" w:hAnsi="Aptos"/>
                <w:b/>
                <w:bCs/>
                <w:color w:val="1A1A1A"/>
                <w:sz w:val="20"/>
                <w:szCs w:val="20"/>
              </w:rPr>
              <w:t xml:space="preserve">It never states a number.</w:t>
            </w:r>
            <w:r>
              <w:rPr>
                <w:rFonts w:ascii="Aptos" w:cs="Aptos" w:eastAsia="Aptos" w:hAnsi="Aptos"/>
                <w:color w:val="1A1A1A"/>
                <w:sz w:val="20"/>
                <w:szCs w:val="20"/>
              </w:rPr>
              <w:t xml:space="preserve"> Every figure that reaches a report is computed by deterministic Python. Models emit placeholder tokens; the engine substitutes its exact values.</w:t>
            </w:r>
          </w:p>
          <w:p>
            <w:pPr>
              <w:spacing w:after="100" w:line="265"/>
            </w:pPr>
            <w:r>
              <w:rPr>
                <w:rFonts w:ascii="Aptos" w:cs="Aptos" w:eastAsia="Aptos" w:hAnsi="Aptos"/>
                <w:b/>
                <w:bCs/>
                <w:color w:val="1A1A1A"/>
                <w:sz w:val="20"/>
                <w:szCs w:val="20"/>
              </w:rPr>
              <w:t xml:space="preserve">It never concludes.</w:t>
            </w:r>
            <w:r>
              <w:rPr>
                <w:rFonts w:ascii="Aptos" w:cs="Aptos" w:eastAsia="Aptos" w:hAnsi="Aptos"/>
                <w:color w:val="1A1A1A"/>
                <w:sz w:val="20"/>
                <w:szCs w:val="20"/>
              </w:rPr>
              <w:t xml:space="preserve"> Agents propose in language only — a claim and a typed test specification. A deterministic adjudicator decides what is true.</w:t>
            </w:r>
          </w:p>
          <w:p>
            <w:pPr>
              <w:spacing w:after="100" w:line="265"/>
            </w:pPr>
            <w:r>
              <w:rPr>
                <w:rFonts w:ascii="Aptos" w:cs="Aptos" w:eastAsia="Aptos" w:hAnsi="Aptos"/>
                <w:b/>
                <w:bCs/>
                <w:color w:val="1A1A1A"/>
                <w:sz w:val="20"/>
                <w:szCs w:val="20"/>
              </w:rPr>
              <w:t xml:space="preserve">It never asserts without a basis.</w:t>
            </w:r>
            <w:r>
              <w:rPr>
                <w:rFonts w:ascii="Aptos" w:cs="Aptos" w:eastAsia="Aptos" w:hAnsi="Aptos"/>
                <w:color w:val="1A1A1A"/>
                <w:sz w:val="20"/>
                <w:szCs w:val="20"/>
              </w:rPr>
              <w:t xml:space="preserve"> Every confirmed hypothesis carries a named evidentiary basis attached by the adjudicator, not inferred from the test name.</w:t>
            </w:r>
          </w:p>
          <w:p>
            <w:pPr>
              <w:spacing w:after="100" w:line="265"/>
            </w:pPr>
            <w:r>
              <w:rPr>
                <w:rFonts w:ascii="Aptos" w:cs="Aptos" w:eastAsia="Aptos" w:hAnsi="Aptos"/>
                <w:b/>
                <w:bCs/>
                <w:color w:val="1A1A1A"/>
                <w:sz w:val="20"/>
                <w:szCs w:val="20"/>
              </w:rPr>
              <w:t xml:space="preserve">It never goes unverified.</w:t>
            </w:r>
            <w:r>
              <w:rPr>
                <w:rFonts w:ascii="Aptos" w:cs="Aptos" w:eastAsia="Aptos" w:hAnsi="Aptos"/>
                <w:color w:val="1A1A1A"/>
                <w:sz w:val="20"/>
                <w:szCs w:val="20"/>
              </w:rPr>
              <w:t xml:space="preserve"> Every drafted sentence is checked against engine facts before display, with a corrective retry and then an honest deterministic fallback carrying a status badge.</w:t>
            </w:r>
          </w:p>
          <w:p>
            <w:pPr>
              <w:spacing w:after="0" w:line="265"/>
            </w:pPr>
            <w:r>
              <w:rPr>
                <w:rFonts w:ascii="Aptos" w:cs="Aptos" w:eastAsia="Aptos" w:hAnsi="Aptos"/>
                <w:b/>
                <w:bCs/>
                <w:color w:val="1A1A1A"/>
                <w:sz w:val="20"/>
                <w:szCs w:val="20"/>
              </w:rPr>
              <w:t xml:space="preserve">It never decides the audit.</w:t>
            </w:r>
            <w:r>
              <w:rPr>
                <w:rFonts w:ascii="Aptos" w:cs="Aptos" w:eastAsia="Aptos" w:hAnsi="Aptos"/>
                <w:color w:val="1A1A1A"/>
                <w:sz w:val="20"/>
                <w:szCs w:val="20"/>
              </w:rPr>
              <w:t xml:space="preserve"> Materiality, technical interpretation, contradictory evidence and the final finding are Level 3 — the auditor's, throughout.</w:t>
            </w:r>
          </w:p>
        </w:tc>
      </w:tr>
    </w:tbl>
    <w:p>
      <w:pPr>
        <w:spacing w:after="110"/>
      </w:pPr>
      <w:r>
        <w:rPr>
          <w:sz w:val="6"/>
          <w:szCs w:val="6"/>
        </w:rPr>
        <w:t xml:space="preserve"/>
      </w:r>
    </w:p>
    <w:p>
      <w:pPr>
        <w:spacing w:after="140" w:line="276"/>
      </w:pPr>
      <w:r>
        <w:rPr>
          <w:rFonts w:ascii="Aptos" w:cs="Aptos" w:eastAsia="Aptos" w:hAnsi="Aptos"/>
          <w:color w:val="1A1A1A"/>
          <w:sz w:val="21"/>
          <w:szCs w:val="21"/>
        </w:rPr>
        <w:t xml:space="preserve">One deliberate exception exists and is disclosed: the </w:t>
      </w:r>
      <w:r>
        <w:rPr>
          <w:rFonts w:ascii="Aptos" w:cs="Aptos" w:eastAsia="Aptos" w:hAnsi="Aptos"/>
          <w:b/>
          <w:bCs/>
          <w:color w:val="1A1A1A"/>
          <w:sz w:val="21"/>
          <w:szCs w:val="21"/>
        </w:rPr>
        <w:t xml:space="preserve">taxpayer-letter reader</w:t>
      </w:r>
      <w:r>
        <w:rPr>
          <w:rFonts w:ascii="Aptos" w:cs="Aptos" w:eastAsia="Aptos" w:hAnsi="Aptos"/>
          <w:color w:val="1A1A1A"/>
          <w:sz w:val="21"/>
          <w:szCs w:val="21"/>
        </w:rPr>
        <w:t xml:space="preserve"> returns the single figure the letter itself states, as an unverified </w:t>
      </w:r>
      <w:r>
        <w:rPr>
          <w:rFonts w:ascii="Aptos" w:cs="Aptos" w:eastAsia="Aptos" w:hAnsi="Aptos"/>
          <w:b/>
          <w:bCs/>
          <w:color w:val="1A1A1A"/>
          <w:sz w:val="21"/>
          <w:szCs w:val="21"/>
        </w:rPr>
        <w:t xml:space="preserve">draft</w:t>
      </w:r>
      <w:r>
        <w:rPr>
          <w:rFonts w:ascii="Aptos" w:cs="Aptos" w:eastAsia="Aptos" w:hAnsi="Aptos"/>
          <w:color w:val="1A1A1A"/>
          <w:sz w:val="21"/>
          <w:szCs w:val="21"/>
        </w:rPr>
        <w:t xml:space="preserve"> that the auditor confirms or edits in the UI before it becomes a response the engine acts on. The figure is the taxpayer's claim, not the model's calculation, and it does not enter the engine until a human commits it.</w:t>
      </w:r>
    </w:p>
    <w:p>
      <w:pPr>
        <w:spacing w:after="80"/>
      </w:pPr>
      <w:r>
        <w:rPr>
          <w:sz w:val="6"/>
          <w:szCs w:val="6"/>
        </w:rPr>
        <w:t xml:space="preserve"/>
      </w:r>
    </w:p>
    <w:p>
      <w:pPr>
        <w:spacing w:after="140" w:line="276"/>
      </w:pPr>
      <w:r>
        <w:rPr>
          <w:rFonts w:ascii="Aptos" w:cs="Aptos" w:eastAsia="Aptos" w:hAnsi="Aptos"/>
          <w:color w:val="1A1A1A"/>
          <w:sz w:val="21"/>
          <w:szCs w:val="21"/>
        </w:rPr>
        <w:t xml:space="preserve">This is also why the entire application — including the letters, the report and the investigation — works correctly </w:t>
      </w:r>
      <w:r>
        <w:rPr>
          <w:rFonts w:ascii="Aptos" w:cs="Aptos" w:eastAsia="Aptos" w:hAnsi="Aptos"/>
          <w:b/>
          <w:bCs/>
          <w:color w:val="1A1A1A"/>
          <w:sz w:val="21"/>
          <w:szCs w:val="21"/>
        </w:rPr>
        <w:t xml:space="preserve">with no API key at all.</w:t>
      </w:r>
      <w:r>
        <w:rPr>
          <w:rFonts w:ascii="Aptos" w:cs="Aptos" w:eastAsia="Aptos" w:hAnsi="Aptos"/>
          <w:color w:val="1A1A1A"/>
          <w:sz w:val="21"/>
          <w:szCs w:val="21"/>
        </w:rPr>
        <w:t xml:space="preserve"> Degrading to the deterministic path costs polish, never correctness.</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6.  Scope and Out of Scope</w:t>
      </w:r>
    </w:p>
    <w:p>
      <w:pPr>
        <w:spacing w:after="140" w:line="276"/>
      </w:pPr>
      <w:r>
        <w:rPr>
          <w:rFonts w:ascii="Aptos" w:cs="Aptos" w:eastAsia="Aptos" w:hAnsi="Aptos"/>
          <w:color w:val="1A1A1A"/>
          <w:sz w:val="21"/>
          <w:szCs w:val="21"/>
        </w:rPr>
        <w:t xml:space="preserve">This demo starts when the taxpayer's documents arrive. It checks them against the request that was sent, then reconciles the standard-rated sales and purchase boxes for a single quarter from the records supplied. Everything below the line is a real part of the problem that this PoC does not attempt.</w:t>
      </w:r>
    </w:p>
    <w:p>
      <w:pPr>
        <w:pStyle w:val="Heading2"/>
        <w:keepNext/>
        <w:spacing w:after="120" w:before="300"/>
      </w:pPr>
      <w:r>
        <w:rPr>
          <w:rFonts w:ascii="Aptos" w:cs="Aptos" w:eastAsia="Aptos" w:hAnsi="Aptos"/>
          <w:b/>
          <w:bCs/>
          <w:color w:val="0E3F52"/>
          <w:sz w:val="25"/>
          <w:szCs w:val="25"/>
        </w:rPr>
        <w:t xml:space="preserve">6.1  In scope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500"/>
        <w:gridCol w:w="6520"/>
      </w:tblGrid>
      <w:tr>
        <w:trPr>
          <w:tblHeader/>
        </w:trPr>
        <w:tc>
          <w:tcPr>
            <w:tcW w:type="dxa" w:w="2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Item</w:t>
            </w:r>
          </w:p>
        </w:tc>
        <w:tc>
          <w:tcPr>
            <w:tcW w:type="dxa" w:w="6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covers</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Was the response what we asked for</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auditor's request email becomes a checkable specification; spreadsheets are tested against it for missing items and columns, blank mandatory fields, period coverage, and totals that do not foot.</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Standard-rated sales (output VAT)</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Summed from the lines of the taxpayer's own listing that qualify for this box and period. The e-invoice feed is the fallback where nothing was uploaded.</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Standard-rated purchases (input VAT)</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same, on the purchase side — documents on which this taxpayer is the buyer.</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Zero-rated domestic sales</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second reconciliation box, qualified and summed the same way, scoped to category Z / rate 0%, and compared against the return's own declared zero-rated box. No timing or credit-note rules are wired for it yet: a first, honest comparison, not the full standard-rated pipeline.</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Four AI agents over the records received</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Regulations, Data Entry, Calculation and Evidence &amp; Coverage each propose what is worth testing; a deterministic adjudicator settles every proposal.</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One tax period, one return version</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return currently on file. No rolling re-reconciliation as later documents arrive.</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Four wired qualification rules</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Credit notes on both boxes (COR-01, COR-02) and tax-point straddle timing on both boxes (OUT-07, INP-09), plus auditor-confirmed taxpayer evidence.</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Imports of goods</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Not auto-reconstructed; no live customs feed. Counted only when the taxpayer's customs declaration is on file and the auditor reviews and confirms the SAR amount, exactly like any other taxpayer evidence.</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Reverse charge on imported services</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Not auto-reconstructed; no live AP feed. Counted only when supporting documentation is on file and the auditor confirms the amount. The RCM-01…10 rulebook family remains an unwired reference for the automated version this stands in for.</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Prior-period corrections (Box 14)</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return's own stated Box-14 figure is accepted as a legitimate adjustment once the auditor reviews and confirms it. The solution does not independently verify which prior period or amended return version it belongs to; the full version-chain design is detailed in Section 13.</w:t>
            </w:r>
          </w:p>
        </w:tc>
      </w:tr>
      <w:tr>
        <w:tc>
          <w:tcPr>
            <w:tcW w:type="dxa" w:w="2500"/>
            <w:tcMar>
              <w:top w:type="dxa" w:w="64"/>
              <w:left w:type="dxa" w:w="110"/>
              <w:bottom w:type="dxa" w:w="64"/>
              <w:right w:type="dxa" w:w="110"/>
            </w:tcMar>
          </w:tcPr>
          <w:p>
            <w:pPr>
              <w:spacing w:after="0" w:line="250"/>
            </w:pPr>
            <w:r>
              <w:rPr>
                <w:rFonts w:ascii="Aptos" w:cs="Aptos" w:eastAsia="Aptos" w:hAnsi="Aptos"/>
                <w:color w:val="1A1A1A"/>
                <w:sz w:val="19"/>
                <w:szCs w:val="19"/>
              </w:rPr>
              <w:t xml:space="preserve">Rounding and currency effects</w:t>
            </w:r>
          </w:p>
        </w:tc>
        <w:tc>
          <w:tcPr>
            <w:tcW w:type="dxa" w:w="6520"/>
            <w:tcMar>
              <w:top w:type="dxa" w:w="64"/>
              <w:left w:type="dxa" w:w="110"/>
              <w:bottom w:type="dxa" w:w="64"/>
              <w:right w:type="dxa" w:w="110"/>
            </w:tcMar>
          </w:tcPr>
          <w:p>
            <w:pPr>
              <w:spacing w:after="0" w:line="250"/>
            </w:pPr>
            <w:r>
              <w:rPr>
                <w:rFonts w:ascii="Aptos" w:cs="Aptos" w:eastAsia="Aptos" w:hAnsi="Aptos"/>
                <w:color w:val="1A1A1A"/>
                <w:sz w:val="19"/>
                <w:szCs w:val="19"/>
              </w:rPr>
              <w:t xml:space="preserve">Per-invoice rounding amounts, where the listing or e-invoice feed carries them, are summed over the qualifying lines and close the residual automatically — no auditor confirmation needed, since this is fully computable from data already in hand.</w:t>
            </w:r>
          </w:p>
        </w:tc>
      </w:tr>
      <w:tr>
        <w:tc>
          <w:tcPr>
            <w:tcW w:type="dxa" w:w="25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Materiality and prioritisation</w:t>
            </w:r>
          </w:p>
        </w:tc>
        <w:tc>
          <w:tcPr>
            <w:tcW w:type="dxa" w:w="6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Unexplained amounts banded against the greater of SAR 1,000 or 0.5% of the box; cases ranked by exposure, deadline, history and quick-win potential.</w:t>
            </w:r>
          </w:p>
        </w:tc>
      </w:tr>
    </w:tbl>
    <w:p>
      <w:pPr>
        <w:pStyle w:val="Heading2"/>
        <w:keepNext/>
        <w:spacing w:after="120" w:before="300"/>
      </w:pPr>
      <w:r>
        <w:rPr>
          <w:rFonts w:ascii="Aptos" w:cs="Aptos" w:eastAsia="Aptos" w:hAnsi="Aptos"/>
          <w:b/>
          <w:bCs/>
          <w:color w:val="0E3F52"/>
          <w:sz w:val="25"/>
          <w:szCs w:val="25"/>
        </w:rPr>
        <w:t xml:space="preserve">6.2  Out of scope — technical exclusions</w:t>
      </w:r>
    </w:p>
    <w:p>
      <w:pPr>
        <w:spacing w:after="140" w:line="276"/>
      </w:pPr>
      <w:r>
        <w:rPr>
          <w:rFonts w:ascii="Aptos" w:cs="Aptos" w:eastAsia="Aptos" w:hAnsi="Aptos"/>
          <w:color w:val="1A1A1A"/>
          <w:sz w:val="21"/>
          <w:szCs w:val="21"/>
        </w:rPr>
        <w:t xml:space="preserve">Each exclusion carries the reason code that would carry it if it were built, so extending coverage is additive rather than a redesign.</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700"/>
        <w:gridCol w:w="562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Code</w:t>
            </w:r>
          </w:p>
        </w:tc>
        <w:tc>
          <w:tcPr>
            <w:tcW w:type="dxa" w:w="2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Item</w:t>
            </w:r>
          </w:p>
        </w:tc>
        <w:tc>
          <w:tcPr>
            <w:tcW w:type="dxa" w:w="56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Why it is excluded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S01</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Exempt and outside-scope supplies</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Only standard-rated and zero-rated categories are reconstructed; exempt (E) and outside-scope (O) lines are excluded, and their boxes are seeded but never reconciled.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S06</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VAT groups and branch identities</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One taxpayer, one VAT number only.</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T05</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Cash-accounting taxpayers</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Every case is modelled on the accrual basis.</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T08</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Full version-chain reconciliation of amended returns</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Box-14 figure the return already states is accepted once confirmed (see in scope); the engine does not auto-select the correct amended version, decompose Box-14 per error, or detect double relief or an unsupported reversal. See Section 13.</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A03</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Bad-debt relief</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Output-tax adjustments after the original invoice period are out of scope.</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A02</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 exemption / blocked input</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Full recovery is assumed on every purchase invoice.</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D02</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Summary invoices / B2C aggregation</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Reconciliation is document-level only; no daily, store or POS batch tier.</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S04</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Automated import / reverse-charge reconstruction</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 live customs or AP feed; both are counted only via auditor-confirmed evidence, not reconstructed the way standard-rated sales and purchases are.</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R08</w:t>
            </w:r>
          </w:p>
        </w:tc>
        <w:tc>
          <w:tcPr>
            <w:tcW w:type="dxa" w:w="2700"/>
            <w:tcMar>
              <w:top w:type="dxa" w:w="64"/>
              <w:left w:type="dxa" w:w="110"/>
              <w:bottom w:type="dxa" w:w="64"/>
              <w:right w:type="dxa" w:w="110"/>
            </w:tcMar>
          </w:tcPr>
          <w:p>
            <w:pPr>
              <w:spacing w:after="0" w:line="250"/>
            </w:pPr>
            <w:r>
              <w:rPr>
                <w:rFonts w:ascii="Aptos" w:cs="Aptos" w:eastAsia="Aptos" w:hAnsi="Aptos"/>
                <w:color w:val="1A1A1A"/>
                <w:sz w:val="19"/>
                <w:szCs w:val="19"/>
              </w:rPr>
              <w:t xml:space="preserve">Buyer-side supplier matching</w:t>
            </w:r>
          </w:p>
        </w:tc>
        <w:tc>
          <w:tcPr>
            <w:tcW w:type="dxa" w:w="5620"/>
            <w:tcMar>
              <w:top w:type="dxa" w:w="64"/>
              <w:left w:type="dxa" w:w="110"/>
              <w:bottom w:type="dxa" w:w="64"/>
              <w:right w:type="dxa" w:w="110"/>
            </w:tcMar>
          </w:tcPr>
          <w:p>
            <w:pPr>
              <w:spacing w:after="0" w:line="250"/>
            </w:pPr>
            <w:r>
              <w:rPr>
                <w:rFonts w:ascii="Aptos" w:cs="Aptos" w:eastAsia="Aptos" w:hAnsi="Aptos"/>
                <w:color w:val="1A1A1A"/>
                <w:sz w:val="19"/>
                <w:szCs w:val="19"/>
              </w:rPr>
              <w:t xml:space="preserve">Input VAT is not cross-checked against the supplier's own outward e-invoices.</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T03</w:t>
            </w:r>
          </w:p>
        </w:tc>
        <w:tc>
          <w:tcPr>
            <w:tcW w:type="dxa" w:w="2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Late arrivals / rolling reconciliation</w:t>
            </w:r>
          </w:p>
        </w:tc>
        <w:tc>
          <w:tcPr>
            <w:tcW w:type="dxa" w:w="5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single closed-period pass; documents cleared after filing do not reopen it.</w:t>
            </w:r>
          </w:p>
        </w:tc>
      </w:tr>
    </w:tbl>
    <w:p>
      <w:pPr>
        <w:pStyle w:val="Heading2"/>
        <w:keepNext/>
        <w:spacing w:after="120" w:before="300"/>
      </w:pPr>
      <w:r>
        <w:rPr>
          <w:rFonts w:ascii="Aptos" w:cs="Aptos" w:eastAsia="Aptos" w:hAnsi="Aptos"/>
          <w:b/>
          <w:bCs/>
          <w:color w:val="0E3F52"/>
          <w:sz w:val="25"/>
          <w:szCs w:val="25"/>
        </w:rPr>
        <w:t xml:space="preserve">6.3  Out of scope — boundaries of the engagement</w:t>
      </w:r>
    </w:p>
    <w:p>
      <w:pPr>
        <w:spacing w:after="140" w:line="276"/>
      </w:pPr>
      <w:r>
        <w:rPr>
          <w:rFonts w:ascii="Aptos" w:cs="Aptos" w:eastAsia="Aptos" w:hAnsi="Aptos"/>
          <w:color w:val="1A1A1A"/>
          <w:sz w:val="21"/>
          <w:szCs w:val="21"/>
        </w:rPr>
        <w:t xml:space="preserve">These are boundaries of the PoC itself rather than gaps in the engine, and were agreed with the IT and Audit teams.</w:t>
      </w:r>
    </w:p>
    <w:p>
      <w:pPr>
        <w:pStyle w:val="ListParagraph"/>
        <w:numPr>
          <w:ilvl w:val="0"/>
          <w:numId w:val="2"/>
        </w:numPr>
        <w:spacing w:after="70" w:line="270"/>
      </w:pPr>
      <w:r>
        <w:rPr>
          <w:rFonts w:ascii="Aptos" w:cs="Aptos" w:eastAsia="Aptos" w:hAnsi="Aptos"/>
          <w:b/>
          <w:bCs/>
          <w:color w:val="1A1A1A"/>
          <w:sz w:val="21"/>
          <w:szCs w:val="21"/>
        </w:rPr>
        <w:t xml:space="preserve">No integration with any system whatsoever.</w:t>
      </w:r>
      <w:r>
        <w:rPr>
          <w:rFonts w:ascii="Aptos" w:cs="Aptos" w:eastAsia="Aptos" w:hAnsi="Aptos"/>
          <w:color w:val="1A1A1A"/>
          <w:sz w:val="21"/>
          <w:szCs w:val="21"/>
        </w:rPr>
        <w:t xml:space="preserve"> The solution accepts only manually entered data.</w:t>
      </w:r>
    </w:p>
    <w:p>
      <w:pPr>
        <w:pStyle w:val="ListParagraph"/>
        <w:numPr>
          <w:ilvl w:val="0"/>
          <w:numId w:val="2"/>
        </w:numPr>
        <w:spacing w:after="70" w:line="270"/>
      </w:pPr>
      <w:r>
        <w:rPr>
          <w:rFonts w:ascii="Aptos" w:cs="Aptos" w:eastAsia="Aptos" w:hAnsi="Aptos"/>
          <w:b/>
          <w:bCs/>
          <w:color w:val="1A1A1A"/>
          <w:sz w:val="21"/>
          <w:szCs w:val="21"/>
        </w:rPr>
        <w:t xml:space="preserve">No risk-engine input.</w:t>
      </w:r>
      <w:r>
        <w:rPr>
          <w:rFonts w:ascii="Aptos" w:cs="Aptos" w:eastAsia="Aptos" w:hAnsi="Aptos"/>
          <w:color w:val="1A1A1A"/>
          <w:sz w:val="21"/>
          <w:szCs w:val="21"/>
        </w:rPr>
        <w:t xml:space="preserve"> The solution does not take the risk engine output, the DAL dashboard output, or historical data. It is only for the stage </w:t>
      </w:r>
      <w:r>
        <w:rPr>
          <w:rFonts w:ascii="Aptos" w:cs="Aptos" w:eastAsia="Aptos" w:hAnsi="Aptos"/>
          <w:b/>
          <w:bCs/>
          <w:color w:val="1A1A1A"/>
          <w:sz w:val="21"/>
          <w:szCs w:val="21"/>
        </w:rPr>
        <w:t xml:space="preserve">after</w:t>
      </w:r>
      <w:r>
        <w:rPr>
          <w:rFonts w:ascii="Aptos" w:cs="Aptos" w:eastAsia="Aptos" w:hAnsi="Aptos"/>
          <w:color w:val="1A1A1A"/>
          <w:sz w:val="21"/>
          <w:szCs w:val="21"/>
        </w:rPr>
        <w:t xml:space="preserve"> the additional documents have been requested from the taxpayer and received. It will not recommend which documents the auditor should ask for after a case is created.</w:t>
      </w:r>
    </w:p>
    <w:p>
      <w:pPr>
        <w:pStyle w:val="ListParagraph"/>
        <w:numPr>
          <w:ilvl w:val="0"/>
          <w:numId w:val="2"/>
        </w:numPr>
        <w:spacing w:after="70" w:line="270"/>
      </w:pPr>
      <w:r>
        <w:rPr>
          <w:rFonts w:ascii="Aptos" w:cs="Aptos" w:eastAsia="Aptos" w:hAnsi="Aptos"/>
          <w:b/>
          <w:bCs/>
          <w:color w:val="1A1A1A"/>
          <w:sz w:val="21"/>
          <w:szCs w:val="21"/>
        </w:rPr>
        <w:t xml:space="preserve">VAT only.</w:t>
      </w:r>
      <w:r>
        <w:rPr>
          <w:rFonts w:ascii="Aptos" w:cs="Aptos" w:eastAsia="Aptos" w:hAnsi="Aptos"/>
          <w:color w:val="1A1A1A"/>
          <w:sz w:val="21"/>
          <w:szCs w:val="21"/>
        </w:rPr>
        <w:t xml:space="preserve"> No other tax type, and no customs data.</w:t>
      </w:r>
    </w:p>
    <w:p>
      <w:pPr>
        <w:pStyle w:val="ListParagraph"/>
        <w:numPr>
          <w:ilvl w:val="0"/>
          <w:numId w:val="2"/>
        </w:numPr>
        <w:spacing w:after="70" w:line="270"/>
      </w:pPr>
      <w:r>
        <w:rPr>
          <w:rFonts w:ascii="Aptos" w:cs="Aptos" w:eastAsia="Aptos" w:hAnsi="Aptos"/>
          <w:b/>
          <w:bCs/>
          <w:color w:val="1A1A1A"/>
          <w:sz w:val="21"/>
          <w:szCs w:val="21"/>
        </w:rPr>
        <w:t xml:space="preserve">Not sector-specific.</w:t>
      </w:r>
      <w:r>
        <w:rPr>
          <w:rFonts w:ascii="Aptos" w:cs="Aptos" w:eastAsia="Aptos" w:hAnsi="Aptos"/>
          <w:color w:val="1A1A1A"/>
          <w:sz w:val="21"/>
          <w:szCs w:val="21"/>
        </w:rPr>
        <w:t xml:space="preserve"> Determining all edge cases and scenarios across sectors is a full project scope, not a PoC scope.</w:t>
      </w:r>
    </w:p>
    <w:p>
      <w:pPr>
        <w:pStyle w:val="ListParagraph"/>
        <w:numPr>
          <w:ilvl w:val="0"/>
          <w:numId w:val="2"/>
        </w:numPr>
        <w:spacing w:after="70" w:line="270"/>
      </w:pPr>
      <w:r>
        <w:rPr>
          <w:rFonts w:ascii="Aptos" w:cs="Aptos" w:eastAsia="Aptos" w:hAnsi="Aptos"/>
          <w:b/>
          <w:bCs/>
          <w:color w:val="1A1A1A"/>
          <w:sz w:val="21"/>
          <w:szCs w:val="21"/>
        </w:rPr>
        <w:t xml:space="preserve">AI will not determine the primary activity of an entity.</w:t>
      </w:r>
    </w:p>
    <w:p>
      <w:pPr>
        <w:pStyle w:val="ListParagraph"/>
        <w:numPr>
          <w:ilvl w:val="0"/>
          <w:numId w:val="2"/>
        </w:numPr>
        <w:spacing w:after="70" w:line="270"/>
      </w:pPr>
      <w:r>
        <w:rPr>
          <w:rFonts w:ascii="Aptos" w:cs="Aptos" w:eastAsia="Aptos" w:hAnsi="Aptos"/>
          <w:b/>
          <w:bCs/>
          <w:color w:val="1A1A1A"/>
          <w:sz w:val="21"/>
          <w:szCs w:val="21"/>
        </w:rPr>
        <w:t xml:space="preserve">Not all solutions can be taken into consideration at this stage.</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7.  Assumptions</w:t>
      </w:r>
    </w:p>
    <w:p>
      <w:pPr>
        <w:spacing w:after="140" w:line="276"/>
      </w:pPr>
      <w:r>
        <w:rPr>
          <w:rFonts w:ascii="Aptos" w:cs="Aptos" w:eastAsia="Aptos" w:hAnsi="Aptos"/>
          <w:color w:val="1A1A1A"/>
          <w:sz w:val="21"/>
          <w:szCs w:val="21"/>
        </w:rPr>
        <w:t xml:space="preserve">Stated explicitly, because each one is a place where behaviour against real ZATCA data could differ from behaviour in the demo.</w:t>
      </w:r>
    </w:p>
    <w:p>
      <w:pPr>
        <w:pStyle w:val="Heading3"/>
        <w:keepNext/>
        <w:spacing w:after="100" w:before="220"/>
      </w:pPr>
      <w:r>
        <w:rPr>
          <w:rFonts w:ascii="Aptos" w:cs="Aptos" w:eastAsia="Aptos" w:hAnsi="Aptos"/>
          <w:b/>
          <w:bCs/>
          <w:color w:val="44546A"/>
          <w:sz w:val="22"/>
          <w:szCs w:val="22"/>
        </w:rPr>
        <w:t xml:space="preserve">Data and inputs</w:t>
      </w:r>
    </w:p>
    <w:p>
      <w:pPr>
        <w:pStyle w:val="ListParagraph"/>
        <w:numPr>
          <w:ilvl w:val="0"/>
          <w:numId w:val="2"/>
        </w:numPr>
        <w:spacing w:after="70" w:line="270"/>
      </w:pPr>
      <w:r>
        <w:rPr>
          <w:rFonts w:ascii="Aptos" w:cs="Aptos" w:eastAsia="Aptos" w:hAnsi="Aptos"/>
          <w:b/>
          <w:bCs/>
          <w:color w:val="1A1A1A"/>
          <w:sz w:val="21"/>
          <w:szCs w:val="21"/>
        </w:rPr>
        <w:t xml:space="preserve">Synthetic data only.</w:t>
      </w:r>
      <w:r>
        <w:rPr>
          <w:rFonts w:ascii="Aptos" w:cs="Aptos" w:eastAsia="Aptos" w:hAnsi="Aptos"/>
          <w:color w:val="1A1A1A"/>
          <w:sz w:val="21"/>
          <w:szCs w:val="21"/>
        </w:rPr>
        <w:t xml:space="preserve"> Every taxpayer, case and document in the running system is fabricated for the demo. The hosted model is called only when the data is confirmed synthetic; the real taxpayer name is pseudonymised (“Taxpayer A”) before it ever reaches the model, and restored only for on-screen display. When tested against ZATCA data, issues may arise.</w:t>
      </w:r>
    </w:p>
    <w:p>
      <w:pPr>
        <w:pStyle w:val="ListParagraph"/>
        <w:numPr>
          <w:ilvl w:val="0"/>
          <w:numId w:val="2"/>
        </w:numPr>
        <w:spacing w:after="70" w:line="270"/>
      </w:pPr>
      <w:r>
        <w:rPr>
          <w:rFonts w:ascii="Aptos" w:cs="Aptos" w:eastAsia="Aptos" w:hAnsi="Aptos"/>
          <w:b/>
          <w:bCs/>
          <w:color w:val="1A1A1A"/>
          <w:sz w:val="21"/>
          <w:szCs w:val="21"/>
        </w:rPr>
        <w:t xml:space="preserve">Excel only.</w:t>
      </w:r>
      <w:r>
        <w:rPr>
          <w:rFonts w:ascii="Aptos" w:cs="Aptos" w:eastAsia="Aptos" w:hAnsi="Aptos"/>
          <w:color w:val="1A1A1A"/>
          <w:sz w:val="21"/>
          <w:szCs w:val="21"/>
        </w:rPr>
        <w:t xml:space="preserve"> The AI cannot proceed until the spreadsheets received have been addressed. As with the validation set of six cases, it is assumed that only Excel files will be provided.</w:t>
      </w:r>
    </w:p>
    <w:p>
      <w:pPr>
        <w:pStyle w:val="ListParagraph"/>
        <w:numPr>
          <w:ilvl w:val="0"/>
          <w:numId w:val="2"/>
        </w:numPr>
        <w:spacing w:after="70" w:line="270"/>
      </w:pPr>
      <w:r>
        <w:rPr>
          <w:rFonts w:ascii="Aptos" w:cs="Aptos" w:eastAsia="Aptos" w:hAnsi="Aptos"/>
          <w:b/>
          <w:bCs/>
          <w:color w:val="1A1A1A"/>
          <w:sz w:val="21"/>
          <w:szCs w:val="21"/>
        </w:rPr>
        <w:t xml:space="preserve">Taxpayer activities entered manually.</w:t>
      </w:r>
      <w:r>
        <w:rPr>
          <w:rFonts w:ascii="Aptos" w:cs="Aptos" w:eastAsia="Aptos" w:hAnsi="Aptos"/>
          <w:color w:val="1A1A1A"/>
          <w:sz w:val="21"/>
          <w:szCs w:val="21"/>
        </w:rPr>
        <w:t xml:space="preserve"> One of the rules depends on the taxpayer's registered activities from their CR. As there is no integration with the warehouse at present, these must be entered by hand.</w:t>
      </w:r>
    </w:p>
    <w:p>
      <w:pPr>
        <w:pStyle w:val="ListParagraph"/>
        <w:numPr>
          <w:ilvl w:val="0"/>
          <w:numId w:val="2"/>
        </w:numPr>
        <w:spacing w:after="70" w:line="270"/>
      </w:pPr>
      <w:r>
        <w:rPr>
          <w:rFonts w:ascii="Aptos" w:cs="Aptos" w:eastAsia="Aptos" w:hAnsi="Aptos"/>
          <w:b/>
          <w:bCs/>
          <w:color w:val="1A1A1A"/>
          <w:sz w:val="21"/>
          <w:szCs w:val="21"/>
        </w:rPr>
        <w:t xml:space="preserve">Audit report template.</w:t>
      </w:r>
      <w:r>
        <w:rPr>
          <w:rFonts w:ascii="Aptos" w:cs="Aptos" w:eastAsia="Aptos" w:hAnsi="Aptos"/>
          <w:color w:val="1A1A1A"/>
          <w:sz w:val="21"/>
          <w:szCs w:val="21"/>
        </w:rPr>
        <w:t xml:space="preserve"> The report cannot be fully completed by the AI, since most of the required information is not provided as part of the PoC. Fields the case cannot answer are labelled honestly rather than guessed.</w:t>
      </w:r>
    </w:p>
    <w:p>
      <w:pPr>
        <w:pStyle w:val="Heading3"/>
        <w:keepNext/>
        <w:spacing w:after="100" w:before="220"/>
      </w:pPr>
      <w:r>
        <w:rPr>
          <w:rFonts w:ascii="Aptos" w:cs="Aptos" w:eastAsia="Aptos" w:hAnsi="Aptos"/>
          <w:b/>
          <w:bCs/>
          <w:color w:val="44546A"/>
          <w:sz w:val="22"/>
          <w:szCs w:val="22"/>
        </w:rPr>
        <w:t xml:space="preserve">Tax treatment</w:t>
      </w:r>
    </w:p>
    <w:p>
      <w:pPr>
        <w:pStyle w:val="ListParagraph"/>
        <w:numPr>
          <w:ilvl w:val="0"/>
          <w:numId w:val="2"/>
        </w:numPr>
        <w:spacing w:after="70" w:line="270"/>
      </w:pPr>
      <w:r>
        <w:rPr>
          <w:rFonts w:ascii="Aptos" w:cs="Aptos" w:eastAsia="Aptos" w:hAnsi="Aptos"/>
          <w:b/>
          <w:bCs/>
          <w:color w:val="1A1A1A"/>
          <w:sz w:val="21"/>
          <w:szCs w:val="21"/>
        </w:rPr>
        <w:t xml:space="preserve">Tax point ≈ invoice issue date.</w:t>
      </w:r>
      <w:r>
        <w:rPr>
          <w:rFonts w:ascii="Aptos" w:cs="Aptos" w:eastAsia="Aptos" w:hAnsi="Aptos"/>
          <w:color w:val="1A1A1A"/>
          <w:sz w:val="21"/>
          <w:szCs w:val="21"/>
        </w:rPr>
        <w:t xml:space="preserve"> The delivery date is used only for the period-straddle test. This is the single most consequential simplification in the engine: the true rule is the earliest of payment, invoice, or contractual due date, with special cases for continuous supply. See Section 13.</w:t>
      </w:r>
    </w:p>
    <w:p>
      <w:pPr>
        <w:pStyle w:val="ListParagraph"/>
        <w:numPr>
          <w:ilvl w:val="0"/>
          <w:numId w:val="2"/>
        </w:numPr>
        <w:spacing w:after="70" w:line="270"/>
      </w:pPr>
      <w:r>
        <w:rPr>
          <w:rFonts w:ascii="Aptos" w:cs="Aptos" w:eastAsia="Aptos" w:hAnsi="Aptos"/>
          <w:b/>
          <w:bCs/>
          <w:color w:val="1A1A1A"/>
          <w:sz w:val="21"/>
          <w:szCs w:val="21"/>
        </w:rPr>
        <w:t xml:space="preserve">Single taxpayer, single period, single return version.</w:t>
      </w:r>
      <w:r>
        <w:rPr>
          <w:rFonts w:ascii="Aptos" w:cs="Aptos" w:eastAsia="Aptos" w:hAnsi="Aptos"/>
          <w:color w:val="1A1A1A"/>
          <w:sz w:val="21"/>
          <w:szCs w:val="21"/>
        </w:rPr>
        <w:t xml:space="preserve"> No group representative, no branch structure, no rolling re-reconciliation as later documents arrive. The return's own stated Box-14 correction is accepted once confirmed, but there is no automated version-chain verification.</w:t>
      </w:r>
    </w:p>
    <w:p>
      <w:pPr>
        <w:pStyle w:val="ListParagraph"/>
        <w:numPr>
          <w:ilvl w:val="0"/>
          <w:numId w:val="2"/>
        </w:numPr>
        <w:spacing w:after="70" w:line="270"/>
      </w:pPr>
      <w:r>
        <w:rPr>
          <w:rFonts w:ascii="Aptos" w:cs="Aptos" w:eastAsia="Aptos" w:hAnsi="Aptos"/>
          <w:b/>
          <w:bCs/>
          <w:color w:val="1A1A1A"/>
          <w:sz w:val="21"/>
          <w:szCs w:val="21"/>
        </w:rPr>
        <w:t xml:space="preserve">Full input VAT recovery assumed.</w:t>
      </w:r>
      <w:r>
        <w:rPr>
          <w:rFonts w:ascii="Aptos" w:cs="Aptos" w:eastAsia="Aptos" w:hAnsi="Aptos"/>
          <w:color w:val="1A1A1A"/>
          <w:sz w:val="21"/>
          <w:szCs w:val="21"/>
        </w:rPr>
        <w:t xml:space="preserve"> Beyond the Regulations agent's explicit blocked-expense-category check, no partial-exemption or blocked-input modelling is applied.</w:t>
      </w:r>
    </w:p>
    <w:p>
      <w:pPr>
        <w:pStyle w:val="ListParagraph"/>
        <w:numPr>
          <w:ilvl w:val="0"/>
          <w:numId w:val="2"/>
        </w:numPr>
        <w:spacing w:after="70" w:line="270"/>
      </w:pPr>
      <w:r>
        <w:rPr>
          <w:rFonts w:ascii="Aptos" w:cs="Aptos" w:eastAsia="Aptos" w:hAnsi="Aptos"/>
          <w:b/>
          <w:bCs/>
          <w:color w:val="1A1A1A"/>
          <w:sz w:val="21"/>
          <w:szCs w:val="21"/>
        </w:rPr>
        <w:t xml:space="preserve">Accrual basis throughout.</w:t>
      </w:r>
      <w:r>
        <w:rPr>
          <w:rFonts w:ascii="Aptos" w:cs="Aptos" w:eastAsia="Aptos" w:hAnsi="Aptos"/>
          <w:color w:val="1A1A1A"/>
          <w:sz w:val="21"/>
          <w:szCs w:val="21"/>
        </w:rPr>
        <w:t xml:space="preserve"> Every demo taxpayer files on the accrual basis, so payment-date timing never itself moves a supply between periods.</w:t>
      </w:r>
    </w:p>
    <w:p>
      <w:pPr>
        <w:pStyle w:val="ListParagraph"/>
        <w:numPr>
          <w:ilvl w:val="0"/>
          <w:numId w:val="2"/>
        </w:numPr>
        <w:spacing w:after="70" w:line="270"/>
      </w:pPr>
      <w:r>
        <w:rPr>
          <w:rFonts w:ascii="Aptos" w:cs="Aptos" w:eastAsia="Aptos" w:hAnsi="Aptos"/>
          <w:b/>
          <w:bCs/>
          <w:color w:val="1A1A1A"/>
          <w:sz w:val="21"/>
          <w:szCs w:val="21"/>
        </w:rPr>
        <w:t xml:space="preserve">SAR, tax-exclusive.</w:t>
      </w:r>
      <w:r>
        <w:rPr>
          <w:rFonts w:ascii="Aptos" w:cs="Aptos" w:eastAsia="Aptos" w:hAnsi="Aptos"/>
          <w:color w:val="1A1A1A"/>
          <w:sz w:val="21"/>
          <w:szCs w:val="21"/>
        </w:rPr>
        <w:t xml:space="preserve"> Per-invoice rounding amounts, where stated, are summed over the qualifying lines and close the residual automatically. No separate multi-currency conversion model is applied.</w:t>
      </w:r>
    </w:p>
    <w:p>
      <w:pPr>
        <w:pStyle w:val="Heading3"/>
        <w:keepNext/>
        <w:spacing w:after="100" w:before="220"/>
      </w:pPr>
      <w:r>
        <w:rPr>
          <w:rFonts w:ascii="Aptos" w:cs="Aptos" w:eastAsia="Aptos" w:hAnsi="Aptos"/>
          <w:b/>
          <w:bCs/>
          <w:color w:val="44546A"/>
          <w:sz w:val="22"/>
          <w:szCs w:val="22"/>
        </w:rPr>
        <w:t xml:space="preserve">Regulations and models</w:t>
      </w:r>
    </w:p>
    <w:p>
      <w:pPr>
        <w:pStyle w:val="ListParagraph"/>
        <w:numPr>
          <w:ilvl w:val="0"/>
          <w:numId w:val="2"/>
        </w:numPr>
        <w:spacing w:after="70" w:line="270"/>
      </w:pPr>
      <w:r>
        <w:rPr>
          <w:rFonts w:ascii="Aptos" w:cs="Aptos" w:eastAsia="Aptos" w:hAnsi="Aptos"/>
          <w:b/>
          <w:bCs/>
          <w:color w:val="1A1A1A"/>
          <w:sz w:val="21"/>
          <w:szCs w:val="21"/>
        </w:rPr>
        <w:t xml:space="preserve">The regulations corpus is a subset.</w:t>
      </w:r>
      <w:r>
        <w:rPr>
          <w:rFonts w:ascii="Aptos" w:cs="Aptos" w:eastAsia="Aptos" w:hAnsi="Aptos"/>
          <w:color w:val="1A1A1A"/>
          <w:sz w:val="21"/>
          <w:szCs w:val="21"/>
        </w:rPr>
        <w:t xml:space="preserve"> The models will not be trained on all datasets — that is a project scope, not a PoC scope. For now a limited set of documents is taken into consideration, which may affect the outcome of the model. The methodology will be presented. Parsing every document is an extensive exercise that this PoC does not undertake.</w:t>
      </w:r>
    </w:p>
    <w:p>
      <w:pPr>
        <w:pStyle w:val="ListParagraph"/>
        <w:numPr>
          <w:ilvl w:val="0"/>
          <w:numId w:val="2"/>
        </w:numPr>
        <w:spacing w:after="70" w:line="270"/>
      </w:pPr>
      <w:r>
        <w:rPr>
          <w:rFonts w:ascii="Aptos" w:cs="Aptos" w:eastAsia="Aptos" w:hAnsi="Aptos"/>
          <w:b/>
          <w:bCs/>
          <w:color w:val="1A1A1A"/>
          <w:sz w:val="21"/>
          <w:szCs w:val="21"/>
        </w:rPr>
        <w:t xml:space="preserve">E-invoicing versus VAT business rules will not be provided by ZATCA.</w:t>
      </w:r>
      <w:r>
        <w:rPr>
          <w:rFonts w:ascii="Aptos" w:cs="Aptos" w:eastAsia="Aptos" w:hAnsi="Aptos"/>
          <w:color w:val="1A1A1A"/>
          <w:sz w:val="21"/>
          <w:szCs w:val="21"/>
        </w:rPr>
        <w:t xml:space="preserve"> They can be developed within the PoC stage.</w:t>
      </w:r>
    </w:p>
    <w:p>
      <w:pPr>
        <w:pStyle w:val="ListParagraph"/>
        <w:numPr>
          <w:ilvl w:val="0"/>
          <w:numId w:val="2"/>
        </w:numPr>
        <w:spacing w:after="70" w:line="270"/>
      </w:pPr>
      <w:r>
        <w:rPr>
          <w:rFonts w:ascii="Aptos" w:cs="Aptos" w:eastAsia="Aptos" w:hAnsi="Aptos"/>
          <w:b/>
          <w:bCs/>
          <w:color w:val="1A1A1A"/>
          <w:sz w:val="21"/>
          <w:szCs w:val="21"/>
        </w:rPr>
        <w:t xml:space="preserve">Model dependency.</w:t>
      </w:r>
      <w:r>
        <w:rPr>
          <w:rFonts w:ascii="Aptos" w:cs="Aptos" w:eastAsia="Aptos" w:hAnsi="Aptos"/>
          <w:color w:val="1A1A1A"/>
          <w:sz w:val="21"/>
          <w:szCs w:val="21"/>
        </w:rPr>
        <w:t xml:space="preserve"> The output and accuracy of the solution revolve largely around the HUMAIN models. Deloitte is working on provisioning a sandbox with HUMAIN models; until that is done, work proceeds on other provisioned environments using LLMs similar to HUMAIN's. </w:t>
      </w:r>
      <w:r>
        <w:rPr>
          <w:rFonts w:ascii="Aptos" w:cs="Aptos" w:eastAsia="Aptos" w:hAnsi="Aptos"/>
          <w:b/>
          <w:bCs/>
          <w:color w:val="1A1A1A"/>
          <w:sz w:val="21"/>
          <w:szCs w:val="21"/>
        </w:rPr>
        <w:t xml:space="preserve">Accuracy cannot be guaranteed</w:t>
      </w:r>
      <w:r>
        <w:rPr>
          <w:rFonts w:ascii="Aptos" w:cs="Aptos" w:eastAsia="Aptos" w:hAnsi="Aptos"/>
          <w:color w:val="1A1A1A"/>
          <w:sz w:val="21"/>
          <w:szCs w:val="21"/>
        </w:rPr>
        <w:t xml:space="preserve"> on that basis.</w:t>
      </w:r>
    </w:p>
    <w:p>
      <w:pPr>
        <w:pStyle w:val="ListParagraph"/>
        <w:numPr>
          <w:ilvl w:val="0"/>
          <w:numId w:val="2"/>
        </w:numPr>
        <w:spacing w:after="70" w:line="270"/>
      </w:pPr>
      <w:r>
        <w:rPr>
          <w:rFonts w:ascii="Aptos" w:cs="Aptos" w:eastAsia="Aptos" w:hAnsi="Aptos"/>
          <w:b/>
          <w:bCs/>
          <w:color w:val="1A1A1A"/>
          <w:sz w:val="21"/>
          <w:szCs w:val="21"/>
        </w:rPr>
        <w:t xml:space="preserve">Further documentation may be requested.</w:t>
      </w:r>
      <w:r>
        <w:rPr>
          <w:rFonts w:ascii="Aptos" w:cs="Aptos" w:eastAsia="Aptos" w:hAnsi="Aptos"/>
          <w:color w:val="1A1A1A"/>
          <w:sz w:val="21"/>
          <w:szCs w:val="21"/>
        </w:rPr>
        <w:t xml:space="preserve"> Throughout the stages of the PoC, and as the discussion develops, the Deloitte team may ask for additional documentation to finalise the solution.</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8.  The Taxpayer Journey and Current Status</w:t>
      </w:r>
    </w:p>
    <w:p>
      <w:pPr>
        <w:spacing w:after="140" w:line="276"/>
      </w:pPr>
      <w:r>
        <w:rPr>
          <w:rFonts w:ascii="Aptos" w:cs="Aptos" w:eastAsia="Aptos" w:hAnsi="Aptos"/>
          <w:color w:val="1A1A1A"/>
          <w:sz w:val="21"/>
          <w:szCs w:val="21"/>
        </w:rPr>
        <w:t xml:space="preserve">A case moves through five stages — Intake, Planning, Correspondence, Review, Closure. Three properties hold throughout: the stage is always </w:t>
      </w:r>
      <w:r>
        <w:rPr>
          <w:rFonts w:ascii="Aptos" w:cs="Aptos" w:eastAsia="Aptos" w:hAnsi="Aptos"/>
          <w:b/>
          <w:bCs/>
          <w:color w:val="1A1A1A"/>
          <w:sz w:val="21"/>
          <w:szCs w:val="21"/>
        </w:rPr>
        <w:t xml:space="preserve">derived from the case's own data</w:t>
      </w:r>
      <w:r>
        <w:rPr>
          <w:rFonts w:ascii="Aptos" w:cs="Aptos" w:eastAsia="Aptos" w:hAnsi="Aptos"/>
          <w:color w:val="1A1A1A"/>
          <w:sz w:val="21"/>
          <w:szCs w:val="21"/>
        </w:rPr>
        <w:t xml:space="preserve">, never stored as a status column that can fall out of step; </w:t>
      </w:r>
      <w:r>
        <w:rPr>
          <w:rFonts w:ascii="Aptos" w:cs="Aptos" w:eastAsia="Aptos" w:hAnsi="Aptos"/>
          <w:b/>
          <w:bCs/>
          <w:color w:val="1A1A1A"/>
          <w:sz w:val="21"/>
          <w:szCs w:val="21"/>
        </w:rPr>
        <w:t xml:space="preserve">every gate is a human decision</w:t>
      </w:r>
      <w:r>
        <w:rPr>
          <w:rFonts w:ascii="Aptos" w:cs="Aptos" w:eastAsia="Aptos" w:hAnsi="Aptos"/>
          <w:color w:val="1A1A1A"/>
          <w:sz w:val="21"/>
          <w:szCs w:val="21"/>
        </w:rPr>
        <w:t xml:space="preserve">, with the machine only reporting where the case is and what it is waiting for; and </w:t>
      </w:r>
      <w:r>
        <w:rPr>
          <w:rFonts w:ascii="Aptos" w:cs="Aptos" w:eastAsia="Aptos" w:hAnsi="Aptos"/>
          <w:b/>
          <w:bCs/>
          <w:color w:val="1A1A1A"/>
          <w:sz w:val="21"/>
          <w:szCs w:val="21"/>
        </w:rPr>
        <w:t xml:space="preserve">“waiting on the taxpayer” is a first-class state</w:t>
      </w:r>
      <w:r>
        <w:rPr>
          <w:rFonts w:ascii="Aptos" w:cs="Aptos" w:eastAsia="Aptos" w:hAnsi="Aptos"/>
          <w:color w:val="1A1A1A"/>
          <w:sz w:val="21"/>
          <w:szCs w:val="21"/>
        </w:rPr>
        <w:t xml:space="preserve">, distinguishable from “waiting on the auditor”. The walk below follows a single illustrative case, “Taxpayer A, 2025 Q1”.</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250"/>
        <w:gridCol w:w="5670"/>
        <w:gridCol w:w="2100"/>
      </w:tblGrid>
      <w:tr>
        <w:trPr>
          <w:tblHeader/>
        </w:trPr>
        <w:tc>
          <w:tcPr>
            <w:tcW w:type="dxa" w:w="12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Stage</w:t>
            </w:r>
          </w:p>
        </w:tc>
        <w:tc>
          <w:tcPr>
            <w:tcW w:type="dxa" w:w="56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happens</w:t>
            </w:r>
          </w:p>
        </w:tc>
        <w:tc>
          <w:tcPr>
            <w:tcW w:type="dxa" w:w="21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1250"/>
            <w:tcMar>
              <w:top w:type="dxa" w:w="64"/>
              <w:left w:type="dxa" w:w="110"/>
              <w:bottom w:type="dxa" w:w="64"/>
              <w:right w:type="dxa" w:w="110"/>
            </w:tcMar>
          </w:tcPr>
          <w:p>
            <w:pPr>
              <w:spacing w:after="0" w:line="250"/>
            </w:pPr>
            <w:r>
              <w:rPr>
                <w:rFonts w:ascii="Aptos" w:cs="Aptos" w:eastAsia="Aptos" w:hAnsi="Aptos"/>
                <w:color w:val="1A1A1A"/>
                <w:sz w:val="19"/>
                <w:szCs w:val="19"/>
              </w:rPr>
              <w:t xml:space="preserve">1 · Intake</w:t>
            </w:r>
          </w:p>
        </w:tc>
        <w:tc>
          <w:tcPr>
            <w:tcW w:type="dxa" w:w="56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case is referred and the dossier — returns, e-invoicing, prior audits, registered economic activities — is assembled from ZATCA's own systems in one call. Nothing here waits on a person. Under the current PoC scope this assembly is demonstrated, not integrated.</w:t>
            </w:r>
          </w:p>
        </w:tc>
        <w:tc>
          <w:tcPr>
            <w:tcW w:type="dxa" w:w="2100"/>
            <w:tcMar>
              <w:top w:type="dxa" w:w="64"/>
              <w:left w:type="dxa" w:w="110"/>
              <w:bottom w:type="dxa" w:w="64"/>
              <w:right w:type="dxa" w:w="110"/>
            </w:tcMar>
          </w:tcPr>
          <w:p>
            <w:pPr>
              <w:spacing w:after="60" w:line="250"/>
            </w:pPr>
            <w:r>
              <w:rPr>
                <w:rFonts w:ascii="Aptos" w:cs="Aptos" w:eastAsia="Aptos" w:hAnsi="Aptos"/>
                <w:b/>
                <w:bCs/>
                <w:color w:val="1A1A1A"/>
                <w:sz w:val="19"/>
                <w:szCs w:val="19"/>
              </w:rPr>
              <w:t xml:space="preserve">Live</w:t>
            </w:r>
            <w:r>
              <w:rPr>
                <w:rFonts w:ascii="Aptos" w:cs="Aptos" w:eastAsia="Aptos" w:hAnsi="Aptos"/>
                <w:color w:val="1A1A1A"/>
                <w:sz w:val="19"/>
                <w:szCs w:val="19"/>
              </w:rPr>
              <w:t xml:space="preserve"> (demo)</w:t>
            </w:r>
          </w:p>
          <w:p>
            <w:pPr>
              <w:spacing w:after="0" w:line="250"/>
            </w:pPr>
            <w:r>
              <w:rPr>
                <w:rFonts w:ascii="Aptos" w:cs="Aptos" w:eastAsia="Aptos" w:hAnsi="Aptos"/>
                <w:color w:val="1A1A1A"/>
                <w:sz w:val="19"/>
                <w:szCs w:val="19"/>
              </w:rPr>
              <w:t xml:space="preserve">Integration out of scope</w:t>
            </w:r>
          </w:p>
        </w:tc>
      </w:tr>
      <w:tr>
        <w:tc>
          <w:tcPr>
            <w:tcW w:type="dxa" w:w="12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2 · Planning</w:t>
            </w:r>
          </w:p>
        </w:tc>
        <w:tc>
          <w:tcPr>
            <w:tcW w:type="dxa" w:w="56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Under the current scope this stage is folded into Intake: the auditor's own request email becomes the checkable specification directly. The standalone planning stage — precedent retrieval and risk-engine ingestion — is dormant.</w:t>
            </w:r>
          </w:p>
        </w:tc>
        <w:tc>
          <w:tcPr>
            <w:tcW w:type="dxa" w:w="2100"/>
            <w:shd w:fill="F1F6F8" w:color="auto" w:val="clear"/>
            <w:tcMar>
              <w:top w:type="dxa" w:w="64"/>
              <w:left w:type="dxa" w:w="110"/>
              <w:bottom w:type="dxa" w:w="64"/>
              <w:right w:type="dxa" w:w="110"/>
            </w:tcMar>
          </w:tcPr>
          <w:p>
            <w:pPr>
              <w:spacing w:after="60" w:line="250"/>
            </w:pPr>
            <w:r>
              <w:rPr>
                <w:rFonts w:ascii="Aptos" w:cs="Aptos" w:eastAsia="Aptos" w:hAnsi="Aptos"/>
                <w:b/>
                <w:bCs/>
                <w:color w:val="1A1A1A"/>
                <w:sz w:val="19"/>
                <w:szCs w:val="19"/>
              </w:rPr>
              <w:t xml:space="preserve">Dormant</w:t>
            </w:r>
          </w:p>
          <w:p>
            <w:pPr>
              <w:spacing w:after="0" w:line="250"/>
            </w:pPr>
            <w:r>
              <w:rPr>
                <w:rFonts w:ascii="Aptos" w:cs="Aptos" w:eastAsia="Aptos" w:hAnsi="Aptos"/>
                <w:color w:val="1A1A1A"/>
                <w:sz w:val="19"/>
                <w:szCs w:val="19"/>
              </w:rPr>
              <w:t xml:space="preserve">Kept and tested, not deleted</w:t>
            </w:r>
          </w:p>
        </w:tc>
      </w:tr>
      <w:tr>
        <w:tc>
          <w:tcPr>
            <w:tcW w:type="dxa" w:w="1250"/>
            <w:tcMar>
              <w:top w:type="dxa" w:w="64"/>
              <w:left w:type="dxa" w:w="110"/>
              <w:bottom w:type="dxa" w:w="64"/>
              <w:right w:type="dxa" w:w="110"/>
            </w:tcMar>
          </w:tcPr>
          <w:p>
            <w:pPr>
              <w:spacing w:after="0" w:line="250"/>
            </w:pPr>
            <w:r>
              <w:rPr>
                <w:rFonts w:ascii="Aptos" w:cs="Aptos" w:eastAsia="Aptos" w:hAnsi="Aptos"/>
                <w:color w:val="1A1A1A"/>
                <w:sz w:val="19"/>
                <w:szCs w:val="19"/>
              </w:rPr>
              <w:t xml:space="preserve">3 · Correspondence</w:t>
            </w:r>
          </w:p>
        </w:tc>
        <w:tc>
          <w:tcPr>
            <w:tcW w:type="dxa" w:w="56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received spreadsheets are checked against the specification: missing items, missing columns, blank mandatory fields, totals that do not foot. Where gaps exist, a chase email is drafted from the gaps alone and issued. The case sits in “waiting” for as long as the taxpayer takes — weeks to months — and every new document triggers an automatic recheck.</w:t>
            </w:r>
          </w:p>
        </w:tc>
        <w:tc>
          <w:tcPr>
            <w:tcW w:type="dxa" w:w="2100"/>
            <w:tcMar>
              <w:top w:type="dxa" w:w="64"/>
              <w:left w:type="dxa" w:w="110"/>
              <w:bottom w:type="dxa" w:w="64"/>
              <w:right w:type="dxa" w:w="110"/>
            </w:tcMar>
          </w:tcPr>
          <w:p>
            <w:pPr>
              <w:spacing w:after="60" w:line="250"/>
            </w:pPr>
            <w:r>
              <w:rPr>
                <w:rFonts w:ascii="Aptos" w:cs="Aptos" w:eastAsia="Aptos" w:hAnsi="Aptos"/>
                <w:b/>
                <w:bCs/>
                <w:color w:val="1A1A1A"/>
                <w:sz w:val="19"/>
                <w:szCs w:val="19"/>
              </w:rPr>
              <w:t xml:space="preserve">Live</w:t>
            </w:r>
          </w:p>
          <w:p>
            <w:pPr>
              <w:spacing w:after="0" w:line="250"/>
            </w:pPr>
            <w:r>
              <w:rPr>
                <w:rFonts w:ascii="Aptos" w:cs="Aptos" w:eastAsia="Aptos" w:hAnsi="Aptos"/>
                <w:color w:val="1A1A1A"/>
                <w:sz w:val="19"/>
                <w:szCs w:val="19"/>
              </w:rPr>
              <w:t xml:space="preserve">Job 1 of the current scope</w:t>
            </w:r>
          </w:p>
        </w:tc>
      </w:tr>
      <w:tr>
        <w:tc>
          <w:tcPr>
            <w:tcW w:type="dxa" w:w="12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4 · Review</w:t>
            </w:r>
          </w:p>
        </w:tc>
        <w:tc>
          <w:tcPr>
            <w:tcW w:type="dxa" w:w="56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Once the evidence is as complete as it will get, every line in each box is walked through the qualification rules and summed into an expected figure, then compared to declared. Within materiality, the case is done. If not, the four agents propose hypotheses, a deterministic adjudicator settles each against the engine's data, a challenger tests whether the leading hypothesis accounts for the whole gap, and a conclusion is reached for the auditor to validate.</w:t>
            </w:r>
          </w:p>
        </w:tc>
        <w:tc>
          <w:tcPr>
            <w:tcW w:type="dxa" w:w="2100"/>
            <w:shd w:fill="F1F6F8" w:color="auto" w:val="clear"/>
            <w:tcMar>
              <w:top w:type="dxa" w:w="64"/>
              <w:left w:type="dxa" w:w="110"/>
              <w:bottom w:type="dxa" w:w="64"/>
              <w:right w:type="dxa" w:w="110"/>
            </w:tcMar>
          </w:tcPr>
          <w:p>
            <w:pPr>
              <w:spacing w:after="60" w:line="250"/>
            </w:pPr>
            <w:r>
              <w:rPr>
                <w:rFonts w:ascii="Aptos" w:cs="Aptos" w:eastAsia="Aptos" w:hAnsi="Aptos"/>
                <w:b/>
                <w:bCs/>
                <w:color w:val="1A1A1A"/>
                <w:sz w:val="19"/>
                <w:szCs w:val="19"/>
              </w:rPr>
              <w:t xml:space="preserve">Live</w:t>
            </w:r>
          </w:p>
          <w:p>
            <w:pPr>
              <w:spacing w:after="0" w:line="250"/>
            </w:pPr>
            <w:r>
              <w:rPr>
                <w:rFonts w:ascii="Aptos" w:cs="Aptos" w:eastAsia="Aptos" w:hAnsi="Aptos"/>
                <w:color w:val="1A1A1A"/>
                <w:sz w:val="19"/>
                <w:szCs w:val="19"/>
              </w:rPr>
              <w:t xml:space="preserve">Job 2 — the reconciliation core</w:t>
            </w:r>
          </w:p>
        </w:tc>
      </w:tr>
      <w:tr>
        <w:tc>
          <w:tcPr>
            <w:tcW w:type="dxa" w:w="1250"/>
            <w:tcMar>
              <w:top w:type="dxa" w:w="64"/>
              <w:left w:type="dxa" w:w="110"/>
              <w:bottom w:type="dxa" w:w="64"/>
              <w:right w:type="dxa" w:w="110"/>
            </w:tcMar>
          </w:tcPr>
          <w:p>
            <w:pPr>
              <w:spacing w:after="0" w:line="250"/>
            </w:pPr>
            <w:r>
              <w:rPr>
                <w:rFonts w:ascii="Aptos" w:cs="Aptos" w:eastAsia="Aptos" w:hAnsi="Aptos"/>
                <w:color w:val="1A1A1A"/>
                <w:sz w:val="19"/>
                <w:szCs w:val="19"/>
              </w:rPr>
              <w:t xml:space="preserve">5 · Closure</w:t>
            </w:r>
          </w:p>
        </w:tc>
        <w:tc>
          <w:tcPr>
            <w:tcW w:type="dxa" w:w="56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 report and the taxpayer verdict letter are drafted section by section in the Authority's own template order, with every number a placeholder token the engine fills in verbatim. The auditor reviews and approves.</w:t>
            </w:r>
          </w:p>
        </w:tc>
        <w:tc>
          <w:tcPr>
            <w:tcW w:type="dxa" w:w="2100"/>
            <w:tcMar>
              <w:top w:type="dxa" w:w="64"/>
              <w:left w:type="dxa" w:w="110"/>
              <w:bottom w:type="dxa" w:w="64"/>
              <w:right w:type="dxa" w:w="110"/>
            </w:tcMar>
          </w:tcPr>
          <w:p>
            <w:pPr>
              <w:spacing w:after="60" w:line="250"/>
            </w:pPr>
            <w:r>
              <w:rPr>
                <w:rFonts w:ascii="Aptos" w:cs="Aptos" w:eastAsia="Aptos" w:hAnsi="Aptos"/>
                <w:b/>
                <w:bCs/>
                <w:color w:val="1A1A1A"/>
                <w:sz w:val="19"/>
                <w:szCs w:val="19"/>
              </w:rPr>
              <w:t xml:space="preserve">Live</w:t>
            </w:r>
          </w:p>
          <w:p>
            <w:pPr>
              <w:spacing w:after="0" w:line="250"/>
            </w:pPr>
            <w:r>
              <w:rPr>
                <w:rFonts w:ascii="Aptos" w:cs="Aptos" w:eastAsia="Aptos" w:hAnsi="Aptos"/>
                <w:color w:val="1A1A1A"/>
                <w:sz w:val="19"/>
                <w:szCs w:val="19"/>
              </w:rPr>
              <w:t xml:space="preserve">All six report sections build</w:t>
            </w:r>
          </w:p>
        </w:tc>
      </w:tr>
    </w:tbl>
    <w:p>
      <w:pPr>
        <w:spacing w:after="140"/>
      </w:pPr>
      <w:r>
        <w:rPr>
          <w:sz w:val="6"/>
          <w:szCs w:val="6"/>
        </w:rPr>
        <w:t xml:space="preserve"/>
      </w:r>
    </w:p>
    <w:tbl>
      <w:tblPr>
        <w:tblW w:type="dxa" w:w="9020"/>
        <w:tblBorders>
          <w:top w:val="single" w:color="F4F6F7" w:sz="2"/>
          <w:left w:val="single" w:color="5A6672" w:sz="24"/>
          <w:bottom w:val="single" w:color="F4F6F7" w:sz="2"/>
          <w:right w:val="single" w:color="F4F6F7" w:sz="2"/>
          <w:insideH w:val="none" w:color="FFFFFF" w:sz="0"/>
          <w:insideV w:val="none" w:color="FFFFFF" w:sz="0"/>
        </w:tblBorders>
      </w:tblPr>
      <w:tblGrid>
        <w:gridCol w:w="9020"/>
      </w:tblGrid>
      <w:tr>
        <w:tc>
          <w:tcPr>
            <w:tcW w:type="dxa" w:w="9020"/>
            <w:shd w:fill="F4F6F7" w:color="auto" w:val="clear"/>
            <w:tcMar>
              <w:top w:type="dxa" w:w="150"/>
              <w:left w:type="dxa" w:w="190"/>
              <w:bottom w:type="dxa" w:w="150"/>
              <w:right w:type="dxa" w:w="170"/>
            </w:tcMar>
          </w:tcPr>
          <w:p>
            <w:pPr>
              <w:spacing w:after="90" w:line="260"/>
            </w:pPr>
            <w:r>
              <w:rPr>
                <w:rFonts w:ascii="Aptos" w:cs="Aptos" w:eastAsia="Aptos" w:hAnsi="Aptos"/>
                <w:b/>
                <w:bCs/>
                <w:color w:val="5A6672"/>
                <w:sz w:val="21"/>
                <w:szCs w:val="21"/>
              </w:rPr>
              <w:t xml:space="preserve">Lifecycle tracking — what a full end-to-end flow requires</w:t>
            </w:r>
          </w:p>
          <w:p>
            <w:pPr>
              <w:spacing w:after="100" w:line="265"/>
            </w:pPr>
            <w:r>
              <w:rPr>
                <w:rFonts w:ascii="Aptos" w:cs="Aptos" w:eastAsia="Aptos" w:hAnsi="Aptos"/>
                <w:color w:val="1A1A1A"/>
                <w:sz w:val="20"/>
                <w:szCs w:val="20"/>
              </w:rPr>
              <w:t xml:space="preserve">To cover the end-to-end process properly, the solution should track </w:t>
            </w:r>
            <w:r>
              <w:rPr>
                <w:rFonts w:ascii="Aptos" w:cs="Aptos" w:eastAsia="Aptos" w:hAnsi="Aptos"/>
                <w:b/>
                <w:bCs/>
                <w:color w:val="1A1A1A"/>
                <w:sz w:val="20"/>
                <w:szCs w:val="20"/>
              </w:rPr>
              <w:t xml:space="preserve">request sent date, documents received date, completeness status, reminder count, last reminder date, days overdue, and non-cooperation status.</w:t>
            </w:r>
            <w:r>
              <w:rPr>
                <w:rFonts w:ascii="Aptos" w:cs="Aptos" w:eastAsia="Aptos" w:hAnsi="Aptos"/>
                <w:color w:val="1A1A1A"/>
                <w:sz w:val="20"/>
                <w:szCs w:val="20"/>
              </w:rPr>
              <w:t xml:space="preserve"> This supports the auditor in understanding the status of each case, and matters because </w:t>
            </w:r>
            <w:r>
              <w:rPr>
                <w:rFonts w:ascii="Aptos" w:cs="Aptos" w:eastAsia="Aptos" w:hAnsi="Aptos"/>
                <w:b/>
                <w:bCs/>
                <w:color w:val="1A1A1A"/>
                <w:sz w:val="20"/>
                <w:szCs w:val="20"/>
              </w:rPr>
              <w:t xml:space="preserve">Article 64</w:t>
            </w:r>
            <w:r>
              <w:rPr>
                <w:rFonts w:ascii="Aptos" w:cs="Aptos" w:eastAsia="Aptos" w:hAnsi="Aptos"/>
                <w:color w:val="1A1A1A"/>
                <w:sz w:val="20"/>
                <w:szCs w:val="20"/>
              </w:rPr>
              <w:t xml:space="preserve"> requires a taxpayer to cooperate with ZATCA's examination and to make the relevant invoices, books, records and accounting documents available.</w:t>
            </w:r>
          </w:p>
          <w:p>
            <w:pPr>
              <w:spacing w:after="0" w:line="265"/>
            </w:pPr>
            <w:r>
              <w:rPr>
                <w:rFonts w:ascii="Aptos" w:cs="Aptos" w:eastAsia="Aptos" w:hAnsi="Aptos"/>
                <w:color w:val="1A1A1A"/>
                <w:sz w:val="20"/>
                <w:szCs w:val="20"/>
              </w:rPr>
              <w:t xml:space="preserve">Since the PoC does not include integration, this information is not sourced from a live system and is presented </w:t>
            </w:r>
            <w:r>
              <w:rPr>
                <w:rFonts w:ascii="Aptos" w:cs="Aptos" w:eastAsia="Aptos" w:hAnsi="Aptos"/>
                <w:b/>
                <w:bCs/>
                <w:color w:val="1A1A1A"/>
                <w:sz w:val="20"/>
                <w:szCs w:val="20"/>
              </w:rPr>
              <w:t xml:space="preserve">for demonstration purposes only</w:t>
            </w:r>
            <w:r>
              <w:rPr>
                <w:rFonts w:ascii="Aptos" w:cs="Aptos" w:eastAsia="Aptos" w:hAnsi="Aptos"/>
                <w:color w:val="1A1A1A"/>
                <w:sz w:val="20"/>
                <w:szCs w:val="20"/>
              </w:rPr>
              <w:t xml:space="preserve">.</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9.  Solutions We Went With</w:t>
      </w:r>
    </w:p>
    <w:p>
      <w:pPr>
        <w:spacing w:after="140" w:line="276"/>
      </w:pPr>
      <w:r>
        <w:rPr>
          <w:rFonts w:ascii="Aptos" w:cs="Aptos" w:eastAsia="Aptos" w:hAnsi="Aptos"/>
          <w:color w:val="1A1A1A"/>
          <w:sz w:val="21"/>
          <w:szCs w:val="21"/>
        </w:rPr>
        <w:t xml:space="preserve">Against each of the pain points in Section 4, the design decision that answers it — including one that was deliberately deferred rather than half-built.</w:t>
      </w:r>
    </w:p>
    <w:p>
      <w:pPr>
        <w:pStyle w:val="Heading3"/>
        <w:keepNext/>
        <w:spacing w:after="100" w:before="220"/>
      </w:pPr>
      <w:r>
        <w:rPr>
          <w:rFonts w:ascii="Aptos" w:cs="Aptos" w:eastAsia="Aptos" w:hAnsi="Aptos"/>
          <w:b/>
          <w:bCs/>
          <w:color w:val="44546A"/>
          <w:sz w:val="22"/>
          <w:szCs w:val="22"/>
        </w:rPr>
        <w:t xml:space="preserve">Against #1 — months-long correspondence</w:t>
      </w:r>
    </w:p>
    <w:p>
      <w:pPr>
        <w:spacing w:after="140" w:line="276"/>
      </w:pPr>
      <w:r>
        <w:rPr>
          <w:rFonts w:ascii="Aptos" w:cs="Aptos" w:eastAsia="Aptos" w:hAnsi="Aptos"/>
          <w:color w:val="1A1A1A"/>
          <w:sz w:val="21"/>
          <w:szCs w:val="21"/>
        </w:rPr>
        <w:t xml:space="preserve">A lifecycle machine in which every stage is </w:t>
      </w:r>
      <w:r>
        <w:rPr>
          <w:rFonts w:ascii="Aptos" w:cs="Aptos" w:eastAsia="Aptos" w:hAnsi="Aptos"/>
          <w:b/>
          <w:bCs/>
          <w:color w:val="1A1A1A"/>
          <w:sz w:val="21"/>
          <w:szCs w:val="21"/>
        </w:rPr>
        <w:t xml:space="preserve">computed, never stored</w:t>
      </w:r>
      <w:r>
        <w:rPr>
          <w:rFonts w:ascii="Aptos" w:cs="Aptos" w:eastAsia="Aptos" w:hAnsi="Aptos"/>
          <w:color w:val="1A1A1A"/>
          <w:sz w:val="21"/>
          <w:szCs w:val="21"/>
        </w:rPr>
        <w:t xml:space="preserve">, and “waiting on the taxpayer” is a distinct, explicit state — so a case queue can finally tell the two apart. Completeness is rechecked automatically on every new document, not manually. This does not shorten the taxpayer's side of the clock, and does not claim to; it removes the auditor-side delay and makes the waiting attributable.</w:t>
      </w:r>
    </w:p>
    <w:p>
      <w:pPr>
        <w:pStyle w:val="Heading3"/>
        <w:keepNext/>
        <w:spacing w:after="100" w:before="220"/>
      </w:pPr>
      <w:r>
        <w:rPr>
          <w:rFonts w:ascii="Aptos" w:cs="Aptos" w:eastAsia="Aptos" w:hAnsi="Aptos"/>
          <w:b/>
          <w:bCs/>
          <w:color w:val="44546A"/>
          <w:sz w:val="22"/>
          <w:szCs w:val="22"/>
        </w:rPr>
        <w:t xml:space="preserve">Against #2 — structure over substance</w:t>
      </w:r>
    </w:p>
    <w:p>
      <w:pPr>
        <w:spacing w:after="140" w:line="276"/>
      </w:pPr>
      <w:r>
        <w:rPr>
          <w:rFonts w:ascii="Aptos" w:cs="Aptos" w:eastAsia="Aptos" w:hAnsi="Aptos"/>
          <w:color w:val="1A1A1A"/>
          <w:sz w:val="21"/>
          <w:szCs w:val="21"/>
        </w:rPr>
        <w:t xml:space="preserve">A deterministic completeness checker tests structure, columns, blank fields and footing against the parsed request specification </w:t>
      </w:r>
      <w:r>
        <w:rPr>
          <w:rFonts w:ascii="Aptos" w:cs="Aptos" w:eastAsia="Aptos" w:hAnsi="Aptos"/>
          <w:b/>
          <w:bCs/>
          <w:color w:val="1A1A1A"/>
          <w:sz w:val="21"/>
          <w:szCs w:val="21"/>
        </w:rPr>
        <w:t xml:space="preserve">before any tax question is asked</w:t>
      </w:r>
      <w:r>
        <w:rPr>
          <w:rFonts w:ascii="Aptos" w:cs="Aptos" w:eastAsia="Aptos" w:hAnsi="Aptos"/>
          <w:color w:val="1A1A1A"/>
          <w:sz w:val="21"/>
          <w:szCs w:val="21"/>
        </w:rPr>
        <w:t xml:space="preserve">, and drafts the chase email from the gaps alone. This is the formal review the auditors described, automated to their own stated sequence.</w:t>
      </w:r>
    </w:p>
    <w:p>
      <w:pPr>
        <w:pStyle w:val="Heading3"/>
        <w:keepNext/>
        <w:spacing w:after="100" w:before="220"/>
      </w:pPr>
      <w:r>
        <w:rPr>
          <w:rFonts w:ascii="Aptos" w:cs="Aptos" w:eastAsia="Aptos" w:hAnsi="Aptos"/>
          <w:b/>
          <w:bCs/>
          <w:color w:val="44546A"/>
          <w:sz w:val="22"/>
          <w:szCs w:val="22"/>
        </w:rPr>
        <w:t xml:space="preserve">Against #3 — fragmented internal data</w:t>
      </w:r>
    </w:p>
    <w:p>
      <w:pPr>
        <w:spacing w:after="140" w:line="276"/>
      </w:pPr>
      <w:r>
        <w:rPr>
          <w:rFonts w:ascii="Aptos" w:cs="Aptos" w:eastAsia="Aptos" w:hAnsi="Aptos"/>
          <w:color w:val="1A1A1A"/>
          <w:sz w:val="21"/>
          <w:szCs w:val="21"/>
        </w:rPr>
        <w:t xml:space="preserve">A single dossier-assembly call brings together everything ZATCA already holds about the taxpayer and period, in one screen — matching the auditors' own practice of investigating internal information before asking the taxpayer for anything. Under the current scope this is demonstrated rather than integrated.</w:t>
      </w:r>
    </w:p>
    <w:p>
      <w:pPr>
        <w:pStyle w:val="Heading3"/>
        <w:keepNext/>
        <w:spacing w:after="100" w:before="220"/>
      </w:pPr>
      <w:r>
        <w:rPr>
          <w:rFonts w:ascii="Aptos" w:cs="Aptos" w:eastAsia="Aptos" w:hAnsi="Aptos"/>
          <w:b/>
          <w:bCs/>
          <w:color w:val="44546A"/>
          <w:sz w:val="22"/>
          <w:szCs w:val="22"/>
        </w:rPr>
        <w:t xml:space="preserve">Against #4 — tacit institutional knowledge</w:t>
      </w:r>
    </w:p>
    <w:p>
      <w:pPr>
        <w:spacing w:after="140" w:line="276"/>
      </w:pPr>
      <w:r>
        <w:rPr>
          <w:rFonts w:ascii="Aptos" w:cs="Aptos" w:eastAsia="Aptos" w:hAnsi="Aptos"/>
          <w:b/>
          <w:bCs/>
          <w:color w:val="1A1A1A"/>
          <w:sz w:val="21"/>
          <w:szCs w:val="21"/>
        </w:rPr>
        <w:t xml:space="preserve">Deliberately deferred rather than half-built.</w:t>
      </w:r>
      <w:r>
        <w:rPr>
          <w:rFonts w:ascii="Aptos" w:cs="Aptos" w:eastAsia="Aptos" w:hAnsi="Aptos"/>
          <w:color w:val="1A1A1A"/>
          <w:sz w:val="21"/>
          <w:szCs w:val="21"/>
        </w:rPr>
        <w:t xml:space="preserve"> Deterministic precedent retrieval over a labelled corpus of closed cases already exists and is tested, but is dormant under the current scope. It is the intended foundation for the RAG phase in Section 11 — retrieval over governed, validated knowledge, never a model retrained on unreviewed input.</w:t>
      </w:r>
    </w:p>
    <w:p>
      <w:pPr>
        <w:pStyle w:val="Heading3"/>
        <w:keepNext/>
        <w:spacing w:after="100" w:before="220"/>
      </w:pPr>
      <w:r>
        <w:rPr>
          <w:rFonts w:ascii="Aptos" w:cs="Aptos" w:eastAsia="Aptos" w:hAnsi="Aptos"/>
          <w:b/>
          <w:bCs/>
          <w:color w:val="44546A"/>
          <w:sz w:val="22"/>
          <w:szCs w:val="22"/>
        </w:rPr>
        <w:t xml:space="preserve">Against #5 — manual arithmetic and keying risk</w:t>
      </w:r>
    </w:p>
    <w:p>
      <w:pPr>
        <w:spacing w:after="140" w:line="276"/>
      </w:pPr>
      <w:r>
        <w:rPr>
          <w:rFonts w:ascii="Aptos" w:cs="Aptos" w:eastAsia="Aptos" w:hAnsi="Aptos"/>
          <w:color w:val="1A1A1A"/>
          <w:sz w:val="21"/>
          <w:szCs w:val="21"/>
        </w:rPr>
        <w:t xml:space="preserve">Two independent checks. The </w:t>
      </w:r>
      <w:r>
        <w:rPr>
          <w:rFonts w:ascii="Aptos" w:cs="Aptos" w:eastAsia="Aptos" w:hAnsi="Aptos"/>
          <w:b/>
          <w:bCs/>
          <w:color w:val="1A1A1A"/>
          <w:sz w:val="21"/>
          <w:szCs w:val="21"/>
        </w:rPr>
        <w:t xml:space="preserve">Calculation</w:t>
      </w:r>
      <w:r>
        <w:rPr>
          <w:rFonts w:ascii="Aptos" w:cs="Aptos" w:eastAsia="Aptos" w:hAnsi="Aptos"/>
          <w:color w:val="1A1A1A"/>
          <w:sz w:val="21"/>
          <w:szCs w:val="21"/>
        </w:rPr>
        <w:t xml:space="preserve"> agent re-derives any figure an auditor keyed in by hand from a plain-language description of their method. The </w:t>
      </w:r>
      <w:r>
        <w:rPr>
          <w:rFonts w:ascii="Aptos" w:cs="Aptos" w:eastAsia="Aptos" w:hAnsi="Aptos"/>
          <w:b/>
          <w:bCs/>
          <w:color w:val="1A1A1A"/>
          <w:sz w:val="21"/>
          <w:szCs w:val="21"/>
        </w:rPr>
        <w:t xml:space="preserve">Data Entry</w:t>
      </w:r>
      <w:r>
        <w:rPr>
          <w:rFonts w:ascii="Aptos" w:cs="Aptos" w:eastAsia="Aptos" w:hAnsi="Aptos"/>
          <w:color w:val="1A1A1A"/>
          <w:sz w:val="21"/>
          <w:szCs w:val="21"/>
        </w:rPr>
        <w:t xml:space="preserve"> agent screens taxpayer-supplied values for decimal shifts, transpositions and out-of-character magnitudes. Neither performs the audit calculation; both provide a second line of validation to reduce manual error.</w:t>
      </w:r>
    </w:p>
    <w:p>
      <w:pPr>
        <w:pStyle w:val="Heading2"/>
        <w:keepNext/>
        <w:spacing w:after="120" w:before="300"/>
      </w:pPr>
      <w:r>
        <w:rPr>
          <w:rFonts w:ascii="Aptos" w:cs="Aptos" w:eastAsia="Aptos" w:hAnsi="Aptos"/>
          <w:b/>
          <w:bCs/>
          <w:color w:val="0E3F52"/>
          <w:sz w:val="25"/>
          <w:szCs w:val="25"/>
        </w:rPr>
        <w:t xml:space="preserve">The cross-cutting solution: evidence, not assertion</w:t>
      </w:r>
    </w:p>
    <w:p>
      <w:pPr>
        <w:spacing w:after="140" w:line="276"/>
      </w:pPr>
      <w:r>
        <w:rPr>
          <w:rFonts w:ascii="Aptos" w:cs="Aptos" w:eastAsia="Aptos" w:hAnsi="Aptos"/>
          <w:color w:val="1A1A1A"/>
          <w:sz w:val="21"/>
          <w:szCs w:val="21"/>
        </w:rPr>
        <w:t xml:space="preserve">Every confirmed hypothesis becomes a finding only with a </w:t>
      </w:r>
      <w:r>
        <w:rPr>
          <w:rFonts w:ascii="Aptos" w:cs="Aptos" w:eastAsia="Aptos" w:hAnsi="Aptos"/>
          <w:b/>
          <w:bCs/>
          <w:color w:val="1A1A1A"/>
          <w:sz w:val="21"/>
          <w:szCs w:val="21"/>
        </w:rPr>
        <w:t xml:space="preserve">named evidentiary basis</w:t>
      </w:r>
      <w:r>
        <w:rPr>
          <w:rFonts w:ascii="Aptos" w:cs="Aptos" w:eastAsia="Aptos" w:hAnsi="Aptos"/>
          <w:color w:val="1A1A1A"/>
          <w:sz w:val="21"/>
          <w:szCs w:val="21"/>
        </w:rPr>
        <w:t xml:space="preserve"> attached by the adjudicator — not inferred from the test name. This matters concretely.</w:t>
      </w:r>
    </w:p>
    <w:p>
      <w:pPr>
        <w:spacing w:after="140" w:line="276"/>
      </w:pPr>
      <w:r>
        <w:rPr>
          <w:rFonts w:ascii="Aptos" w:cs="Aptos" w:eastAsia="Aptos" w:hAnsi="Aptos"/>
          <w:color w:val="1A1A1A"/>
          <w:sz w:val="21"/>
          <w:szCs w:val="21"/>
        </w:rPr>
        <w:t xml:space="preserve">A single sales listing that exceeds the declared return is simultaneously “higher than declared”, “not disclosed”, “does not correspond”, and — with no trial balance on file — a fourth variant, all from one test over one file. An early version of the logic summed all four as if independent and reported </w:t>
      </w:r>
      <w:r>
        <w:rPr>
          <w:rFonts w:ascii="Aptos" w:cs="Aptos" w:eastAsia="Aptos" w:hAnsi="Aptos"/>
          <w:b/>
          <w:bCs/>
          <w:color w:val="1A1A1A"/>
          <w:sz w:val="21"/>
          <w:szCs w:val="21"/>
        </w:rPr>
        <w:t xml:space="preserve">SAR 1,854,000 against a real excess of SAR 618,000</w:t>
      </w:r>
      <w:r>
        <w:rPr>
          <w:rFonts w:ascii="Aptos" w:cs="Aptos" w:eastAsia="Aptos" w:hAnsi="Aptos"/>
          <w:color w:val="1A1A1A"/>
          <w:sz w:val="21"/>
          <w:szCs w:val="21"/>
        </w:rPr>
        <w:t xml:space="preserve">, stating the same figure in a taxpayer letter four times over.</w:t>
      </w:r>
    </w:p>
    <w:p>
      <w:pPr>
        <w:spacing w:after="140" w:line="276"/>
      </w:pPr>
      <w:r>
        <w:rPr>
          <w:rFonts w:ascii="Aptos" w:cs="Aptos" w:eastAsia="Aptos" w:hAnsi="Aptos"/>
          <w:color w:val="1A1A1A"/>
          <w:sz w:val="21"/>
          <w:szCs w:val="21"/>
        </w:rPr>
        <w:t xml:space="preserve">The fix: exposure counts each evidentiary basis once, documentation risk excludes evidence already producing an adjustment, and the letter states each amount once with the alternative readings named beneath it. The basis comes from the adjudicator, never from the test's name.</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10.  The Agents and How They Work</w:t>
      </w:r>
    </w:p>
    <w:p>
      <w:pPr>
        <w:spacing w:after="140" w:line="276"/>
      </w:pPr>
      <w:r>
        <w:rPr>
          <w:rFonts w:ascii="Aptos" w:cs="Aptos" w:eastAsia="Aptos" w:hAnsi="Aptos"/>
          <w:color w:val="1A1A1A"/>
          <w:sz w:val="21"/>
          <w:szCs w:val="21"/>
        </w:rPr>
        <w:t xml:space="preserve">Investigation is a bounded, five-round state machine over a shared case file — deliberately </w:t>
      </w:r>
      <w:r>
        <w:rPr>
          <w:rFonts w:ascii="Aptos" w:cs="Aptos" w:eastAsia="Aptos" w:hAnsi="Aptos"/>
          <w:b/>
          <w:bCs/>
          <w:color w:val="1A1A1A"/>
          <w:sz w:val="21"/>
          <w:szCs w:val="21"/>
        </w:rPr>
        <w:t xml:space="preserve">not</w:t>
      </w:r>
      <w:r>
        <w:rPr>
          <w:rFonts w:ascii="Aptos" w:cs="Aptos" w:eastAsia="Aptos" w:hAnsi="Aptos"/>
          <w:color w:val="1A1A1A"/>
          <w:sz w:val="21"/>
          <w:szCs w:val="21"/>
        </w:rPr>
        <w:t xml:space="preserve"> free-form model chat, which would be unauditable and unbounded. The rounds are fixed, the inputs are the engine's own facts, and every proposal is settled deterministically before it reaches the auditor.</w:t>
      </w:r>
    </w:p>
    <w:p>
      <w:pPr>
        <w:pStyle w:val="Heading2"/>
        <w:keepNext/>
        <w:spacing w:after="120" w:before="300"/>
      </w:pPr>
      <w:r>
        <w:rPr>
          <w:rFonts w:ascii="Aptos" w:cs="Aptos" w:eastAsia="Aptos" w:hAnsi="Aptos"/>
          <w:b/>
          <w:bCs/>
          <w:color w:val="0E3F52"/>
          <w:sz w:val="25"/>
          <w:szCs w:val="25"/>
        </w:rPr>
        <w:t xml:space="preserve">10.1  The five rounds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400"/>
        <w:gridCol w:w="7620"/>
      </w:tblGrid>
      <w:tr>
        <w:trPr>
          <w:tblHeader/>
        </w:trPr>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Round</w:t>
            </w:r>
          </w:p>
        </w:tc>
        <w:tc>
          <w:tcPr>
            <w:tcW w:type="dxa" w:w="76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happens</w:t>
            </w:r>
          </w:p>
        </w:tc>
      </w:tr>
      <w:tr>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0 · Facts</w:t>
            </w:r>
          </w:p>
        </w:tc>
        <w:tc>
          <w:tcPr>
            <w:tcW w:type="dxa" w:w="76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deterministic engine publishes what it has already computed — declared, expected, difference, materiality, state — as the shared ground truth every agent reasons over.</w:t>
            </w:r>
          </w:p>
        </w:tc>
      </w:tr>
      <w:tr>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1 · Hypotheses</w:t>
            </w:r>
          </w:p>
        </w:tc>
        <w:tc>
          <w:tcPr>
            <w:tcW w:type="dxa" w:w="7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four agents propose in parallel. Each returns </w:t>
            </w:r>
            <w:r>
              <w:rPr>
                <w:rFonts w:ascii="Aptos" w:cs="Aptos" w:eastAsia="Aptos" w:hAnsi="Aptos"/>
                <w:b/>
                <w:bCs/>
                <w:color w:val="1A1A1A"/>
                <w:sz w:val="19"/>
                <w:szCs w:val="19"/>
              </w:rPr>
              <w:t xml:space="preserve">language only</w:t>
            </w:r>
            <w:r>
              <w:rPr>
                <w:rFonts w:ascii="Aptos" w:cs="Aptos" w:eastAsia="Aptos" w:hAnsi="Aptos"/>
                <w:color w:val="1A1A1A"/>
                <w:sz w:val="19"/>
                <w:szCs w:val="19"/>
              </w:rPr>
              <w:t xml:space="preserve"> — a claim and a typed test specification — never a figure and never a conclusion.</w:t>
            </w:r>
          </w:p>
        </w:tc>
      </w:tr>
      <w:tr>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2 · Adjudication</w:t>
            </w:r>
          </w:p>
        </w:tc>
        <w:tc>
          <w:tcPr>
            <w:tcW w:type="dxa" w:w="7620"/>
            <w:tcMar>
              <w:top w:type="dxa" w:w="64"/>
              <w:left w:type="dxa" w:w="110"/>
              <w:bottom w:type="dxa" w:w="64"/>
              <w:right w:type="dxa" w:w="110"/>
            </w:tcMar>
          </w:tcPr>
          <w:p>
            <w:pPr>
              <w:spacing w:after="0" w:line="250"/>
            </w:pPr>
            <w:r>
              <w:rPr>
                <w:rFonts w:ascii="Aptos" w:cs="Aptos" w:eastAsia="Aptos" w:hAnsi="Aptos"/>
                <w:color w:val="1A1A1A"/>
                <w:sz w:val="19"/>
                <w:szCs w:val="19"/>
              </w:rPr>
              <w:t xml:space="preserve">A deterministic adjudicator executes every proposed test against the engine's own data and states the amount, if any, and the status: confirmed, rejected, or insufficient evidence.</w:t>
            </w:r>
          </w:p>
        </w:tc>
      </w:tr>
      <w:tr>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3 · Objection</w:t>
            </w:r>
          </w:p>
        </w:tc>
        <w:tc>
          <w:tcPr>
            <w:tcW w:type="dxa" w:w="7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challenger tests whether the leading hypothesis really accounts for the whole difference, or whether a rival explanation — or an unexplained shortfall — remains.</w:t>
            </w:r>
          </w:p>
        </w:tc>
      </w:tr>
      <w:tr>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4 · Conclusion</w:t>
            </w:r>
          </w:p>
        </w:tc>
        <w:tc>
          <w:tcPr>
            <w:tcW w:type="dxa" w:w="76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case lead ranks the confirmed hypotheses and states plainly what remains unexplained, or escalates the ranked list to the auditor rather than guessing if nothing fits.</w:t>
            </w:r>
          </w:p>
        </w:tc>
      </w:tr>
    </w:tbl>
    <w:p>
      <w:pPr>
        <w:pStyle w:val="Heading2"/>
        <w:keepNext/>
        <w:spacing w:after="120" w:before="300"/>
      </w:pPr>
      <w:r>
        <w:rPr>
          <w:rFonts w:ascii="Aptos" w:cs="Aptos" w:eastAsia="Aptos" w:hAnsi="Aptos"/>
          <w:b/>
          <w:bCs/>
          <w:color w:val="0E3F52"/>
          <w:sz w:val="25"/>
          <w:szCs w:val="25"/>
        </w:rPr>
        <w:t xml:space="preserve">10.2  The four agents</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700"/>
        <w:gridCol w:w="7320"/>
      </w:tblGrid>
      <w:tr>
        <w:trPr>
          <w:tblHeader/>
        </w:trPr>
        <w:tc>
          <w:tcPr>
            <w:tcW w:type="dxa" w:w="1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Agent</w:t>
            </w:r>
          </w:p>
        </w:tc>
        <w:tc>
          <w:tcPr>
            <w:tcW w:type="dxa" w:w="73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owns</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Regulations</w:t>
            </w:r>
          </w:p>
        </w:tc>
        <w:tc>
          <w:tcPr>
            <w:tcW w:type="dxa" w:w="7320"/>
            <w:tcMar>
              <w:top w:type="dxa" w:w="64"/>
              <w:left w:type="dxa" w:w="110"/>
              <w:bottom w:type="dxa" w:w="64"/>
              <w:right w:type="dxa" w:w="110"/>
            </w:tcMar>
          </w:tcPr>
          <w:p>
            <w:pPr>
              <w:spacing w:after="0" w:line="250"/>
            </w:pPr>
            <w:r>
              <w:rPr>
                <w:rFonts w:ascii="Aptos" w:cs="Aptos" w:eastAsia="Aptos" w:hAnsi="Aptos"/>
                <w:color w:val="1A1A1A"/>
                <w:sz w:val="19"/>
                <w:szCs w:val="19"/>
              </w:rPr>
              <w:t xml:space="preserve">Not entitled to deduct · valid tax invoice conditions · valid credit note conditions. </w:t>
            </w:r>
            <w:r>
              <w:rPr>
                <w:rFonts w:ascii="Aptos" w:cs="Aptos" w:eastAsia="Aptos" w:hAnsi="Aptos"/>
                <w:b/>
                <w:bCs/>
                <w:color w:val="1A1A1A"/>
                <w:sz w:val="19"/>
                <w:szCs w:val="19"/>
              </w:rPr>
              <w:t xml:space="preserve">Cite-or-drop</w:t>
            </w:r>
            <w:r>
              <w:rPr>
                <w:rFonts w:ascii="Aptos" w:cs="Aptos" w:eastAsia="Aptos" w:hAnsi="Aptos"/>
                <w:color w:val="1A1A1A"/>
                <w:sz w:val="19"/>
                <w:szCs w:val="19"/>
              </w:rPr>
              <w:t xml:space="preserve">: it may not assert a condition without an article behind it, so it currently runs only the deterministic field-presence checks and a small explicit blocked-expense list, pending the real regulations corpus (Section 11).</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Data Entry</w:t>
            </w:r>
          </w:p>
        </w:tc>
        <w:tc>
          <w:tcPr>
            <w:tcW w:type="dxa" w:w="73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Decimal shift, transposition, and out-of-character magnitude — keying errors that would otherwise be read as under-declaration. This answers the auditors' point that a taxpayer may enter 10,000 instead of 1,000.</w:t>
            </w:r>
          </w:p>
        </w:tc>
      </w:tr>
      <w:tr>
        <w:tc>
          <w:tcPr>
            <w:tcW w:type="dxa" w:w="1700"/>
            <w:tcMar>
              <w:top w:type="dxa" w:w="64"/>
              <w:left w:type="dxa" w:w="110"/>
              <w:bottom w:type="dxa" w:w="64"/>
              <w:right w:type="dxa" w:w="110"/>
            </w:tcMar>
          </w:tcPr>
          <w:p>
            <w:pPr>
              <w:spacing w:after="0" w:line="250"/>
            </w:pPr>
            <w:r>
              <w:rPr>
                <w:rFonts w:ascii="Aptos" w:cs="Aptos" w:eastAsia="Aptos" w:hAnsi="Aptos"/>
                <w:color w:val="1A1A1A"/>
                <w:sz w:val="19"/>
                <w:szCs w:val="19"/>
              </w:rPr>
              <w:t xml:space="preserve">Calculation</w:t>
            </w:r>
          </w:p>
        </w:tc>
        <w:tc>
          <w:tcPr>
            <w:tcW w:type="dxa" w:w="7320"/>
            <w:tcMar>
              <w:top w:type="dxa" w:w="64"/>
              <w:left w:type="dxa" w:w="110"/>
              <w:bottom w:type="dxa" w:w="64"/>
              <w:right w:type="dxa" w:w="110"/>
            </w:tcMar>
          </w:tcPr>
          <w:p>
            <w:pPr>
              <w:spacing w:after="0" w:line="250"/>
            </w:pPr>
            <w:r>
              <w:rPr>
                <w:rFonts w:ascii="Aptos" w:cs="Aptos" w:eastAsia="Aptos" w:hAnsi="Aptos"/>
                <w:color w:val="1A1A1A"/>
                <w:sz w:val="19"/>
                <w:szCs w:val="19"/>
              </w:rPr>
              <w:t xml:space="preserve">Listing exceeds declared · POS or bank record exceeds declared · undisclosed sales · unreproduced auditor figures. Distinguishes a formally-requested POS or bank record from one merely found on file, so the hypothesis states the stronger provenance when it applies. Also </w:t>
            </w:r>
            <w:r>
              <w:rPr>
                <w:rFonts w:ascii="Aptos" w:cs="Aptos" w:eastAsia="Aptos" w:hAnsi="Aptos"/>
                <w:b/>
                <w:bCs/>
                <w:color w:val="1A1A1A"/>
                <w:sz w:val="19"/>
                <w:szCs w:val="19"/>
              </w:rPr>
              <w:t xml:space="preserve">re-derives any figure an auditor keyed in by hand</w:t>
            </w:r>
            <w:r>
              <w:rPr>
                <w:rFonts w:ascii="Aptos" w:cs="Aptos" w:eastAsia="Aptos" w:hAnsi="Aptos"/>
                <w:color w:val="1A1A1A"/>
                <w:sz w:val="19"/>
                <w:szCs w:val="19"/>
              </w:rPr>
              <w:t xml:space="preserve"> from a plain-language description of their method: a model reads the sentence and translates it into a structured query; it never touches the arithmetic itself — Python executes the query and produces the number.</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Evidence &amp; Coverage</w:t>
            </w:r>
          </w:p>
        </w:tc>
        <w:tc>
          <w:tcPr>
            <w:tcW w:type="dxa" w:w="73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Missing supporting documentation · lack of cooperation · documents that do not correspond · no trial balance · undisclosed secondary activity. The largest share of the auditors' own outcome list.</w:t>
            </w:r>
          </w:p>
        </w:tc>
      </w:tr>
    </w:tbl>
    <w:p>
      <w:pPr>
        <w:spacing w:after="120"/>
      </w:pPr>
      <w:r>
        <w:rPr>
          <w:sz w:val="6"/>
          <w:szCs w:val="6"/>
        </w:rPr>
        <w:t xml:space="preserve"/>
      </w:r>
    </w:p>
    <w:p>
      <w:pPr>
        <w:spacing w:after="140" w:line="276"/>
      </w:pPr>
      <w:r>
        <w:rPr>
          <w:rFonts w:ascii="Aptos" w:cs="Aptos" w:eastAsia="Aptos" w:hAnsi="Aptos"/>
          <w:color w:val="1A1A1A"/>
          <w:sz w:val="21"/>
          <w:szCs w:val="21"/>
        </w:rPr>
        <w:t xml:space="preserve">Two fields carry the defensibility weight on every hypothesis. </w:t>
      </w:r>
      <w:r>
        <w:rPr>
          <w:rFonts w:ascii="Aptos" w:cs="Aptos" w:eastAsia="Aptos" w:hAnsi="Aptos"/>
          <w:b/>
          <w:bCs/>
          <w:color w:val="1A1A1A"/>
          <w:sz w:val="21"/>
          <w:szCs w:val="21"/>
        </w:rPr>
        <w:t xml:space="preserve">“Why”</w:t>
      </w:r>
      <w:r>
        <w:rPr>
          <w:rFonts w:ascii="Aptos" w:cs="Aptos" w:eastAsia="Aptos" w:hAnsi="Aptos"/>
          <w:color w:val="1A1A1A"/>
          <w:sz w:val="21"/>
          <w:szCs w:val="21"/>
        </w:rPr>
        <w:t xml:space="preserve"> records the observation that triggered it — an auditor has to defend a finding to a taxpayer, and “an agent proposed it” is not a defence. </w:t>
      </w:r>
      <w:r>
        <w:rPr>
          <w:rFonts w:ascii="Aptos" w:cs="Aptos" w:eastAsia="Aptos" w:hAnsi="Aptos"/>
          <w:b/>
          <w:bCs/>
          <w:color w:val="1A1A1A"/>
          <w:sz w:val="21"/>
          <w:szCs w:val="21"/>
        </w:rPr>
        <w:t xml:space="preserve">“Outcome code”</w:t>
      </w:r>
      <w:r>
        <w:rPr>
          <w:rFonts w:ascii="Aptos" w:cs="Aptos" w:eastAsia="Aptos" w:hAnsi="Aptos"/>
          <w:color w:val="1A1A1A"/>
          <w:sz w:val="21"/>
          <w:szCs w:val="21"/>
        </w:rPr>
        <w:t xml:space="preserve"> is the one route from an agent's language to the Authority's own wording in a report. An agent proposing nothing is itself a correct, informative result: a hypothesis that can only ever return “insufficient evidence” wastes the auditor's attention.</w:t>
      </w:r>
    </w:p>
    <w:p>
      <w:pPr>
        <w:pStyle w:val="Heading2"/>
        <w:keepNext/>
        <w:spacing w:after="120" w:before="300"/>
      </w:pPr>
      <w:r>
        <w:rPr>
          <w:rFonts w:ascii="Aptos" w:cs="Aptos" w:eastAsia="Aptos" w:hAnsi="Aptos"/>
          <w:b/>
          <w:bCs/>
          <w:color w:val="0E3F52"/>
          <w:sz w:val="25"/>
          <w:szCs w:val="25"/>
        </w:rPr>
        <w:t xml:space="preserve">10.3  The outcome vocabulary</w:t>
      </w:r>
    </w:p>
    <w:p>
      <w:pPr>
        <w:spacing w:after="140" w:line="276"/>
      </w:pPr>
      <w:r>
        <w:rPr>
          <w:rFonts w:ascii="Aptos" w:cs="Aptos" w:eastAsia="Aptos" w:hAnsi="Aptos"/>
          <w:color w:val="1A1A1A"/>
          <w:sz w:val="21"/>
          <w:szCs w:val="21"/>
        </w:rPr>
        <w:t xml:space="preserve">The auditors' own fifteen finding statements are held </w:t>
      </w:r>
      <w:r>
        <w:rPr>
          <w:rFonts w:ascii="Aptos" w:cs="Aptos" w:eastAsia="Aptos" w:hAnsi="Aptos"/>
          <w:b/>
          <w:bCs/>
          <w:color w:val="1A1A1A"/>
          <w:sz w:val="21"/>
          <w:szCs w:val="21"/>
        </w:rPr>
        <w:t xml:space="preserve">verbatim</w:t>
      </w:r>
      <w:r>
        <w:rPr>
          <w:rFonts w:ascii="Aptos" w:cs="Aptos" w:eastAsia="Aptos" w:hAnsi="Aptos"/>
          <w:color w:val="1A1A1A"/>
          <w:sz w:val="21"/>
          <w:szCs w:val="21"/>
        </w:rPr>
        <w:t xml:space="preserve"> in one module, de-duplicated to twelve distinct outcomes. Nothing is phrased ad hoc at the point of use — only this fixed vocabulary reaches a report or a taxpayer letter, and outcome statements never carry digits: the amount is computed by the adjudicator and travels alongside, never interpolated into the sentence.</w:t>
      </w:r>
    </w:p>
    <w:p>
      <w:pPr>
        <w:pStyle w:val="Heading2"/>
        <w:keepNext/>
        <w:spacing w:after="120" w:before="300"/>
      </w:pPr>
      <w:r>
        <w:rPr>
          <w:rFonts w:ascii="Aptos" w:cs="Aptos" w:eastAsia="Aptos" w:hAnsi="Aptos"/>
          <w:b/>
          <w:bCs/>
          <w:color w:val="0E3F52"/>
          <w:sz w:val="25"/>
          <w:szCs w:val="25"/>
        </w:rPr>
        <w:t xml:space="preserve">10.4  Every AI call in the system</w:t>
      </w:r>
    </w:p>
    <w:p>
      <w:pPr>
        <w:spacing w:after="140" w:line="276"/>
      </w:pPr>
      <w:r>
        <w:rPr>
          <w:rFonts w:ascii="Aptos" w:cs="Aptos" w:eastAsia="Aptos" w:hAnsi="Aptos"/>
          <w:color w:val="1A1A1A"/>
          <w:sz w:val="21"/>
          <w:szCs w:val="21"/>
        </w:rPr>
        <w:t xml:space="preserve">Seven separate, independently verified AI calls. This is the complete inventory, not a sample.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200"/>
        <w:gridCol w:w="6820"/>
      </w:tblGrid>
      <w:tr>
        <w:trPr>
          <w:tblHeader/>
        </w:trPr>
        <w:tc>
          <w:tcPr>
            <w:tcW w:type="dxa" w:w="22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AI call</w:t>
            </w:r>
          </w:p>
        </w:tc>
        <w:tc>
          <w:tcPr>
            <w:tcW w:type="dxa" w:w="68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does — and does not — do</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Explain the box</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Two to four sentences on which documents qualify and why declared differs from expected. Figures appear only as placeholder tokens the engine fills in — the model never writes a digit.</w:t>
            </w:r>
          </w:p>
        </w:tc>
      </w:tr>
      <w:tr>
        <w:tc>
          <w:tcPr>
            <w:tcW w:type="dxa" w:w="2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Next best action</w:t>
            </w:r>
          </w:p>
        </w:tc>
        <w:tc>
          <w:tcPr>
            <w:tcW w:type="dxa" w:w="68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Decides the single, minimal piece of evidence that would confirm or clear the case — genuine decision support, schema-validated and checked against the engine's own state. Overridden by the engine outright when the case is already immaterial, so the AI is never asked to recommend action on a case that needs none.</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history brief</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Summarises prior returns and prior cases in prose. Verified </w:t>
            </w:r>
            <w:r>
              <w:rPr>
                <w:rFonts w:ascii="Aptos" w:cs="Aptos" w:eastAsia="Aptos" w:hAnsi="Aptos"/>
                <w:b/>
                <w:bCs/>
                <w:color w:val="1A1A1A"/>
                <w:sz w:val="19"/>
                <w:szCs w:val="19"/>
              </w:rPr>
              <w:t xml:space="preserve">figure-free</w:t>
            </w:r>
            <w:r>
              <w:rPr>
                <w:rFonts w:ascii="Aptos" w:cs="Aptos" w:eastAsia="Aptos" w:hAnsi="Aptos"/>
                <w:color w:val="1A1A1A"/>
                <w:sz w:val="19"/>
                <w:szCs w:val="19"/>
              </w:rPr>
              <w:t xml:space="preserve"> — this call is not permitted to state a number at all, only to describe a pattern.</w:t>
            </w:r>
          </w:p>
        </w:tc>
      </w:tr>
      <w:tr>
        <w:tc>
          <w:tcPr>
            <w:tcW w:type="dxa" w:w="2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 report narrative</w:t>
            </w:r>
          </w:p>
        </w:tc>
        <w:tc>
          <w:tcPr>
            <w:tcW w:type="dxa" w:w="68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report is drafted live and streamed to the screen as it is written, across four fixed sections. Verified before any of it is shown.</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Read a taxpayer letter</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Extracts the taxpayer's own claimed explanation and the amount their letter states, as an </w:t>
            </w:r>
            <w:r>
              <w:rPr>
                <w:rFonts w:ascii="Aptos" w:cs="Aptos" w:eastAsia="Aptos" w:hAnsi="Aptos"/>
                <w:b/>
                <w:bCs/>
                <w:color w:val="1A1A1A"/>
                <w:sz w:val="19"/>
                <w:szCs w:val="19"/>
              </w:rPr>
              <w:t xml:space="preserve">unverified draft</w:t>
            </w:r>
            <w:r>
              <w:rPr>
                <w:rFonts w:ascii="Aptos" w:cs="Aptos" w:eastAsia="Aptos" w:hAnsi="Aptos"/>
                <w:color w:val="1A1A1A"/>
                <w:sz w:val="19"/>
                <w:szCs w:val="19"/>
              </w:rPr>
              <w:t xml:space="preserve"> — the auditor confirms or edits it before it becomes a response the engine acts on.</w:t>
            </w:r>
          </w:p>
        </w:tc>
      </w:tr>
      <w:tr>
        <w:tc>
          <w:tcPr>
            <w:tcW w:type="dxa" w:w="22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 correspondence</w:t>
            </w:r>
          </w:p>
        </w:tc>
        <w:tc>
          <w:tcPr>
            <w:tcW w:type="dxa" w:w="68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Drafts the information request, the follow-up chase, and the outcome / verdict letter. Every numeral in the draft must already appear in the engine's own facts block — the model may repeat a figure it was handed, never introduce one.</w:t>
            </w:r>
          </w:p>
        </w:tc>
      </w:tr>
      <w:tr>
        <w:tc>
          <w:tcPr>
            <w:tcW w:type="dxa" w:w="2200"/>
            <w:tcMar>
              <w:top w:type="dxa" w:w="64"/>
              <w:left w:type="dxa" w:w="110"/>
              <w:bottom w:type="dxa" w:w="64"/>
              <w:right w:type="dxa" w:w="110"/>
            </w:tcMar>
          </w:tcPr>
          <w:p>
            <w:pPr>
              <w:spacing w:after="0" w:line="250"/>
            </w:pPr>
            <w:r>
              <w:rPr>
                <w:rFonts w:ascii="Aptos" w:cs="Aptos" w:eastAsia="Aptos" w:hAnsi="Aptos"/>
                <w:color w:val="1A1A1A"/>
                <w:sz w:val="19"/>
                <w:szCs w:val="19"/>
              </w:rPr>
              <w:t xml:space="preserve">Interpret a stated calculation</w:t>
            </w:r>
          </w:p>
        </w:tc>
        <w:tc>
          <w:tcPr>
            <w:tcW w:type="dxa" w:w="6820"/>
            <w:tcMar>
              <w:top w:type="dxa" w:w="64"/>
              <w:left w:type="dxa" w:w="110"/>
              <w:bottom w:type="dxa" w:w="64"/>
              <w:right w:type="dxa" w:w="110"/>
            </w:tcMar>
          </w:tcPr>
          <w:p>
            <w:pPr>
              <w:spacing w:after="0" w:line="250"/>
            </w:pPr>
            <w:r>
              <w:rPr>
                <w:rFonts w:ascii="Aptos" w:cs="Aptos" w:eastAsia="Aptos" w:hAnsi="Aptos"/>
                <w:color w:val="1A1A1A"/>
                <w:sz w:val="19"/>
                <w:szCs w:val="19"/>
              </w:rPr>
              <w:t xml:space="preserve">Reads an auditor's free-text description of their method (“I summed the VAT column, excluding January”) and translates it into a structured query from a closed set of operations. A condition it cannot express is </w:t>
            </w:r>
            <w:r>
              <w:rPr>
                <w:rFonts w:ascii="Aptos" w:cs="Aptos" w:eastAsia="Aptos" w:hAnsi="Aptos"/>
                <w:b/>
                <w:bCs/>
                <w:color w:val="1A1A1A"/>
                <w:sz w:val="19"/>
                <w:szCs w:val="19"/>
              </w:rPr>
              <w:t xml:space="preserve">declined outright</w:t>
            </w:r>
            <w:r>
              <w:rPr>
                <w:rFonts w:ascii="Aptos" w:cs="Aptos" w:eastAsia="Aptos" w:hAnsi="Aptos"/>
                <w:color w:val="1A1A1A"/>
                <w:sz w:val="19"/>
                <w:szCs w:val="19"/>
              </w:rPr>
              <w:t xml:space="preserve">, never flattened into an approximate answer — declining is the correct behaviour, not a failure.</w:t>
            </w:r>
          </w:p>
        </w:tc>
      </w:tr>
    </w:tbl>
    <w:p>
      <w:pPr>
        <w:spacing w:after="120"/>
      </w:pPr>
      <w:r>
        <w:rPr>
          <w:sz w:val="6"/>
          <w:szCs w:val="6"/>
        </w:rPr>
        <w:t xml:space="preserve"/>
      </w:r>
    </w:p>
    <w:tbl>
      <w:tblPr>
        <w:tblW w:type="dxa" w:w="9020"/>
        <w:tblBorders>
          <w:top w:val="single" w:color="F4F6F7" w:sz="2"/>
          <w:left w:val="single" w:color="5A6672" w:sz="24"/>
          <w:bottom w:val="single" w:color="F4F6F7" w:sz="2"/>
          <w:right w:val="single" w:color="F4F6F7" w:sz="2"/>
          <w:insideH w:val="none" w:color="FFFFFF" w:sz="0"/>
          <w:insideV w:val="none" w:color="FFFFFF" w:sz="0"/>
        </w:tblBorders>
      </w:tblPr>
      <w:tblGrid>
        <w:gridCol w:w="9020"/>
      </w:tblGrid>
      <w:tr>
        <w:tc>
          <w:tcPr>
            <w:tcW w:type="dxa" w:w="9020"/>
            <w:shd w:fill="F4F6F7" w:color="auto" w:val="clear"/>
            <w:tcMar>
              <w:top w:type="dxa" w:w="150"/>
              <w:left w:type="dxa" w:w="190"/>
              <w:bottom w:type="dxa" w:w="150"/>
              <w:right w:type="dxa" w:w="170"/>
            </w:tcMar>
          </w:tcPr>
          <w:p>
            <w:pPr>
              <w:spacing w:after="90" w:line="260"/>
            </w:pPr>
            <w:r>
              <w:rPr>
                <w:rFonts w:ascii="Aptos" w:cs="Aptos" w:eastAsia="Aptos" w:hAnsi="Aptos"/>
                <w:b/>
                <w:bCs/>
                <w:color w:val="5A6672"/>
                <w:sz w:val="21"/>
                <w:szCs w:val="21"/>
              </w:rPr>
              <w:t xml:space="preserve">Prompt-injection posture</w:t>
            </w:r>
          </w:p>
          <w:p>
            <w:pPr>
              <w:spacing w:after="0" w:line="265"/>
            </w:pPr>
            <w:r>
              <w:rPr>
                <w:rFonts w:ascii="Aptos" w:cs="Aptos" w:eastAsia="Aptos" w:hAnsi="Aptos"/>
                <w:color w:val="1A1A1A"/>
                <w:sz w:val="20"/>
                <w:szCs w:val="20"/>
              </w:rPr>
              <w:t xml:space="preserve">Taxpayer letters, notes and uploaded free text are treated as </w:t>
            </w:r>
            <w:r>
              <w:rPr>
                <w:rFonts w:ascii="Aptos" w:cs="Aptos" w:eastAsia="Aptos" w:hAnsi="Aptos"/>
                <w:b/>
                <w:bCs/>
                <w:color w:val="1A1A1A"/>
                <w:sz w:val="20"/>
                <w:szCs w:val="20"/>
              </w:rPr>
              <w:t xml:space="preserve">data, never as instructions.</w:t>
            </w:r>
            <w:r>
              <w:rPr>
                <w:rFonts w:ascii="Aptos" w:cs="Aptos" w:eastAsia="Aptos" w:hAnsi="Aptos"/>
                <w:color w:val="1A1A1A"/>
                <w:sz w:val="20"/>
                <w:szCs w:val="20"/>
              </w:rPr>
              <w:t xml:space="preserve"> If a letter tells the system to ignore its rules, set a particular amount, approve or close the case, or reveal its instructions, the system does not comply — it records the claim and flags it in the caveat for the auditor. This matters because the documents in an audit come from the party being audited.</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11.  RAG Strategy and Limitations</w:t>
      </w:r>
    </w:p>
    <w:p>
      <w:pPr>
        <w:spacing w:after="140" w:line="276"/>
      </w:pPr>
      <w:r>
        <w:rPr>
          <w:rFonts w:ascii="Aptos" w:cs="Aptos" w:eastAsia="Aptos" w:hAnsi="Aptos"/>
          <w:color w:val="1A1A1A"/>
          <w:sz w:val="21"/>
          <w:szCs w:val="21"/>
        </w:rPr>
        <w:t xml:space="preserve">The audit team identified regulatory knowledge as the single strongest AI opportunity: the legislation is public, auditors apply it from experience once the facts are in hand, and there is no shared, retrievable record of how it has been applied before. This section sets out what retrieval does in the solution </w:t>
      </w:r>
      <w:r>
        <w:rPr>
          <w:rFonts w:ascii="Aptos" w:cs="Aptos" w:eastAsia="Aptos" w:hAnsi="Aptos"/>
          <w:b/>
          <w:bCs/>
          <w:color w:val="1A1A1A"/>
          <w:sz w:val="21"/>
          <w:szCs w:val="21"/>
        </w:rPr>
        <w:t xml:space="preserve">today</w:t>
      </w:r>
      <w:r>
        <w:rPr>
          <w:rFonts w:ascii="Aptos" w:cs="Aptos" w:eastAsia="Aptos" w:hAnsi="Aptos"/>
          <w:color w:val="1A1A1A"/>
          <w:sz w:val="21"/>
          <w:szCs w:val="21"/>
        </w:rPr>
        <w:t xml:space="preserve">, why it was built this way, and what the next phase adds.</w:t>
      </w:r>
    </w:p>
    <w:p>
      <w:pPr>
        <w:pStyle w:val="Heading2"/>
        <w:keepNext/>
        <w:spacing w:after="120" w:before="300"/>
      </w:pPr>
      <w:r>
        <w:rPr>
          <w:rFonts w:ascii="Aptos" w:cs="Aptos" w:eastAsia="Aptos" w:hAnsi="Aptos"/>
          <w:b/>
          <w:bCs/>
          <w:color w:val="0E3F52"/>
          <w:sz w:val="25"/>
          <w:szCs w:val="25"/>
        </w:rPr>
        <w:t xml:space="preserve">11.1  What “RAG” means in this solution</w:t>
      </w:r>
    </w:p>
    <w:p>
      <w:pPr>
        <w:spacing w:after="140" w:line="276"/>
      </w:pPr>
      <w:r>
        <w:rPr>
          <w:rFonts w:ascii="Aptos" w:cs="Aptos" w:eastAsia="Aptos" w:hAnsi="Aptos"/>
          <w:color w:val="1A1A1A"/>
          <w:sz w:val="21"/>
          <w:szCs w:val="21"/>
        </w:rPr>
        <w:t xml:space="preserve">Retrieval-Augmented Generation here means: </w:t>
      </w:r>
      <w:r>
        <w:rPr>
          <w:rFonts w:ascii="Aptos" w:cs="Aptos" w:eastAsia="Aptos" w:hAnsi="Aptos"/>
          <w:b/>
          <w:bCs/>
          <w:color w:val="1A1A1A"/>
          <w:sz w:val="21"/>
          <w:szCs w:val="21"/>
        </w:rPr>
        <w:t xml:space="preserve">the model is never asked to recall a rule from memory.</w:t>
      </w:r>
      <w:r>
        <w:rPr>
          <w:rFonts w:ascii="Aptos" w:cs="Aptos" w:eastAsia="Aptos" w:hAnsi="Aptos"/>
          <w:color w:val="1A1A1A"/>
          <w:sz w:val="21"/>
          <w:szCs w:val="21"/>
        </w:rPr>
        <w:t xml:space="preserve"> The applicable rule is retrieved from a governed corpus and placed in the model's context, and the model may only reason over what it was handed. The alternative — fine-tuning a model on tax law — is deliberately rejected, for a reason the audit team raised themselves: knowledge trained into a model cannot be corrected, cited, versioned or withdrawn, and one auditor's mistake would contaminate the whole system.</w:t>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0" w:line="265"/>
            </w:pPr>
            <w:r>
              <w:rPr>
                <w:rFonts w:ascii="Aptos" w:cs="Aptos" w:eastAsia="Aptos" w:hAnsi="Aptos"/>
                <w:b/>
                <w:bCs/>
                <w:color w:val="1A1A1A"/>
                <w:sz w:val="20"/>
                <w:szCs w:val="20"/>
              </w:rPr>
              <w:t xml:space="preserve">Retrieved, not trained.</w:t>
            </w:r>
            <w:r>
              <w:rPr>
                <w:rFonts w:ascii="Aptos" w:cs="Aptos" w:eastAsia="Aptos" w:hAnsi="Aptos"/>
                <w:color w:val="1A1A1A"/>
                <w:sz w:val="20"/>
                <w:szCs w:val="20"/>
              </w:rPr>
              <w:t xml:space="preserve"> A retrieved rule can be shown to the auditor, cited in a report, updated when the law changes, and withdrawn when it is wrong. A trained-in rule can do none of those things. This is why the governed library and the retrieval layer are designed together.</w:t>
            </w:r>
          </w:p>
        </w:tc>
      </w:tr>
    </w:tbl>
    <w:p>
      <w:pPr>
        <w:pStyle w:val="Heading2"/>
        <w:keepNext/>
        <w:spacing w:after="120" w:before="300"/>
      </w:pPr>
      <w:r>
        <w:rPr>
          <w:rFonts w:ascii="Aptos" w:cs="Aptos" w:eastAsia="Aptos" w:hAnsi="Aptos"/>
          <w:b/>
          <w:bCs/>
          <w:color w:val="0E3F52"/>
          <w:sz w:val="25"/>
          <w:szCs w:val="25"/>
        </w:rPr>
        <w:t xml:space="preserve">11.2  What exists today</w:t>
      </w:r>
    </w:p>
    <w:p>
      <w:pPr>
        <w:spacing w:after="140" w:line="276"/>
      </w:pPr>
      <w:r>
        <w:rPr>
          <w:rFonts w:ascii="Aptos" w:cs="Aptos" w:eastAsia="Aptos" w:hAnsi="Aptos"/>
          <w:color w:val="1A1A1A"/>
          <w:sz w:val="21"/>
          <w:szCs w:val="21"/>
        </w:rPr>
        <w:t xml:space="preserve">There is </w:t>
      </w:r>
      <w:r>
        <w:rPr>
          <w:rFonts w:ascii="Aptos" w:cs="Aptos" w:eastAsia="Aptos" w:hAnsi="Aptos"/>
          <w:b/>
          <w:bCs/>
          <w:color w:val="1A1A1A"/>
          <w:sz w:val="21"/>
          <w:szCs w:val="21"/>
        </w:rPr>
        <w:t xml:space="preserve">no embedding-based or vector retrieval system, and no fine-tuned model, in the current build.</w:t>
      </w:r>
      <w:r>
        <w:rPr>
          <w:rFonts w:ascii="Aptos" w:cs="Aptos" w:eastAsia="Aptos" w:hAnsi="Aptos"/>
          <w:color w:val="1A1A1A"/>
          <w:sz w:val="21"/>
          <w:szCs w:val="21"/>
        </w:rPr>
        <w:t xml:space="preserve"> What exists is three layers of deterministic, structured retrieval — each one grounded in a curated corpus, each one auditable.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700"/>
        <w:gridCol w:w="2100"/>
        <w:gridCol w:w="3900"/>
        <w:gridCol w:w="1320"/>
      </w:tblGrid>
      <w:tr>
        <w:trPr>
          <w:tblHeader/>
        </w:trPr>
        <w:tc>
          <w:tcPr>
            <w:tcW w:type="dxa" w:w="1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Retrieval layer</w:t>
            </w:r>
          </w:p>
        </w:tc>
        <w:tc>
          <w:tcPr>
            <w:tcW w:type="dxa" w:w="21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Corpus</w:t>
            </w:r>
          </w:p>
        </w:tc>
        <w:tc>
          <w:tcPr>
            <w:tcW w:type="dxa" w:w="39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retrieval works</w:t>
            </w:r>
          </w:p>
        </w:tc>
        <w:tc>
          <w:tcPr>
            <w:tcW w:type="dxa" w:w="13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17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Rule retrieval</w:t>
            </w:r>
          </w:p>
        </w:tc>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VAT Mistakes Rulebook — 65 curated rules, each with a code, a description and a treatment.</w:t>
            </w:r>
          </w:p>
        </w:tc>
        <w:tc>
          <w:tcPr>
            <w:tcW w:type="dxa" w:w="39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engine records which rules actually fired on this case while building the bridge. Only those rules are retrieved and placed in the model's context. Retrieval is keyed on rule code, not on similarity, so the model is handed exactly the rules that apply and nothing else.</w:t>
            </w:r>
          </w:p>
        </w:tc>
        <w:tc>
          <w:tcPr>
            <w:tcW w:type="dxa" w:w="13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Live</w:t>
            </w:r>
          </w:p>
        </w:tc>
      </w:tr>
      <w:tr>
        <w:tc>
          <w:tcPr>
            <w:tcW w:type="dxa" w:w="17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Outcome vocabulary retrieval</w:t>
            </w:r>
          </w:p>
        </w:tc>
        <w:tc>
          <w:tcPr>
            <w:tcW w:type="dxa" w:w="21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auditors' own fifteen finding statements, de-duplicated to twelve outcomes, held verbatim.</w:t>
            </w:r>
          </w:p>
        </w:tc>
        <w:tc>
          <w:tcPr>
            <w:tcW w:type="dxa" w:w="39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confirmed hypothesis carries an outcome code; the corresponding Authority wording is retrieved verbatim. Nothing is phrased ad hoc, and outcome statements never carry digits.</w:t>
            </w:r>
          </w:p>
        </w:tc>
        <w:tc>
          <w:tcPr>
            <w:tcW w:type="dxa" w:w="132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Live</w:t>
            </w:r>
          </w:p>
        </w:tc>
      </w:tr>
      <w:tr>
        <w:tc>
          <w:tcPr>
            <w:tcW w:type="dxa" w:w="17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Precedent retrieval</w:t>
            </w:r>
          </w:p>
        </w:tc>
        <w:tc>
          <w:tcPr>
            <w:tcW w:type="dxa" w:w="2100"/>
            <w:tcMar>
              <w:top w:type="dxa" w:w="64"/>
              <w:left w:type="dxa" w:w="110"/>
              <w:bottom w:type="dxa" w:w="64"/>
              <w:right w:type="dxa" w:w="110"/>
            </w:tcMar>
          </w:tcPr>
          <w:p>
            <w:pPr>
              <w:spacing w:after="0" w:line="250"/>
            </w:pPr>
            <w:r>
              <w:rPr>
                <w:rFonts w:ascii="Aptos" w:cs="Aptos" w:eastAsia="Aptos" w:hAnsi="Aptos"/>
                <w:color w:val="1A1A1A"/>
                <w:sz w:val="19"/>
                <w:szCs w:val="19"/>
              </w:rPr>
              <w:t xml:space="preserve">A labelled corpus of closed cases.</w:t>
            </w:r>
          </w:p>
        </w:tc>
        <w:tc>
          <w:tcPr>
            <w:tcW w:type="dxa" w:w="3900"/>
            <w:tcMar>
              <w:top w:type="dxa" w:w="64"/>
              <w:left w:type="dxa" w:w="110"/>
              <w:bottom w:type="dxa" w:w="64"/>
              <w:right w:type="dxa" w:w="110"/>
            </w:tcMar>
          </w:tcPr>
          <w:p>
            <w:pPr>
              <w:spacing w:after="0" w:line="250"/>
            </w:pPr>
            <w:r>
              <w:rPr>
                <w:rFonts w:ascii="Aptos" w:cs="Aptos" w:eastAsia="Aptos" w:hAnsi="Aptos"/>
                <w:color w:val="1A1A1A"/>
                <w:sz w:val="19"/>
                <w:szCs w:val="19"/>
              </w:rPr>
              <w:t xml:space="preserve">A tally over the corpus matched on structured fields such as risk indicator and sector — how comparable cases were previously resolved.</w:t>
            </w:r>
          </w:p>
        </w:tc>
        <w:tc>
          <w:tcPr>
            <w:tcW w:type="dxa" w:w="132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Built and tested · dormant</w:t>
            </w:r>
            <w:r>
              <w:rPr>
                <w:rFonts w:ascii="Aptos" w:cs="Aptos" w:eastAsia="Aptos" w:hAnsi="Aptos"/>
                <w:color w:val="1A1A1A"/>
                <w:sz w:val="19"/>
                <w:szCs w:val="19"/>
              </w:rPr>
              <w:t xml:space="preserve"> under the current scope</w:t>
            </w:r>
          </w:p>
        </w:tc>
      </w:tr>
    </w:tbl>
    <w:p>
      <w:pPr>
        <w:pStyle w:val="Heading2"/>
        <w:keepNext/>
        <w:spacing w:after="120" w:before="300"/>
      </w:pPr>
      <w:r>
        <w:rPr>
          <w:rFonts w:ascii="Aptos" w:cs="Aptos" w:eastAsia="Aptos" w:hAnsi="Aptos"/>
          <w:b/>
          <w:bCs/>
          <w:color w:val="0E3F52"/>
          <w:sz w:val="25"/>
          <w:szCs w:val="25"/>
        </w:rPr>
        <w:t xml:space="preserve">11.3  Why retrieval was built this way first</w:t>
      </w:r>
    </w:p>
    <w:p>
      <w:pPr>
        <w:spacing w:after="140" w:line="276"/>
      </w:pPr>
      <w:r>
        <w:rPr>
          <w:rFonts w:ascii="Aptos" w:cs="Aptos" w:eastAsia="Aptos" w:hAnsi="Aptos"/>
          <w:color w:val="1A1A1A"/>
          <w:sz w:val="21"/>
          <w:szCs w:val="21"/>
        </w:rPr>
        <w:t xml:space="preserve">The design decision was to make retrieval </w:t>
      </w:r>
      <w:r>
        <w:rPr>
          <w:rFonts w:ascii="Aptos" w:cs="Aptos" w:eastAsia="Aptos" w:hAnsi="Aptos"/>
          <w:b/>
          <w:bCs/>
          <w:color w:val="1A1A1A"/>
          <w:sz w:val="21"/>
          <w:szCs w:val="21"/>
        </w:rPr>
        <w:t xml:space="preserve">precise before making it broad</w:t>
      </w:r>
      <w:r>
        <w:rPr>
          <w:rFonts w:ascii="Aptos" w:cs="Aptos" w:eastAsia="Aptos" w:hAnsi="Aptos"/>
          <w:color w:val="1A1A1A"/>
          <w:sz w:val="21"/>
          <w:szCs w:val="21"/>
        </w:rPr>
        <w:t xml:space="preserve">, and it follows directly from what an auditor has to be able to do with the output.</w:t>
      </w:r>
    </w:p>
    <w:p>
      <w:pPr>
        <w:pStyle w:val="ListParagraph"/>
        <w:numPr>
          <w:ilvl w:val="0"/>
          <w:numId w:val="2"/>
        </w:numPr>
        <w:spacing w:after="70" w:line="270"/>
      </w:pPr>
      <w:r>
        <w:rPr>
          <w:rFonts w:ascii="Aptos" w:cs="Aptos" w:eastAsia="Aptos" w:hAnsi="Aptos"/>
          <w:b/>
          <w:bCs/>
          <w:color w:val="1A1A1A"/>
          <w:sz w:val="21"/>
          <w:szCs w:val="21"/>
        </w:rPr>
        <w:t xml:space="preserve">A citation must be real.</w:t>
      </w:r>
      <w:r>
        <w:rPr>
          <w:rFonts w:ascii="Aptos" w:cs="Aptos" w:eastAsia="Aptos" w:hAnsi="Aptos"/>
          <w:color w:val="1A1A1A"/>
          <w:sz w:val="21"/>
          <w:szCs w:val="21"/>
        </w:rPr>
        <w:t xml:space="preserve"> An auditor defending a finding cites an article. A vector-similarity hit is not a citation — it is a passage that resembled the query. Retrieval keyed on rule codes cannot return a rule that does not exist, and cannot silently return the wrong one.</w:t>
      </w:r>
    </w:p>
    <w:p>
      <w:pPr>
        <w:pStyle w:val="ListParagraph"/>
        <w:numPr>
          <w:ilvl w:val="0"/>
          <w:numId w:val="2"/>
        </w:numPr>
        <w:spacing w:after="70" w:line="270"/>
      </w:pPr>
      <w:r>
        <w:rPr>
          <w:rFonts w:ascii="Aptos" w:cs="Aptos" w:eastAsia="Aptos" w:hAnsi="Aptos"/>
          <w:b/>
          <w:bCs/>
          <w:color w:val="1A1A1A"/>
          <w:sz w:val="21"/>
          <w:szCs w:val="21"/>
        </w:rPr>
        <w:t xml:space="preserve">Precision matters more than recall at this stage.</w:t>
      </w:r>
      <w:r>
        <w:rPr>
          <w:rFonts w:ascii="Aptos" w:cs="Aptos" w:eastAsia="Aptos" w:hAnsi="Aptos"/>
          <w:color w:val="1A1A1A"/>
          <w:sz w:val="21"/>
          <w:szCs w:val="21"/>
        </w:rPr>
        <w:t xml:space="preserve"> Handing the model every rule that might be relevant invites it to reason over rules that are not. Handing it exactly the rules that fired keeps the reasoning bounded and the output checkable.</w:t>
      </w:r>
    </w:p>
    <w:p>
      <w:pPr>
        <w:pStyle w:val="ListParagraph"/>
        <w:numPr>
          <w:ilvl w:val="0"/>
          <w:numId w:val="2"/>
        </w:numPr>
        <w:spacing w:after="70" w:line="270"/>
      </w:pPr>
      <w:r>
        <w:rPr>
          <w:rFonts w:ascii="Aptos" w:cs="Aptos" w:eastAsia="Aptos" w:hAnsi="Aptos"/>
          <w:b/>
          <w:bCs/>
          <w:color w:val="1A1A1A"/>
          <w:sz w:val="21"/>
          <w:szCs w:val="21"/>
        </w:rPr>
        <w:t xml:space="preserve">Cite-or-drop is enforceable.</w:t>
      </w:r>
      <w:r>
        <w:rPr>
          <w:rFonts w:ascii="Aptos" w:cs="Aptos" w:eastAsia="Aptos" w:hAnsi="Aptos"/>
          <w:color w:val="1A1A1A"/>
          <w:sz w:val="21"/>
          <w:szCs w:val="21"/>
        </w:rPr>
        <w:t xml:space="preserve"> Because the Regulations agent may not assert a condition without an article behind it, and the real regulations corpus is not yet loaded, that agent currently runs only deterministic field-presence checks and a small explicit blocked-expense list. It under-claims rather than over-claims. That is the intended behaviour.</w:t>
      </w:r>
    </w:p>
    <w:p>
      <w:pPr>
        <w:pStyle w:val="ListParagraph"/>
        <w:numPr>
          <w:ilvl w:val="0"/>
          <w:numId w:val="2"/>
        </w:numPr>
        <w:spacing w:after="70" w:line="270"/>
      </w:pPr>
      <w:r>
        <w:rPr>
          <w:rFonts w:ascii="Aptos" w:cs="Aptos" w:eastAsia="Aptos" w:hAnsi="Aptos"/>
          <w:b/>
          <w:bCs/>
          <w:color w:val="1A1A1A"/>
          <w:sz w:val="21"/>
          <w:szCs w:val="21"/>
        </w:rPr>
        <w:t xml:space="preserve">It degrades honestly.</w:t>
      </w:r>
      <w:r>
        <w:rPr>
          <w:rFonts w:ascii="Aptos" w:cs="Aptos" w:eastAsia="Aptos" w:hAnsi="Aptos"/>
          <w:color w:val="1A1A1A"/>
          <w:sz w:val="21"/>
          <w:szCs w:val="21"/>
        </w:rPr>
        <w:t xml:space="preserve"> Retrieval failing means the model is handed less context, not wrong context. There is no path by which a retrieval miss becomes a confident false statement.</w:t>
      </w:r>
    </w:p>
    <w:p>
      <w:pPr>
        <w:pStyle w:val="Heading2"/>
        <w:keepNext/>
        <w:spacing w:after="120" w:before="300"/>
      </w:pPr>
      <w:r>
        <w:rPr>
          <w:rFonts w:ascii="Aptos" w:cs="Aptos" w:eastAsia="Aptos" w:hAnsi="Aptos"/>
          <w:b/>
          <w:bCs/>
          <w:color w:val="0E3F52"/>
          <w:sz w:val="25"/>
          <w:szCs w:val="25"/>
        </w:rPr>
        <w:t xml:space="preserve">11.4  How retrieval powers the next best action</w:t>
      </w:r>
    </w:p>
    <w:p>
      <w:pPr>
        <w:spacing w:after="140" w:line="276"/>
      </w:pPr>
      <w:r>
        <w:rPr>
          <w:rFonts w:ascii="Aptos" w:cs="Aptos" w:eastAsia="Aptos" w:hAnsi="Aptos"/>
          <w:color w:val="1A1A1A"/>
          <w:sz w:val="21"/>
          <w:szCs w:val="21"/>
        </w:rPr>
        <w:t xml:space="preserve">The next best action is where retrieval, the agents and the engine meet, and it is the clearest example of the three working together:</w:t>
      </w:r>
    </w:p>
    <w:p>
      <w:pPr>
        <w:pStyle w:val="ListParagraph"/>
        <w:numPr>
          <w:ilvl w:val="0"/>
          <w:numId w:val="3"/>
        </w:numPr>
        <w:spacing w:after="70" w:line="270"/>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engine</w:t>
      </w:r>
      <w:r>
        <w:rPr>
          <w:rFonts w:ascii="Aptos" w:cs="Aptos" w:eastAsia="Aptos" w:hAnsi="Aptos"/>
          <w:color w:val="1A1A1A"/>
          <w:sz w:val="21"/>
          <w:szCs w:val="21"/>
        </w:rPr>
        <w:t xml:space="preserve"> computes the state — declared, expected, which rules fired and for how much, what residual remains, whether it is material.</w:t>
      </w:r>
    </w:p>
    <w:p>
      <w:pPr>
        <w:pStyle w:val="ListParagraph"/>
        <w:numPr>
          <w:ilvl w:val="0"/>
          <w:numId w:val="3"/>
        </w:numPr>
        <w:spacing w:after="70" w:line="270"/>
      </w:pPr>
      <w:r>
        <w:rPr>
          <w:rFonts w:ascii="Aptos" w:cs="Aptos" w:eastAsia="Aptos" w:hAnsi="Aptos"/>
          <w:b/>
          <w:bCs/>
          <w:color w:val="1A1A1A"/>
          <w:sz w:val="21"/>
          <w:szCs w:val="21"/>
        </w:rPr>
        <w:t xml:space="preserve">Retrieval</w:t>
      </w:r>
      <w:r>
        <w:rPr>
          <w:rFonts w:ascii="Aptos" w:cs="Aptos" w:eastAsia="Aptos" w:hAnsi="Aptos"/>
          <w:color w:val="1A1A1A"/>
          <w:sz w:val="21"/>
          <w:szCs w:val="21"/>
        </w:rPr>
        <w:t xml:space="preserve"> places the rules that actually fired into the model's context, so the recommendation is framed against the rule that applies rather than a general impression of VAT.</w:t>
      </w:r>
    </w:p>
    <w:p>
      <w:pPr>
        <w:pStyle w:val="ListParagraph"/>
        <w:numPr>
          <w:ilvl w:val="0"/>
          <w:numId w:val="3"/>
        </w:numPr>
        <w:spacing w:after="70" w:line="270"/>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four agents</w:t>
      </w:r>
      <w:r>
        <w:rPr>
          <w:rFonts w:ascii="Aptos" w:cs="Aptos" w:eastAsia="Aptos" w:hAnsi="Aptos"/>
          <w:color w:val="1A1A1A"/>
          <w:sz w:val="21"/>
          <w:szCs w:val="21"/>
        </w:rPr>
        <w:t xml:space="preserve"> propose what could explain the residual, and a deterministic adjudicator confirms, rejects or marks each insufficient — with an amount and a named evidentiary basis.</w:t>
      </w:r>
    </w:p>
    <w:p>
      <w:pPr>
        <w:pStyle w:val="ListParagraph"/>
        <w:numPr>
          <w:ilvl w:val="0"/>
          <w:numId w:val="3"/>
        </w:numPr>
        <w:spacing w:after="70" w:line="270"/>
      </w:pPr>
      <w:r>
        <w:rPr>
          <w:rFonts w:ascii="Aptos" w:cs="Aptos" w:eastAsia="Aptos" w:hAnsi="Aptos"/>
          <w:color w:val="1A1A1A"/>
          <w:sz w:val="21"/>
          <w:szCs w:val="21"/>
        </w:rPr>
        <w:t xml:space="preserve">The </w:t>
      </w:r>
      <w:r>
        <w:rPr>
          <w:rFonts w:ascii="Aptos" w:cs="Aptos" w:eastAsia="Aptos" w:hAnsi="Aptos"/>
          <w:b/>
          <w:bCs/>
          <w:color w:val="1A1A1A"/>
          <w:sz w:val="21"/>
          <w:szCs w:val="21"/>
        </w:rPr>
        <w:t xml:space="preserve">recommendation</w:t>
      </w:r>
      <w:r>
        <w:rPr>
          <w:rFonts w:ascii="Aptos" w:cs="Aptos" w:eastAsia="Aptos" w:hAnsi="Aptos"/>
          <w:color w:val="1A1A1A"/>
          <w:sz w:val="21"/>
          <w:szCs w:val="21"/>
        </w:rPr>
        <w:t xml:space="preserve"> names the single minimal piece of evidence that would confirm or clear the case, follows the surviving hypotheses, is schema-validated, is checked against the engine's state, and carries figures only as placeholder tokens the engine substitutes.</w:t>
      </w:r>
    </w:p>
    <w:p>
      <w:pPr>
        <w:spacing w:after="60"/>
      </w:pPr>
      <w:r>
        <w:rPr>
          <w:sz w:val="6"/>
          <w:szCs w:val="6"/>
        </w:rPr>
        <w:t xml:space="preserve"/>
      </w:r>
    </w:p>
    <w:p>
      <w:pPr>
        <w:spacing w:after="140" w:line="276"/>
      </w:pPr>
      <w:r>
        <w:rPr>
          <w:rFonts w:ascii="Aptos" w:cs="Aptos" w:eastAsia="Aptos" w:hAnsi="Aptos"/>
          <w:color w:val="1A1A1A"/>
          <w:sz w:val="21"/>
          <w:szCs w:val="21"/>
        </w:rPr>
        <w:t xml:space="preserve">In the next phase, step 2 widens from the rulebook to the official ZATCA law and regulations, so the recommendation can cite the article it rests on. The mechanism does not change — only the corpus.</w:t>
      </w:r>
    </w:p>
    <w:p>
      <w:pPr>
        <w:pStyle w:val="Heading2"/>
        <w:keepNext/>
        <w:spacing w:after="120" w:before="300"/>
      </w:pPr>
      <w:r>
        <w:rPr>
          <w:rFonts w:ascii="Aptos" w:cs="Aptos" w:eastAsia="Aptos" w:hAnsi="Aptos"/>
          <w:b/>
          <w:bCs/>
          <w:color w:val="0E3F52"/>
          <w:sz w:val="25"/>
          <w:szCs w:val="25"/>
        </w:rPr>
        <w:t xml:space="preserve">11.5  The planned RAG phase</w:t>
      </w:r>
    </w:p>
    <w:p>
      <w:pPr>
        <w:spacing w:after="140" w:line="276"/>
      </w:pPr>
      <w:r>
        <w:rPr>
          <w:rFonts w:ascii="Aptos" w:cs="Aptos" w:eastAsia="Aptos" w:hAnsi="Aptos"/>
          <w:color w:val="1A1A1A"/>
          <w:sz w:val="21"/>
          <w:szCs w:val="21"/>
        </w:rPr>
        <w:t xml:space="preserve">The next phase pairs two things deliberately, because neither is safe alone: a </w:t>
      </w:r>
      <w:r>
        <w:rPr>
          <w:rFonts w:ascii="Aptos" w:cs="Aptos" w:eastAsia="Aptos" w:hAnsi="Aptos"/>
          <w:b/>
          <w:bCs/>
          <w:color w:val="1A1A1A"/>
          <w:sz w:val="21"/>
          <w:szCs w:val="21"/>
        </w:rPr>
        <w:t xml:space="preserve">governed knowledge library</w:t>
      </w:r>
      <w:r>
        <w:rPr>
          <w:rFonts w:ascii="Aptos" w:cs="Aptos" w:eastAsia="Aptos" w:hAnsi="Aptos"/>
          <w:color w:val="1A1A1A"/>
          <w:sz w:val="21"/>
          <w:szCs w:val="21"/>
        </w:rPr>
        <w:t xml:space="preserve"> and </w:t>
      </w:r>
      <w:r>
        <w:rPr>
          <w:rFonts w:ascii="Aptos" w:cs="Aptos" w:eastAsia="Aptos" w:hAnsi="Aptos"/>
          <w:b/>
          <w:bCs/>
          <w:color w:val="1A1A1A"/>
          <w:sz w:val="21"/>
          <w:szCs w:val="21"/>
        </w:rPr>
        <w:t xml:space="preserve">retrieval over official regulation</w:t>
      </w:r>
      <w:r>
        <w:rPr>
          <w:rFonts w:ascii="Aptos" w:cs="Aptos" w:eastAsia="Aptos" w:hAnsi="Aptos"/>
          <w:color w:val="1A1A1A"/>
          <w:sz w:val="21"/>
          <w:szCs w:val="21"/>
        </w:rPr>
        <w:t xml:space="preserve">.</w:t>
      </w:r>
    </w:p>
    <w:p>
      <w:pPr>
        <w:pStyle w:val="Heading3"/>
        <w:keepNext/>
        <w:spacing w:after="100" w:before="220"/>
      </w:pPr>
      <w:r>
        <w:rPr>
          <w:rFonts w:ascii="Aptos" w:cs="Aptos" w:eastAsia="Aptos" w:hAnsi="Aptos"/>
          <w:b/>
          <w:bCs/>
          <w:color w:val="44546A"/>
          <w:sz w:val="22"/>
          <w:szCs w:val="22"/>
        </w:rPr>
        <w:t xml:space="preserve">A. Regulatory retrieval</w:t>
      </w:r>
    </w:p>
    <w:p>
      <w:pPr>
        <w:spacing w:after="140" w:line="276"/>
      </w:pPr>
      <w:r>
        <w:rPr>
          <w:rFonts w:ascii="Aptos" w:cs="Aptos" w:eastAsia="Aptos" w:hAnsi="Aptos"/>
          <w:color w:val="1A1A1A"/>
          <w:sz w:val="21"/>
          <w:szCs w:val="21"/>
        </w:rPr>
        <w:t xml:space="preserve">A retrieval corpus built from the official, publicly available sources — the VAT Law, the VAT Implementing Regulations (including Article 50 on deductibility and economic activity, cited by the auditors), the e-invoicing regulations, and ZATCA guidelines. Chunked by article so that every retrieved passage carries its own citation, and retrieved into context rather than trained into a model. The capability the auditors specified maps directly onto it: identify potentially relevant provisions → retrieve the applicable article → explain its relevance to the issue → link the finding to the regulatory source → provide evidence for the auditor → support the auditor's assessment. </w:t>
      </w:r>
      <w:r>
        <w:rPr>
          <w:rFonts w:ascii="Aptos" w:cs="Aptos" w:eastAsia="Aptos" w:hAnsi="Aptos"/>
          <w:b/>
          <w:bCs/>
          <w:color w:val="1A1A1A"/>
          <w:sz w:val="21"/>
          <w:szCs w:val="21"/>
        </w:rPr>
        <w:t xml:space="preserve">The final interpretation and decision remain with the auditor.</w:t>
      </w:r>
    </w:p>
    <w:p>
      <w:pPr>
        <w:pStyle w:val="Heading3"/>
        <w:keepNext/>
        <w:spacing w:after="100" w:before="220"/>
      </w:pPr>
      <w:r>
        <w:rPr>
          <w:rFonts w:ascii="Aptos" w:cs="Aptos" w:eastAsia="Aptos" w:hAnsi="Aptos"/>
          <w:b/>
          <w:bCs/>
          <w:color w:val="44546A"/>
          <w:sz w:val="22"/>
          <w:szCs w:val="22"/>
        </w:rPr>
        <w:t xml:space="preserve">B. The governed Auditor Knowledge library</w:t>
      </w:r>
    </w:p>
    <w:p>
      <w:pPr>
        <w:spacing w:after="140" w:line="276"/>
      </w:pPr>
      <w:r>
        <w:rPr>
          <w:rFonts w:ascii="Aptos" w:cs="Aptos" w:eastAsia="Aptos" w:hAnsi="Aptos"/>
          <w:color w:val="1A1A1A"/>
          <w:sz w:val="21"/>
          <w:szCs w:val="21"/>
        </w:rPr>
        <w:t xml:space="preserve">A structured store of the knowledge that is currently tacit — sector-specific rules, known reconciliation differences, common explanations for discrepancies, timing rules, known exceptions, lessons learned, practical audit considerations and frequently encountered taxpayer scenarios. Government-contract timing, telecom prepaid voucher treatment and continuous-supply tax points are the worked examples the auditors themselves offered.</w:t>
      </w:r>
    </w:p>
    <w:p>
      <w:pPr>
        <w:spacing w:after="140" w:line="276"/>
      </w:pPr>
      <w:r>
        <w:rPr>
          <w:rFonts w:ascii="Aptos" w:cs="Aptos" w:eastAsia="Aptos" w:hAnsi="Aptos"/>
          <w:color w:val="1A1A1A"/>
          <w:sz w:val="21"/>
          <w:szCs w:val="21"/>
        </w:rPr>
        <w:t xml:space="preserve">The governance model is the auditors' own, and it is not optional: </w:t>
      </w:r>
      <w:r>
        <w:rPr>
          <w:rFonts w:ascii="Aptos" w:cs="Aptos" w:eastAsia="Aptos" w:hAnsi="Aptos"/>
          <w:b/>
          <w:bCs/>
          <w:color w:val="1A1A1A"/>
          <w:sz w:val="21"/>
          <w:szCs w:val="21"/>
        </w:rPr>
        <w:t xml:space="preserve">an auditor proposes knowledge → a designated SME validates it → only approved knowledge becomes retrievable by the AI.</w:t>
      </w:r>
      <w:r>
        <w:rPr>
          <w:rFonts w:ascii="Aptos" w:cs="Aptos" w:eastAsia="Aptos" w:hAnsi="Aptos"/>
          <w:color w:val="1A1A1A"/>
          <w:sz w:val="21"/>
          <w:szCs w:val="21"/>
        </w:rPr>
        <w:t xml:space="preserve"> An auditor cannot enter arbitrary information and have the model treat it as fact. Each entry is versioned, attributed and withdrawable.</w:t>
      </w:r>
    </w:p>
    <w:p>
      <w:pPr>
        <w:pStyle w:val="Heading3"/>
        <w:keepNext/>
        <w:spacing w:after="100" w:before="220"/>
      </w:pPr>
      <w:r>
        <w:rPr>
          <w:rFonts w:ascii="Aptos" w:cs="Aptos" w:eastAsia="Aptos" w:hAnsi="Aptos"/>
          <w:b/>
          <w:bCs/>
          <w:color w:val="44546A"/>
          <w:sz w:val="22"/>
          <w:szCs w:val="22"/>
        </w:rPr>
        <w:t xml:space="preserve">C. Similar cases and lessons learned</w:t>
      </w:r>
    </w:p>
    <w:p>
      <w:pPr>
        <w:spacing w:after="140" w:line="276"/>
      </w:pPr>
      <w:r>
        <w:rPr>
          <w:rFonts w:ascii="Aptos" w:cs="Aptos" w:eastAsia="Aptos" w:hAnsi="Aptos"/>
          <w:color w:val="1A1A1A"/>
          <w:sz w:val="21"/>
          <w:szCs w:val="21"/>
        </w:rPr>
        <w:t xml:space="preserve">Extending the same retrieval to previous audit cases: where a telecom taxpayer shows a discrepancy that has appeared in several previous cases, the AI surfaces those cases and how the issue was investigated. Recurring sector issues, known timing differences, frequently encountered taxpayer explanations and common regulatory interpretations become reusable rather than re-derived. The deterministic precedent retrieval already built is the foundation for this.</w:t>
      </w:r>
    </w:p>
    <w:p>
      <w:pPr>
        <w:pStyle w:val="Heading2"/>
        <w:keepNext/>
        <w:spacing w:after="120" w:before="300"/>
      </w:pPr>
      <w:r>
        <w:rPr>
          <w:rFonts w:ascii="Aptos" w:cs="Aptos" w:eastAsia="Aptos" w:hAnsi="Aptos"/>
          <w:b/>
          <w:bCs/>
          <w:color w:val="0E3F52"/>
          <w:sz w:val="25"/>
          <w:szCs w:val="25"/>
        </w:rPr>
        <w:t xml:space="preserve">11.6  Limitations of the retrieval approach</w:t>
      </w:r>
    </w:p>
    <w:p>
      <w:pPr>
        <w:spacing w:after="140" w:line="276"/>
      </w:pPr>
      <w:r>
        <w:rPr>
          <w:rFonts w:ascii="Aptos" w:cs="Aptos" w:eastAsia="Aptos" w:hAnsi="Aptos"/>
          <w:color w:val="1A1A1A"/>
          <w:sz w:val="21"/>
          <w:szCs w:val="21"/>
        </w:rPr>
        <w:t xml:space="preserve">Stated plainly, because retrieval is the part of an AI system most easily over-claimed.</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300"/>
        <w:gridCol w:w="6720"/>
      </w:tblGrid>
      <w:tr>
        <w:trPr>
          <w:tblHeader/>
        </w:trPr>
        <w:tc>
          <w:tcPr>
            <w:tcW w:type="dxa" w:w="23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Limitation</w:t>
            </w:r>
          </w:p>
        </w:tc>
        <w:tc>
          <w:tcPr>
            <w:tcW w:type="dxa" w:w="67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means for the solution</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corpus is a subset</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models will not be trained or the corpus built on all datasets — that is a project scope, not a PoC scope. A limited set of documents is taken into consideration, and this may affect the outcome. The methodology will be presented; parsing every document is an extensive exercise this PoC does not undertake.</w:t>
            </w:r>
          </w:p>
        </w:tc>
      </w:tr>
      <w:tr>
        <w:tc>
          <w:tcPr>
            <w:tcW w:type="dxa" w:w="23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is only as good as its governance</w:t>
            </w:r>
          </w:p>
        </w:tc>
        <w:tc>
          <w:tcPr>
            <w:tcW w:type="dxa" w:w="6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governed library is only trustworthy if the SME validation step is real and resourced. Without it, the library becomes a second, unreviewed source of error — which is precisely the risk the governance model exists to prevent.</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does not interpret</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Retrieving Article 50 does not decide whether renting a football field relates to the economic activity. That assessment is Level 3 — professional judgement — and remains the auditor's. The AI supplies the article and the facts, not the conclusion.</w:t>
            </w:r>
          </w:p>
        </w:tc>
      </w:tr>
      <w:tr>
        <w:tc>
          <w:tcPr>
            <w:tcW w:type="dxa" w:w="23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Retrieval never produces a number</w:t>
            </w:r>
          </w:p>
        </w:tc>
        <w:tc>
          <w:tcPr>
            <w:tcW w:type="dxa" w:w="6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 retrieved passage may introduce a figure into a report. The core invariant holds across the retrieval layer exactly as it holds everywhere else.</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Language coverage</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ZATCA source material exists in Arabic and English. Retrieval quality across both, and consistency of citation between them, needs to be established against the real corpus rather than assumed.</w:t>
            </w:r>
          </w:p>
        </w:tc>
      </w:tr>
      <w:tr>
        <w:tc>
          <w:tcPr>
            <w:tcW w:type="dxa" w:w="23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Model dependency</w:t>
            </w:r>
          </w:p>
        </w:tc>
        <w:tc>
          <w:tcPr>
            <w:tcW w:type="dxa" w:w="67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Retrieval quality and answer quality both depend on the model doing the reasoning. Accuracy revolves largely around the HUMAIN models, and until the HUMAIN sandbox is provisioned, work proceeds on comparable LLMs. </w:t>
            </w:r>
            <w:r>
              <w:rPr>
                <w:rFonts w:ascii="Aptos" w:cs="Aptos" w:eastAsia="Aptos" w:hAnsi="Aptos"/>
                <w:b/>
                <w:bCs/>
                <w:color w:val="1A1A1A"/>
                <w:sz w:val="19"/>
                <w:szCs w:val="19"/>
              </w:rPr>
              <w:t xml:space="preserve">Accuracy cannot be guaranteed on that basis.</w:t>
            </w:r>
          </w:p>
        </w:tc>
      </w:tr>
      <w:tr>
        <w:tc>
          <w:tcPr>
            <w:tcW w:type="dxa" w:w="23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No integration</w:t>
            </w:r>
          </w:p>
        </w:tc>
        <w:tc>
          <w:tcPr>
            <w:tcW w:type="dxa" w:w="6720"/>
            <w:tcMar>
              <w:top w:type="dxa" w:w="64"/>
              <w:left w:type="dxa" w:w="110"/>
              <w:bottom w:type="dxa" w:w="64"/>
              <w:right w:type="dxa" w:w="110"/>
            </w:tcMar>
          </w:tcPr>
          <w:p>
            <w:pPr>
              <w:spacing w:after="0" w:line="250"/>
            </w:pPr>
            <w:r>
              <w:rPr>
                <w:rFonts w:ascii="Aptos" w:cs="Aptos" w:eastAsia="Aptos" w:hAnsi="Aptos"/>
                <w:color w:val="1A1A1A"/>
                <w:sz w:val="19"/>
                <w:szCs w:val="19"/>
              </w:rPr>
              <w:t xml:space="preserve">Retrieval operates over documents supplied to the PoC. There is no live connection to a regulations repository, a case management system, or the warehouse.</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12.  Auditor Requirements — Traceability</w:t>
      </w:r>
    </w:p>
    <w:p>
      <w:pPr>
        <w:spacing w:after="140" w:line="276"/>
      </w:pPr>
      <w:r>
        <w:rPr>
          <w:rFonts w:ascii="Aptos" w:cs="Aptos" w:eastAsia="Aptos" w:hAnsi="Aptos"/>
          <w:color w:val="1A1A1A"/>
          <w:sz w:val="21"/>
          <w:szCs w:val="21"/>
        </w:rPr>
        <w:t xml:space="preserve">Every substantive point raised by the VAT audit team, mapped to how the solution answers it, with an honest status. This is the merge point between the meeting outcomes and the solution design: nothing raised in the meeting is dropped without being accounted for here.</w:t>
      </w:r>
    </w:p>
    <w:p>
      <w:pPr>
        <w:spacing w:after="60"/>
      </w:pPr>
      <w:r>
        <w:rPr>
          <w:sz w:val="6"/>
          <w:szCs w:val="6"/>
        </w:rPr>
        <w:t xml:space="preserve"/>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1500"/>
        <w:gridCol w:w="7520"/>
      </w:tblGrid>
      <w:tr>
        <w:trPr>
          <w:tblHeader/>
        </w:trPr>
        <w:tc>
          <w:tcPr>
            <w:tcW w:type="dxa" w:w="15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c>
          <w:tcPr>
            <w:tcW w:type="dxa" w:w="75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Meaning</w:t>
            </w:r>
          </w:p>
        </w:tc>
      </w:tr>
      <w:tr>
        <w:tc>
          <w:tcPr>
            <w:tcW w:type="dxa" w:w="1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Delivered</w:t>
            </w:r>
          </w:p>
        </w:tc>
        <w:tc>
          <w:tcPr>
            <w:tcW w:type="dxa" w:w="7520"/>
            <w:tcMar>
              <w:top w:type="dxa" w:w="64"/>
              <w:left w:type="dxa" w:w="110"/>
              <w:bottom w:type="dxa" w:w="64"/>
              <w:right w:type="dxa" w:w="110"/>
            </w:tcMar>
          </w:tcPr>
          <w:p>
            <w:pPr>
              <w:spacing w:after="0" w:line="250"/>
            </w:pPr>
            <w:r>
              <w:rPr>
                <w:rFonts w:ascii="Aptos" w:cs="Aptos" w:eastAsia="Aptos" w:hAnsi="Aptos"/>
                <w:color w:val="1A1A1A"/>
                <w:sz w:val="19"/>
                <w:szCs w:val="19"/>
              </w:rPr>
              <w:t xml:space="preserve">Built and working in the current PoC.</w:t>
            </w:r>
          </w:p>
        </w:tc>
      </w:tr>
      <w:tr>
        <w:tc>
          <w:tcPr>
            <w:tcW w:type="dxa" w:w="1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Partial</w:t>
            </w:r>
          </w:p>
        </w:tc>
        <w:tc>
          <w:tcPr>
            <w:tcW w:type="dxa" w:w="7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Built in part, or demonstrated rather than integrated; the remaining work is named.</w:t>
            </w:r>
          </w:p>
        </w:tc>
      </w:tr>
      <w:tr>
        <w:tc>
          <w:tcPr>
            <w:tcW w:type="dxa" w:w="15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Planned</w:t>
            </w:r>
          </w:p>
        </w:tc>
        <w:tc>
          <w:tcPr>
            <w:tcW w:type="dxa" w:w="7520"/>
            <w:tcMar>
              <w:top w:type="dxa" w:w="64"/>
              <w:left w:type="dxa" w:w="110"/>
              <w:bottom w:type="dxa" w:w="64"/>
              <w:right w:type="dxa" w:w="110"/>
            </w:tcMar>
          </w:tcPr>
          <w:p>
            <w:pPr>
              <w:spacing w:after="0" w:line="250"/>
            </w:pPr>
            <w:r>
              <w:rPr>
                <w:rFonts w:ascii="Aptos" w:cs="Aptos" w:eastAsia="Aptos" w:hAnsi="Aptos"/>
                <w:color w:val="1A1A1A"/>
                <w:sz w:val="19"/>
                <w:szCs w:val="19"/>
              </w:rPr>
              <w:t xml:space="preserve">Specified and scoped, not built in this pass.</w:t>
            </w:r>
          </w:p>
        </w:tc>
      </w:tr>
      <w:tr>
        <w:tc>
          <w:tcPr>
            <w:tcW w:type="dxa" w:w="15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Out of scope</w:t>
            </w:r>
          </w:p>
        </w:tc>
        <w:tc>
          <w:tcPr>
            <w:tcW w:type="dxa" w:w="75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Deliberately excluded from the PoC, by agreement.</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12.1  Process, planning and case initiation</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Risk Engine gives the specific reason a case was triggered, and becomes a valuable input to the AI.</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Recognised as a high-value future input. Excluded from the PoC by agreement with the IT and Audit teams: the solution takes no risk-engine output. Named as a priority integration in §14.</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Out of scope</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3–4</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 runs as Planning then Execution; auditors investigate internal data before asking the taxpayer.</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five-stage lifecycle mirrors this. Dossier assembly brings internal information into one screen (§9). The standalone planning stage is built and tested but dormant under the current scope (§8).</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5</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Specific information is requested — financial statements, trial balance, sales and purchase analyses, invoices, contracts, explanations.</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request email is parsed into a checkable specification covering exactly these items, and the absence of a trial balance is itself an evidentiary basis used by the Evidence &amp; Coverage agent.</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30</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Not every case originates from the Risk Engine; some come from audit policy or materiality.</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Agreed as out of scope for the initial PoC. Risk-driven cases give a clearer starting point; the design does not depend on a risk-engine input existing.</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Out of scope</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31</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Audits always involve taxpayer interaction; the AI must support an iterative lifecycle, not a one-time analysis.</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lifecycle machine is iterative by construction: completeness is rechecked on every new document, “waiting on the taxpayer” is a first-class state, and each round of correspondence re-enters the same loop.</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12.2  The formal review — the biggest administrative cost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6</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Requests are very specific (an Excel file, eight named columns); responses routinely do not match.</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parsed specification carries the required documents, columns, mandatory fields and period. The uploaded files are tested against it directly.</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7</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“Did the taxpayer actually provide what I requested?” must be answered before technical review. Requested capability: understand request → review response → compare → identify missing → inform auditor → draft follow-up.</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This is Job 1 of the solution, built to that exact sequence (§2, §5.1). Missing documents, missing columns, blank mandatory fields, period coverage and totals that do not foot are all reported.</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8</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Communication is iterative; the AI should draft the follow-up explaining what remains outstanding.</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chase email is drafted from the identified gaps alone, stating information requested, received, missing, outstanding actions and proposed follow-up. The auditor reviews and approves before sending.</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9</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response times of three to four months are a major pain point — but the AI cannot fix taxpayer lateness.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Stated honestly and not over-claimed (§3.4). The solution removes auditor-side processing time and makes the wait visible and attributable through lifecycle tracking; it does not claim to shorten the taxpayer's clock.</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8 / 28</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Should eventually integrate with email or another communication mechanism.</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Drafting is built; sending is not. Email integration is excluded from the PoC along with all other integrations.</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12.3  Reconciliation and timing</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13</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e-invoicing team already has a VAT-return-to-e-invoicing reconciliation dashboard; integration is not in the PoC.</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Acknowledged directly. The PoC demonstrates reconciliation on synthetic data and proves the AI can reason over reconciliation results; integration with the existing dashboard is positioned as part of the future solution rather than rebuilt here (§14).</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Out of scope</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14</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SUM(e-invoices) ≠ VAT return. A difference must not automatically be treated as non-compliance.</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This is the founding principle of the engine. Lines are qualified before they are summed, and each difference is explained by a named rule down to a true residual. Only a material, unexplained residual is treated as a potential finding (§5.2).</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15</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The VAT period cannot be determined from the invoice date alone; tax point, supply date, payment date all matter.</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Recognised as the highest-leverage gap in the solution and stated as such. The engine currently approximates tax point as invoice issue date, with delivery date used for the period-straddle test. Four corrections are drafted, pending verification against official ZATCA sources (§13.1).</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16</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Advance payments may create a tax point before the final supply or invoice.</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a payment received before invoice or delivery accelerates the tax point to the payment date. Awaiting source verification before wiring.</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17</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Continuous supplies span periods and should become an explicit business rule.</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the earliest of instalment-due date, payment date or invoice date, with a tax point at least once every twelve months. Awaiting source verification before wiring.</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18</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Government / Etimad transactions can separate invoice from VAT recognition by six or seven months.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the existing government-supply rule moves from “procurement-platform approval date” to the earlier of the payment-order date or receipt of consideration. Awaiting source verification before wiring.</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19</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 vouchers: issuance, activation, redemption and expiry are distinct; prepaid and postpaid differ.</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Drafted correction: voucher issuance is not itself the VAT point; activation or redemption is. Telecom is acknowledged as requiring sector-specific rules rather than one generic invoice-date rule.</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12.4  Technical checks and validation</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10</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Technical review covers missing taxpayer information, missing invoice numbers, missing mandatory fields, empty fields, duplicates, incorrect calculations and VAT amounts, and transactions unrelated to the activity.</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Split across the four agents: Regulations (invoice field presence, deductibility), Data Entry (keying errors), Calculation (incorrect amounts and unreproduced figures) and Evidence &amp; Coverage (missing documentation, undisclosed activity).</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11</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Purchases require judgement on whether an expense relates to the economic activity — Article 50 was cited.</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Regulations agent runs a cite-or-drop deductibility check, currently limited to deterministic field-presence tests and a small explicit blocked-expense list, pending the real regulations corpus (§11). Taxpayer activities must be entered manually, as there is no warehouse integration. </w:t>
            </w:r>
            <w:r>
              <w:rPr>
                <w:rFonts w:ascii="Aptos" w:cs="Aptos" w:eastAsia="Aptos" w:hAnsi="Aptos"/>
                <w:b/>
                <w:bCs/>
                <w:color w:val="1A1A1A"/>
                <w:sz w:val="19"/>
                <w:szCs w:val="19"/>
              </w:rPr>
              <w:t xml:space="preserve">The judgement itself remains the auditor's</w:t>
            </w:r>
            <w:r>
              <w:rPr>
                <w:rFonts w:ascii="Aptos" w:cs="Aptos" w:eastAsia="Aptos" w:hAnsi="Aptos"/>
                <w:color w:val="1A1A1A"/>
                <w:sz w:val="19"/>
                <w:szCs w:val="19"/>
              </w:rPr>
              <w:t xml:space="preserve"> — Level 3.</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23</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AI should provide independent calculation validation — ten invoices totalling SAR 1,000 recorded by the auditor as SAR 900 should surface a SAR 100 discrepancy.</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Calculation agent re-derives figures the auditor keyed in by hand. The auditor describes their method in plain language; a model translates it into a structured query; deterministic Python executes it. The AI provides a second line of validation, not the audit decision.</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24</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Taxpayer data-entry errors — 10,000 instead of 1,000, abnormal values, duplicates, missing values.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Data Entry agent screens for decimal shift, transposition and out-of-character magnitude, surfacing anomalies to the auditor for investigation rather than adjusting them.</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25</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Duplicate invoice numbers and duplicate input VAT deductions are deterministic checks well suited to automation.</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Included in the deterministic check layer (§5.1): the same invoice number appearing more than once, the same invoice apparently deducted more than once, duplicated key invoice information, and missing required invoice fields.</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12.5  Knowledge, regulations and positioning</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12</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VAT legislation is publicly available; a Regulatory Knowledge / RAG capability should identify provisions, retrieve the article, explain relevance, and link findings to source — with interpretation remaining the auditor's.</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Section 11 sets out the retrieval strategy against this requirement. Today: deterministic rule and outcome retrieval over curated corpora. Next phase: retrieval over the official VAT Law, Implementing Regulations, e-invoicing regulations and guidelines, chunked by article so every passage carries its citation.</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20</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Auditor knowledge is tacit — experience, previous cases, sector knowledge, known exceptions, lessons learned.</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Named as pain point #4 and deliberately deferred rather than half-built (§9). Deterministic precedent retrieval is built and tested but dormant, and is the foundation for the governed library.</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21</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An Auditor Knowledge area with governance: auditor proposes → SME validates → approved knowledge becomes available to the AI. Auditors must not be able to enter arbitrary information treated as fact.</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Adopted verbatim as the governance model for the planned knowledge library (§11.5 B). Entries are versioned, attributed and withdrawable. This is the specific reason the design retrieves rather than fine-tunes.</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22</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Surface similar previous cases and how the issue was investigated before.</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Specified as an extension of the same retrieval mechanism over the labelled closed-case corpus (§11.5 C).</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Planned</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26</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Three levels: L1 formal/deterministic checks, L2 analytical and regulatory decision support, L3 professional judgement.</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Adopted as the organising framework of the solution (§3.8). L1 is automated, L2 is supported with a deterministic check behind every proposal, and L3 is deliberately left to the auditor.</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27</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Positioning should be an AI Audit Copilot — reduce administrative work and support decision-making; the auditor remains responsible for technical conclusions.</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Adopted as the stated positioning of the solution, on the cover and throughout. Section 5.4 states explicitly what the AI is never permitted to do.</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bl>
    <w:p>
      <w:pPr>
        <w:spacing w:after="180"/>
      </w:pPr>
      <w:r>
        <w:rPr>
          <w:sz w:val="6"/>
          <w:szCs w:val="6"/>
        </w:rPr>
        <w:t xml:space="preserve"/>
      </w:r>
    </w:p>
    <w:p>
      <w:pPr>
        <w:pStyle w:val="Heading2"/>
        <w:keepNext/>
        <w:spacing w:after="120" w:before="300"/>
      </w:pPr>
      <w:r>
        <w:rPr>
          <w:rFonts w:ascii="Aptos" w:cs="Aptos" w:eastAsia="Aptos" w:hAnsi="Aptos"/>
          <w:b/>
          <w:bCs/>
          <w:color w:val="0E3F52"/>
          <w:sz w:val="25"/>
          <w:szCs w:val="25"/>
        </w:rPr>
        <w:t xml:space="preserve">12.6  Reporting and case management</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700"/>
        <w:gridCol w:w="2450"/>
        <w:gridCol w:w="4470"/>
        <w:gridCol w:w="1400"/>
      </w:tblGrid>
      <w:tr>
        <w:trPr>
          <w:tblHeader/>
        </w:trPr>
        <w:tc>
          <w:tcPr>
            <w:tcW w:type="dxa" w:w="7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Ref</w:t>
            </w:r>
          </w:p>
        </w:tc>
        <w:tc>
          <w:tcPr>
            <w:tcW w:type="dxa" w:w="245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the auditors said</w:t>
            </w:r>
          </w:p>
        </w:tc>
        <w:tc>
          <w:tcPr>
            <w:tcW w:type="dxa" w:w="447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How the solution answers it</w:t>
            </w:r>
          </w:p>
        </w:tc>
        <w:tc>
          <w:tcPr>
            <w:tcW w:type="dxa" w:w="1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Status</w:t>
            </w:r>
          </w:p>
        </w:tc>
      </w:tr>
      <w:tr>
        <w:tc>
          <w:tcPr>
            <w:tcW w:type="dxa" w:w="700"/>
            <w:tcMar>
              <w:top w:type="dxa" w:w="64"/>
              <w:left w:type="dxa" w:w="110"/>
              <w:bottom w:type="dxa" w:w="64"/>
              <w:right w:type="dxa" w:w="110"/>
            </w:tcMar>
          </w:tcPr>
          <w:p>
            <w:pPr>
              <w:spacing w:after="0" w:line="250"/>
            </w:pPr>
            <w:r>
              <w:rPr>
                <w:rFonts w:ascii="Aptos" w:cs="Aptos" w:eastAsia="Aptos" w:hAnsi="Aptos"/>
                <w:color w:val="1A1A1A"/>
                <w:sz w:val="19"/>
                <w:szCs w:val="19"/>
              </w:rPr>
              <w:t xml:space="preserve">MoM 28</w:t>
            </w:r>
          </w:p>
        </w:tc>
        <w:tc>
          <w:tcPr>
            <w:tcW w:type="dxa" w:w="2450"/>
            <w:tcMar>
              <w:top w:type="dxa" w:w="64"/>
              <w:left w:type="dxa" w:w="110"/>
              <w:bottom w:type="dxa" w:w="64"/>
              <w:right w:type="dxa" w:w="110"/>
            </w:tcMar>
          </w:tcPr>
          <w:p>
            <w:pPr>
              <w:spacing w:after="0" w:line="250"/>
            </w:pPr>
            <w:r>
              <w:rPr>
                <w:rFonts w:ascii="Aptos" w:cs="Aptos" w:eastAsia="Aptos" w:hAnsi="Aptos"/>
                <w:color w:val="1A1A1A"/>
                <w:sz w:val="19"/>
                <w:szCs w:val="19"/>
              </w:rPr>
              <w:t xml:space="preserve">Administrative work continues after the technical assessment: consolidate findings, summarise analysis, explain discrepancies, reference support, prepare the report and the taxpayer communication.</w:t>
            </w:r>
          </w:p>
        </w:tc>
        <w:tc>
          <w:tcPr>
            <w:tcW w:type="dxa" w:w="4470"/>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 report is drafted section by section in the Authority's own template order and streamed as it is written; the taxpayer letter is drafted alongside it. Fields the case cannot answer are labelled honestly rather than guessed. The auditor reviews and approves (§5.1).</w:t>
            </w:r>
          </w:p>
        </w:tc>
        <w:tc>
          <w:tcPr>
            <w:tcW w:type="dxa" w:w="1400"/>
            <w:tcMar>
              <w:top w:type="dxa" w:w="64"/>
              <w:left w:type="dxa" w:w="110"/>
              <w:bottom w:type="dxa" w:w="64"/>
              <w:right w:type="dxa" w:w="110"/>
            </w:tcMar>
          </w:tcPr>
          <w:p>
            <w:pPr>
              <w:spacing w:after="0" w:line="250"/>
            </w:pPr>
            <w:r>
              <w:rPr>
                <w:rFonts w:ascii="Aptos" w:cs="Aptos" w:eastAsia="Aptos" w:hAnsi="Aptos"/>
                <w:color w:val="1A1A1A"/>
                <w:sz w:val="19"/>
                <w:szCs w:val="19"/>
              </w:rPr>
              <w:t xml:space="preserve">Delivered</w:t>
            </w:r>
          </w:p>
        </w:tc>
      </w:tr>
      <w:tr>
        <w:tc>
          <w:tcPr>
            <w:tcW w:type="dxa" w:w="7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MoM 29</w:t>
            </w:r>
          </w:p>
        </w:tc>
        <w:tc>
          <w:tcPr>
            <w:tcW w:type="dxa" w:w="245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Case prioritisation on risk severity, financial materiality, value of the discrepancy, age of the case, response status, number of outstanding issues, complexity and urgency — methodology to be agreed with the audit team.</w:t>
            </w:r>
          </w:p>
        </w:tc>
        <w:tc>
          <w:tcPr>
            <w:tcW w:type="dxa" w:w="447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composite prioritisation is built on exposure, deadline, taxpayer history and quick-win potential. The remaining factors — response status, count of outstanding issues, complexity — are straightforward additions once the methodology is agreed. </w:t>
            </w:r>
            <w:r>
              <w:rPr>
                <w:rFonts w:ascii="Aptos" w:cs="Aptos" w:eastAsia="Aptos" w:hAnsi="Aptos"/>
                <w:b/>
                <w:bCs/>
                <w:color w:val="1A1A1A"/>
                <w:sz w:val="19"/>
                <w:szCs w:val="19"/>
              </w:rPr>
              <w:t xml:space="preserve">The methodology still requires sign-off from the audit team</w:t>
            </w:r>
            <w:r>
              <w:rPr>
                <w:rFonts w:ascii="Aptos" w:cs="Aptos" w:eastAsia="Aptos" w:hAnsi="Aptos"/>
                <w:color w:val="1A1A1A"/>
                <w:sz w:val="19"/>
                <w:szCs w:val="19"/>
              </w:rPr>
              <w:t xml:space="preserve"> (§14).</w:t>
            </w:r>
          </w:p>
        </w:tc>
        <w:tc>
          <w:tcPr>
            <w:tcW w:type="dxa" w:w="1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Partial</w:t>
            </w:r>
          </w:p>
        </w:tc>
      </w:tr>
    </w:tbl>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13.  Limitations and Future Considerations</w:t>
      </w:r>
    </w:p>
    <w:p>
      <w:pPr>
        <w:pStyle w:val="Heading2"/>
        <w:keepNext/>
        <w:spacing w:after="120" w:before="300"/>
      </w:pPr>
      <w:r>
        <w:rPr>
          <w:rFonts w:ascii="Aptos" w:cs="Aptos" w:eastAsia="Aptos" w:hAnsi="Aptos"/>
          <w:b/>
          <w:bCs/>
          <w:color w:val="0E3F52"/>
          <w:sz w:val="25"/>
          <w:szCs w:val="25"/>
        </w:rPr>
        <w:t xml:space="preserve">13.1  The tax-point approximation is the highest-leverage gap</w:t>
      </w:r>
    </w:p>
    <w:p>
      <w:pPr>
        <w:spacing w:after="140" w:line="276"/>
      </w:pPr>
      <w:r>
        <w:rPr>
          <w:rFonts w:ascii="Aptos" w:cs="Aptos" w:eastAsia="Aptos" w:hAnsi="Aptos"/>
          <w:color w:val="1A1A1A"/>
          <w:sz w:val="21"/>
          <w:szCs w:val="21"/>
        </w:rPr>
        <w:t xml:space="preserve">The engine's own scope notes name this directly: a true tax-point rule — the earliest of payment, invoice, or contractual due date, with special cases for continuous supply — is the first thing production would need. It is also exactly what the audit team raised in four separate scenarios (§3.5).</w:t>
      </w:r>
    </w:p>
    <w:p>
      <w:pPr>
        <w:spacing w:after="140" w:line="276"/>
      </w:pPr>
      <w:r>
        <w:rPr>
          <w:rFonts w:ascii="Aptos" w:cs="Aptos" w:eastAsia="Aptos" w:hAnsi="Aptos"/>
          <w:color w:val="1A1A1A"/>
          <w:sz w:val="21"/>
          <w:szCs w:val="21"/>
        </w:rPr>
        <w:t xml:space="preserve">Four candidate corrections are already drafted and under review, </w:t>
      </w:r>
      <w:r>
        <w:rPr>
          <w:rFonts w:ascii="Aptos" w:cs="Aptos" w:eastAsia="Aptos" w:hAnsi="Aptos"/>
          <w:b/>
          <w:bCs/>
          <w:color w:val="1A1A1A"/>
          <w:sz w:val="21"/>
          <w:szCs w:val="21"/>
        </w:rPr>
        <w:t xml:space="preserve">pending verification against the official ZATCA source documents</w:t>
      </w:r>
      <w:r>
        <w:rPr>
          <w:rFonts w:ascii="Aptos" w:cs="Aptos" w:eastAsia="Aptos" w:hAnsi="Aptos"/>
          <w:color w:val="1A1A1A"/>
          <w:sz w:val="21"/>
          <w:szCs w:val="21"/>
        </w:rPr>
        <w:t xml:space="preserve"> before anything is wired into the live engine:</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400"/>
        <w:gridCol w:w="6620"/>
      </w:tblGrid>
      <w:tr>
        <w:trPr>
          <w:tblHeader/>
        </w:trPr>
        <w:tc>
          <w:tcPr>
            <w:tcW w:type="dxa" w:w="24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Correction</w:t>
            </w:r>
          </w:p>
        </w:tc>
        <w:tc>
          <w:tcPr>
            <w:tcW w:type="dxa" w:w="66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changes</w:t>
            </w:r>
          </w:p>
        </w:tc>
      </w:tr>
      <w:tr>
        <w:tc>
          <w:tcPr>
            <w:tcW w:type="dxa" w:w="2400"/>
            <w:tcMar>
              <w:top w:type="dxa" w:w="64"/>
              <w:left w:type="dxa" w:w="110"/>
              <w:bottom w:type="dxa" w:w="64"/>
              <w:right w:type="dxa" w:w="110"/>
            </w:tcMar>
          </w:tcPr>
          <w:p>
            <w:pPr>
              <w:spacing w:after="0" w:line="250"/>
            </w:pPr>
            <w:r>
              <w:rPr>
                <w:rFonts w:ascii="Aptos" w:cs="Aptos" w:eastAsia="Aptos" w:hAnsi="Aptos"/>
                <w:color w:val="1A1A1A"/>
                <w:sz w:val="19"/>
                <w:szCs w:val="19"/>
              </w:rPr>
              <w:t xml:space="preserve">Government-contract timing</w:t>
            </w:r>
          </w:p>
        </w:tc>
        <w:tc>
          <w:tcPr>
            <w:tcW w:type="dxa" w:w="6620"/>
            <w:tcMar>
              <w:top w:type="dxa" w:w="64"/>
              <w:left w:type="dxa" w:w="110"/>
              <w:bottom w:type="dxa" w:w="64"/>
              <w:right w:type="dxa" w:w="110"/>
            </w:tcMar>
          </w:tcPr>
          <w:p>
            <w:pPr>
              <w:spacing w:after="0" w:line="250"/>
            </w:pPr>
            <w:r>
              <w:rPr>
                <w:rFonts w:ascii="Aptos" w:cs="Aptos" w:eastAsia="Aptos" w:hAnsi="Aptos"/>
                <w:color w:val="1A1A1A"/>
                <w:sz w:val="19"/>
                <w:szCs w:val="19"/>
              </w:rPr>
              <w:t xml:space="preserve">Corrects the existing government-supply rule from “procurement-platform approval date” to the earlier of the payment-order date or receipt of consideration. Answers the Etimad scenario.</w:t>
            </w:r>
          </w:p>
        </w:tc>
      </w:tr>
      <w:tr>
        <w:tc>
          <w:tcPr>
            <w:tcW w:type="dxa" w:w="2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Advance-payment timing</w:t>
            </w:r>
          </w:p>
        </w:tc>
        <w:tc>
          <w:tcPr>
            <w:tcW w:type="dxa" w:w="6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payment received before invoice or delivery accelerates the tax point to the payment date.</w:t>
            </w:r>
          </w:p>
        </w:tc>
      </w:tr>
      <w:tr>
        <w:tc>
          <w:tcPr>
            <w:tcW w:type="dxa" w:w="2400"/>
            <w:tcMar>
              <w:top w:type="dxa" w:w="64"/>
              <w:left w:type="dxa" w:w="110"/>
              <w:bottom w:type="dxa" w:w="64"/>
              <w:right w:type="dxa" w:w="110"/>
            </w:tcMar>
          </w:tcPr>
          <w:p>
            <w:pPr>
              <w:spacing w:after="0" w:line="250"/>
            </w:pPr>
            <w:r>
              <w:rPr>
                <w:rFonts w:ascii="Aptos" w:cs="Aptos" w:eastAsia="Aptos" w:hAnsi="Aptos"/>
                <w:color w:val="1A1A1A"/>
                <w:sz w:val="19"/>
                <w:szCs w:val="19"/>
              </w:rPr>
              <w:t xml:space="preserve">Continuous / successive supply</w:t>
            </w:r>
          </w:p>
        </w:tc>
        <w:tc>
          <w:tcPr>
            <w:tcW w:type="dxa" w:w="6620"/>
            <w:tcMar>
              <w:top w:type="dxa" w:w="64"/>
              <w:left w:type="dxa" w:w="110"/>
              <w:bottom w:type="dxa" w:w="64"/>
              <w:right w:type="dxa" w:w="110"/>
            </w:tcMar>
          </w:tcPr>
          <w:p>
            <w:pPr>
              <w:spacing w:after="0" w:line="250"/>
            </w:pPr>
            <w:r>
              <w:rPr>
                <w:rFonts w:ascii="Aptos" w:cs="Aptos" w:eastAsia="Aptos" w:hAnsi="Aptos"/>
                <w:color w:val="1A1A1A"/>
                <w:sz w:val="19"/>
                <w:szCs w:val="19"/>
              </w:rPr>
              <w:t xml:space="preserve">The earliest of instalment-due date, payment date, or invoice date, with a tax point at least once every twelve months.</w:t>
            </w:r>
          </w:p>
        </w:tc>
      </w:tr>
      <w:tr>
        <w:tc>
          <w:tcPr>
            <w:tcW w:type="dxa" w:w="24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Telecom prepaid vouchers</w:t>
            </w:r>
          </w:p>
        </w:tc>
        <w:tc>
          <w:tcPr>
            <w:tcW w:type="dxa" w:w="66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Voucher issuance is not itself the VAT point; activation or redemption is.</w:t>
            </w:r>
          </w:p>
        </w:tc>
      </w:tr>
    </w:tbl>
    <w:p>
      <w:pPr>
        <w:pStyle w:val="Heading2"/>
        <w:keepNext/>
        <w:spacing w:after="120" w:before="300"/>
      </w:pPr>
      <w:r>
        <w:rPr>
          <w:rFonts w:ascii="Aptos" w:cs="Aptos" w:eastAsia="Aptos" w:hAnsi="Aptos"/>
          <w:b/>
          <w:bCs/>
          <w:color w:val="0E3F52"/>
          <w:sz w:val="25"/>
          <w:szCs w:val="25"/>
        </w:rPr>
        <w:t xml:space="preserve">13.2  Prior-period corrections: the full version-chain solution</w:t>
      </w:r>
    </w:p>
    <w:p>
      <w:pPr>
        <w:spacing w:after="140" w:line="276"/>
      </w:pPr>
      <w:r>
        <w:rPr>
          <w:rFonts w:ascii="Aptos" w:cs="Aptos" w:eastAsia="Aptos" w:hAnsi="Aptos"/>
          <w:color w:val="1A1A1A"/>
          <w:sz w:val="21"/>
          <w:szCs w:val="21"/>
        </w:rPr>
        <w:t xml:space="preserve">This pass accepts the return's own stated Box-14 figure once the auditor confirms it — deliberately not the complete solution, because the complete solution touches an assumption (one return, one version) that runs throughout the current engine. The full design is already specified rule by rule in the VAT Mistakes Rulebook (COR-05 through COR-10) and is a scoped, known project rather than a research question.</w:t>
      </w:r>
    </w:p>
    <w:p>
      <w:pPr>
        <w:pStyle w:val="ListParagraph"/>
        <w:numPr>
          <w:ilvl w:val="0"/>
          <w:numId w:val="2"/>
        </w:numPr>
        <w:spacing w:after="70" w:line="270"/>
      </w:pPr>
      <w:r>
        <w:rPr>
          <w:rFonts w:ascii="Aptos" w:cs="Aptos" w:eastAsia="Aptos" w:hAnsi="Aptos"/>
          <w:b/>
          <w:bCs/>
          <w:color w:val="1A1A1A"/>
          <w:sz w:val="21"/>
          <w:szCs w:val="21"/>
        </w:rPr>
        <w:t xml:space="preserve">Select the correct baseline automatically.</w:t>
      </w:r>
      <w:r>
        <w:rPr>
          <w:rFonts w:ascii="Aptos" w:cs="Aptos" w:eastAsia="Aptos" w:hAnsi="Aptos"/>
          <w:color w:val="1A1A1A"/>
          <w:sz w:val="21"/>
          <w:szCs w:val="21"/>
        </w:rPr>
        <w:t xml:space="preserve"> An amended return can carry several versions. Rather than trusting whichever version happens to be marked current, the engine would pick the version whose declared liability (Box 16) matches the audited figure at the point the case was actually opened — the version in effect when the case was raised, not necessarily the taxpayer's latest edit (COR-05).</w:t>
      </w:r>
    </w:p>
    <w:p>
      <w:pPr>
        <w:pStyle w:val="ListParagraph"/>
        <w:numPr>
          <w:ilvl w:val="0"/>
          <w:numId w:val="2"/>
        </w:numPr>
        <w:spacing w:after="70" w:line="270"/>
      </w:pPr>
      <w:r>
        <w:rPr>
          <w:rFonts w:ascii="Aptos" w:cs="Aptos" w:eastAsia="Aptos" w:hAnsi="Aptos"/>
          <w:b/>
          <w:bCs/>
          <w:color w:val="1A1A1A"/>
          <w:sz w:val="21"/>
          <w:szCs w:val="21"/>
        </w:rPr>
        <w:t xml:space="preserve">Reconcile against that verified baseline</w:t>
      </w:r>
      <w:r>
        <w:rPr>
          <w:rFonts w:ascii="Aptos" w:cs="Aptos" w:eastAsia="Aptos" w:hAnsi="Aptos"/>
          <w:color w:val="1A1A1A"/>
          <w:sz w:val="21"/>
          <w:szCs w:val="21"/>
        </w:rPr>
        <w:t xml:space="preserve">, not the naive “latest version”.</w:t>
      </w:r>
    </w:p>
    <w:p>
      <w:pPr>
        <w:pStyle w:val="ListParagraph"/>
        <w:numPr>
          <w:ilvl w:val="0"/>
          <w:numId w:val="2"/>
        </w:numPr>
        <w:spacing w:after="70" w:line="270"/>
      </w:pPr>
      <w:r>
        <w:rPr>
          <w:rFonts w:ascii="Aptos" w:cs="Aptos" w:eastAsia="Aptos" w:hAnsi="Aptos"/>
          <w:b/>
          <w:bCs/>
          <w:color w:val="1A1A1A"/>
          <w:sz w:val="21"/>
          <w:szCs w:val="21"/>
        </w:rPr>
        <w:t xml:space="preserve">Decompose the Box-14 figure per error.</w:t>
      </w:r>
      <w:r>
        <w:rPr>
          <w:rFonts w:ascii="Aptos" w:cs="Aptos" w:eastAsia="Aptos" w:hAnsi="Aptos"/>
          <w:color w:val="1A1A1A"/>
          <w:sz w:val="21"/>
          <w:szCs w:val="21"/>
        </w:rPr>
        <w:t xml:space="preserve"> The self-correction channel is only lawful up to SAR 5,000 per individual error, so a Box-14 total above that threshold does not by itself prove a breach — it could be several small, legitimate corrections bundled together. Confirming a real breach, rather than merely flagging one for review, needs the per-error breakdown (COR-06).</w:t>
      </w:r>
    </w:p>
    <w:p>
      <w:pPr>
        <w:pStyle w:val="ListParagraph"/>
        <w:numPr>
          <w:ilvl w:val="0"/>
          <w:numId w:val="2"/>
        </w:numPr>
        <w:spacing w:after="70" w:line="270"/>
      </w:pPr>
      <w:r>
        <w:rPr>
          <w:rFonts w:ascii="Aptos" w:cs="Aptos" w:eastAsia="Aptos" w:hAnsi="Aptos"/>
          <w:b/>
          <w:bCs/>
          <w:color w:val="1A1A1A"/>
          <w:sz w:val="21"/>
          <w:szCs w:val="21"/>
        </w:rPr>
        <w:t xml:space="preserve">Detect double relief</w:t>
      </w:r>
      <w:r>
        <w:rPr>
          <w:rFonts w:ascii="Aptos" w:cs="Aptos" w:eastAsia="Aptos" w:hAnsi="Aptos"/>
          <w:color w:val="1A1A1A"/>
          <w:sz w:val="21"/>
          <w:szCs w:val="21"/>
        </w:rPr>
        <w:t xml:space="preserve"> — a credit note and a Box-14 entry both relieving the same original event, the same VAT excused twice (COR-07).</w:t>
      </w:r>
    </w:p>
    <w:p>
      <w:pPr>
        <w:pStyle w:val="ListParagraph"/>
        <w:numPr>
          <w:ilvl w:val="0"/>
          <w:numId w:val="2"/>
        </w:numPr>
        <w:spacing w:after="70" w:line="270"/>
      </w:pPr>
      <w:r>
        <w:rPr>
          <w:rFonts w:ascii="Aptos" w:cs="Aptos" w:eastAsia="Aptos" w:hAnsi="Aptos"/>
          <w:b/>
          <w:bCs/>
          <w:color w:val="1A1A1A"/>
          <w:sz w:val="21"/>
          <w:szCs w:val="21"/>
        </w:rPr>
        <w:t xml:space="preserve">Detect an unsupported reversal</w:t>
      </w:r>
      <w:r>
        <w:rPr>
          <w:rFonts w:ascii="Aptos" w:cs="Aptos" w:eastAsia="Aptos" w:hAnsi="Aptos"/>
          <w:color w:val="1A1A1A"/>
          <w:sz w:val="21"/>
          <w:szCs w:val="21"/>
        </w:rPr>
        <w:t xml:space="preserve"> — an amendment that lowers a previously correct liability, filed after the case was referred, with no evidence behind the reduction; the amendment itself becomes the finding (COR-10).</w:t>
      </w:r>
    </w:p>
    <w:p>
      <w:pPr>
        <w:pStyle w:val="Heading2"/>
        <w:keepNext/>
        <w:spacing w:after="120" w:before="300"/>
      </w:pPr>
      <w:r>
        <w:rPr>
          <w:rFonts w:ascii="Aptos" w:cs="Aptos" w:eastAsia="Aptos" w:hAnsi="Aptos"/>
          <w:b/>
          <w:bCs/>
          <w:color w:val="0E3F52"/>
          <w:sz w:val="25"/>
          <w:szCs w:val="25"/>
        </w:rPr>
        <w:t xml:space="preserve">13.3  Two further increments already scoped</w:t>
      </w:r>
    </w:p>
    <w:p>
      <w:pPr>
        <w:pStyle w:val="ListParagraph"/>
        <w:numPr>
          <w:ilvl w:val="0"/>
          <w:numId w:val="2"/>
        </w:numPr>
        <w:spacing w:after="70" w:line="270"/>
      </w:pPr>
      <w:r>
        <w:rPr>
          <w:rFonts w:ascii="Aptos" w:cs="Aptos" w:eastAsia="Aptos" w:hAnsi="Aptos"/>
          <w:b/>
          <w:bCs/>
          <w:color w:val="1A1A1A"/>
          <w:sz w:val="21"/>
          <w:szCs w:val="21"/>
        </w:rPr>
        <w:t xml:space="preserve">Automated import and reverse-charge reconstruction.</w:t>
      </w:r>
      <w:r>
        <w:rPr>
          <w:rFonts w:ascii="Aptos" w:cs="Aptos" w:eastAsia="Aptos" w:hAnsi="Aptos"/>
          <w:color w:val="1A1A1A"/>
          <w:sz w:val="21"/>
          <w:szCs w:val="21"/>
        </w:rPr>
        <w:t xml:space="preserve"> Today both are counted only via auditor-confirmed evidence. The RCM-01…10 rulebook family already specifies the automated version — matching customs and AP feeds against declared Box 8/9 — for when those feeds exist.</w:t>
      </w:r>
    </w:p>
    <w:p>
      <w:pPr>
        <w:pStyle w:val="ListParagraph"/>
        <w:numPr>
          <w:ilvl w:val="0"/>
          <w:numId w:val="2"/>
        </w:numPr>
        <w:spacing w:after="70" w:line="270"/>
      </w:pPr>
      <w:r>
        <w:rPr>
          <w:rFonts w:ascii="Aptos" w:cs="Aptos" w:eastAsia="Aptos" w:hAnsi="Aptos"/>
          <w:b/>
          <w:bCs/>
          <w:color w:val="1A1A1A"/>
          <w:sz w:val="21"/>
          <w:szCs w:val="21"/>
        </w:rPr>
        <w:t xml:space="preserve">Zero-rated mis-declaration detection.</w:t>
      </w:r>
      <w:r>
        <w:rPr>
          <w:rFonts w:ascii="Aptos" w:cs="Aptos" w:eastAsia="Aptos" w:hAnsi="Aptos"/>
          <w:color w:val="1A1A1A"/>
          <w:sz w:val="21"/>
          <w:szCs w:val="21"/>
        </w:rPr>
        <w:t xml:space="preserve"> This pass compares declared against reconstructed zero-rated sales directly. OUT-03 (standard-rated sales mis-declared as zero-rated) and OUT-04 (exports zero-rated without proof of export) are the next layer, already specified in the rulebook and not yet wired.</w:t>
      </w:r>
    </w:p>
    <w:p>
      <w:pPr>
        <w:pStyle w:val="Heading2"/>
        <w:keepNext/>
        <w:spacing w:after="120" w:before="300"/>
      </w:pPr>
      <w:r>
        <w:rPr>
          <w:rFonts w:ascii="Aptos" w:cs="Aptos" w:eastAsia="Aptos" w:hAnsi="Aptos"/>
          <w:b/>
          <w:bCs/>
          <w:color w:val="0E3F52"/>
          <w:sz w:val="25"/>
          <w:szCs w:val="25"/>
        </w:rPr>
        <w:t xml:space="preserve">13.4  Dormant, not deleted</w:t>
      </w:r>
    </w:p>
    <w:p>
      <w:pPr>
        <w:spacing w:after="140" w:line="276"/>
      </w:pPr>
      <w:r>
        <w:rPr>
          <w:rFonts w:ascii="Aptos" w:cs="Aptos" w:eastAsia="Aptos" w:hAnsi="Aptos"/>
          <w:color w:val="1A1A1A"/>
          <w:sz w:val="21"/>
          <w:szCs w:val="21"/>
        </w:rPr>
        <w:t xml:space="preserve">Precedent retrieval, risk-indicator ingestion, the request planner, and the Dossier and Casework screens are fully built and tested against the planning-era scope, simply not wired into the current two-job flow. They are cheap to keep and expensive to rebuild, and are the natural next modules to reactivate as scope grows — in particular, precedent retrieval is the foundation for the governed knowledge library in §11.5.</w:t>
      </w:r>
    </w:p>
    <w:p>
      <w:pPr>
        <w:pStyle w:val="Heading2"/>
        <w:keepNext/>
        <w:spacing w:after="120" w:before="300"/>
      </w:pPr>
      <w:r>
        <w:rPr>
          <w:rFonts w:ascii="Aptos" w:cs="Aptos" w:eastAsia="Aptos" w:hAnsi="Aptos"/>
          <w:b/>
          <w:bCs/>
          <w:color w:val="0E3F52"/>
          <w:sz w:val="25"/>
          <w:szCs w:val="25"/>
        </w:rPr>
        <w:t xml:space="preserve">13.5  Everything still out of scope</w:t>
      </w:r>
    </w:p>
    <w:p>
      <w:pPr>
        <w:spacing w:after="140" w:line="276"/>
      </w:pPr>
      <w:r>
        <w:rPr>
          <w:rFonts w:ascii="Aptos" w:cs="Aptos" w:eastAsia="Aptos" w:hAnsi="Aptos"/>
          <w:color w:val="1A1A1A"/>
          <w:sz w:val="21"/>
          <w:szCs w:val="21"/>
        </w:rPr>
        <w:t xml:space="preserve">Exempt and outside-scope supplies, VAT groups, cash-accounting taxpayers, full version-chain reconciliation of amended returns, bad-debt relief, partial exemption, summary and B2C invoicing, automated import and reverse-charge reconstruction, buyer-side supplier matching, and rolling reconciliation are all real parts of the audit problem this PoC deliberately does not attempt in full. Each is tagged with the reason code that would carry it (§6.2), so extending coverage is additive, not a redesign.</w:t>
      </w:r>
    </w:p>
    <w:p>
      <w:r>
        <w:br w:type="page"/>
      </w:r>
    </w:p>
    <w:p>
      <w:pPr>
        <w:pStyle w:val="Heading1"/>
        <w:keepNext/>
        <w:pBdr>
          <w:bottom w:val="single" w:color="156082" w:sz="8" w:space="6"/>
        </w:pBdr>
        <w:spacing w:after="170" w:before="400"/>
      </w:pPr>
      <w:r>
        <w:rPr>
          <w:rFonts w:ascii="Aptos" w:cs="Aptos" w:eastAsia="Aptos" w:hAnsi="Aptos"/>
          <w:b/>
          <w:bCs/>
          <w:color w:val="156082"/>
          <w:sz w:val="30"/>
          <w:szCs w:val="30"/>
        </w:rPr>
        <w:t xml:space="preserve">14.  Where AI Can Go Next, and What We Need</w:t>
      </w:r>
    </w:p>
    <w:p>
      <w:pPr>
        <w:pStyle w:val="Heading2"/>
        <w:keepNext/>
        <w:spacing w:after="120" w:before="300"/>
      </w:pPr>
      <w:r>
        <w:rPr>
          <w:rFonts w:ascii="Aptos" w:cs="Aptos" w:eastAsia="Aptos" w:hAnsi="Aptos"/>
          <w:b/>
          <w:bCs/>
          <w:color w:val="0E3F52"/>
          <w:sz w:val="25"/>
          <w:szCs w:val="25"/>
        </w:rPr>
        <w:t xml:space="preserve">14.1  Where AI can be used in the wider audit process</w:t>
      </w:r>
    </w:p>
    <w:p>
      <w:pPr>
        <w:spacing w:after="140" w:line="276"/>
      </w:pPr>
      <w:r>
        <w:rPr>
          <w:rFonts w:ascii="Aptos" w:cs="Aptos" w:eastAsia="Aptos" w:hAnsi="Aptos"/>
          <w:color w:val="1A1A1A"/>
          <w:sz w:val="21"/>
          <w:szCs w:val="21"/>
        </w:rPr>
        <w:t xml:space="preserve">Beyond the PoC scope, and offered so the audit team can see the direction of travel.</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2600"/>
        <w:gridCol w:w="6420"/>
      </w:tblGrid>
      <w:tr>
        <w:trPr>
          <w:tblHeader/>
        </w:trPr>
        <w:tc>
          <w:tcPr>
            <w:tcW w:type="dxa" w:w="26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Opportunity</w:t>
            </w:r>
          </w:p>
        </w:tc>
        <w:tc>
          <w:tcPr>
            <w:tcW w:type="dxa" w:w="64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would add</w:t>
            </w:r>
          </w:p>
        </w:tc>
      </w:tr>
      <w:tr>
        <w:tc>
          <w:tcPr>
            <w:tcW w:type="dxa" w:w="26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Integration with the risk engine, DAL and the warehouse</w:t>
            </w:r>
          </w:p>
        </w:tc>
        <w:tc>
          <w:tcPr>
            <w:tcW w:type="dxa" w:w="6420"/>
            <w:tcMar>
              <w:top w:type="dxa" w:w="64"/>
              <w:left w:type="dxa" w:w="110"/>
              <w:bottom w:type="dxa" w:w="64"/>
              <w:right w:type="dxa" w:w="110"/>
            </w:tcMar>
          </w:tcPr>
          <w:p>
            <w:pPr>
              <w:spacing w:after="0" w:line="250"/>
            </w:pPr>
            <w:r>
              <w:rPr>
                <w:rFonts w:ascii="Aptos" w:cs="Aptos" w:eastAsia="Aptos" w:hAnsi="Aptos"/>
                <w:color w:val="1A1A1A"/>
                <w:sz w:val="19"/>
                <w:szCs w:val="19"/>
              </w:rPr>
              <w:t xml:space="preserve">Reading the risk-engine output to understand why the case was opened; reading the DAL dashboard for the existing e-invoicing-to-VAT-return reconciliation; drawing taxpayer history, e-invoicing data and comparable cases from the Teradata warehouse. Together these would let the solution </w:t>
            </w:r>
            <w:r>
              <w:rPr>
                <w:rFonts w:ascii="Aptos" w:cs="Aptos" w:eastAsia="Aptos" w:hAnsi="Aptos"/>
                <w:b/>
                <w:bCs/>
                <w:color w:val="1A1A1A"/>
                <w:sz w:val="19"/>
                <w:szCs w:val="19"/>
              </w:rPr>
              <w:t xml:space="preserve">recommend which documents should be requested from the taxpayer</w:t>
            </w:r>
            <w:r>
              <w:rPr>
                <w:rFonts w:ascii="Aptos" w:cs="Aptos" w:eastAsia="Aptos" w:hAnsi="Aptos"/>
                <w:color w:val="1A1A1A"/>
                <w:sz w:val="19"/>
                <w:szCs w:val="19"/>
              </w:rPr>
              <w:t xml:space="preserve"> — the step the PoC deliberately excludes today.</w:t>
            </w:r>
          </w:p>
        </w:tc>
      </w:tr>
      <w:tr>
        <w:tc>
          <w:tcPr>
            <w:tcW w:type="dxa" w:w="26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Conversational AI over the case</w:t>
            </w:r>
          </w:p>
        </w:tc>
        <w:tc>
          <w:tcPr>
            <w:tcW w:type="dxa" w:w="6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 asks questions of the case directly and treats the AI as a support system: “based on the documents, what is the total of the invoices?”, “how much is the total VAT?”, “did you exclude the following?”, “which article covers this?”. Every answer grounded in the case file and the governed corpus, with figures computed deterministically.</w:t>
            </w:r>
          </w:p>
        </w:tc>
      </w:tr>
      <w:tr>
        <w:tc>
          <w:tcPr>
            <w:tcW w:type="dxa" w:w="2600"/>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Leveraging the existing e-invoicing dashboard</w:t>
            </w:r>
          </w:p>
        </w:tc>
        <w:tc>
          <w:tcPr>
            <w:tcW w:type="dxa" w:w="6420"/>
            <w:tcMar>
              <w:top w:type="dxa" w:w="64"/>
              <w:left w:type="dxa" w:w="110"/>
              <w:bottom w:type="dxa" w:w="64"/>
              <w:right w:type="dxa" w:w="110"/>
            </w:tcMar>
          </w:tcPr>
          <w:p>
            <w:pPr>
              <w:spacing w:after="0" w:line="250"/>
            </w:pPr>
            <w:r>
              <w:rPr>
                <w:rFonts w:ascii="Aptos" w:cs="Aptos" w:eastAsia="Aptos" w:hAnsi="Aptos"/>
                <w:color w:val="1A1A1A"/>
                <w:sz w:val="19"/>
                <w:szCs w:val="19"/>
              </w:rPr>
              <w:t xml:space="preserve">Rather than rebuilding reconciliation, integrate with the capability the e-invoicing team already has, and focus solution effort on the areas that are not already covered.</w:t>
            </w:r>
          </w:p>
        </w:tc>
      </w:tr>
      <w:tr>
        <w:tc>
          <w:tcPr>
            <w:tcW w:type="dxa" w:w="2600"/>
            <w:shd w:fill="F1F6F8" w:color="auto" w:val="clear"/>
            <w:tcMar>
              <w:top w:type="dxa" w:w="64"/>
              <w:left w:type="dxa" w:w="110"/>
              <w:bottom w:type="dxa" w:w="64"/>
              <w:right w:type="dxa" w:w="110"/>
            </w:tcMar>
          </w:tcPr>
          <w:p>
            <w:pPr>
              <w:spacing w:after="0" w:line="250"/>
            </w:pPr>
            <w:r>
              <w:rPr>
                <w:rFonts w:ascii="Aptos" w:cs="Aptos" w:eastAsia="Aptos" w:hAnsi="Aptos"/>
                <w:b/>
                <w:bCs/>
                <w:color w:val="1A1A1A"/>
                <w:sz w:val="19"/>
                <w:szCs w:val="19"/>
              </w:rPr>
              <w:t xml:space="preserve">The governed Auditor Knowledge library</w:t>
            </w:r>
          </w:p>
        </w:tc>
        <w:tc>
          <w:tcPr>
            <w:tcW w:type="dxa" w:w="64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Turning tacit sector knowledge into a validated, retrievable, reusable asset — with the SME approval gate the auditors specified (§11.5).</w:t>
            </w:r>
          </w:p>
        </w:tc>
      </w:tr>
    </w:tbl>
    <w:p>
      <w:pPr>
        <w:pStyle w:val="Heading2"/>
        <w:keepNext/>
        <w:spacing w:after="120" w:before="300"/>
      </w:pPr>
      <w:r>
        <w:rPr>
          <w:rFonts w:ascii="Aptos" w:cs="Aptos" w:eastAsia="Aptos" w:hAnsi="Aptos"/>
          <w:b/>
          <w:bCs/>
          <w:color w:val="0E3F52"/>
          <w:sz w:val="25"/>
          <w:szCs w:val="25"/>
        </w:rPr>
        <w:t xml:space="preserve">14.2  Inputs still needed from the audit team</w:t>
      </w:r>
    </w:p>
    <w:p>
      <w:pPr>
        <w:spacing w:after="140" w:line="276"/>
      </w:pPr>
      <w:r>
        <w:rPr>
          <w:rFonts w:ascii="Aptos" w:cs="Aptos" w:eastAsia="Aptos" w:hAnsi="Aptos"/>
          <w:color w:val="1A1A1A"/>
          <w:sz w:val="21"/>
          <w:szCs w:val="21"/>
        </w:rPr>
        <w:t xml:space="preserve">Each of these unblocks a specific, already-designed piece of work.</w:t>
      </w:r>
    </w:p>
    <w:tbl>
      <w:tblPr>
        <w:tblW w:type="dxa" w:w="9020"/>
        <w:tblBorders>
          <w:top w:val="single" w:color="C9D6DC" w:sz="4"/>
          <w:left w:val="single" w:color="C9D6DC" w:sz="4"/>
          <w:bottom w:val="single" w:color="C9D6DC" w:sz="4"/>
          <w:right w:val="single" w:color="C9D6DC" w:sz="4"/>
          <w:insideH w:val="single" w:color="C9D6DC" w:sz="2"/>
          <w:insideV w:val="single" w:color="C9D6DC" w:sz="2"/>
        </w:tblBorders>
      </w:tblPr>
      <w:tblGrid>
        <w:gridCol w:w="3000"/>
        <w:gridCol w:w="6020"/>
      </w:tblGrid>
      <w:tr>
        <w:trPr>
          <w:tblHeader/>
        </w:trPr>
        <w:tc>
          <w:tcPr>
            <w:tcW w:type="dxa" w:w="300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we need</w:t>
            </w:r>
          </w:p>
        </w:tc>
        <w:tc>
          <w:tcPr>
            <w:tcW w:type="dxa" w:w="6020"/>
            <w:shd w:fill="156082" w:color="auto" w:val="clear"/>
            <w:tcMar>
              <w:top w:type="dxa" w:w="70"/>
              <w:left w:type="dxa" w:w="110"/>
              <w:bottom w:type="dxa" w:w="70"/>
              <w:right w:type="dxa" w:w="110"/>
            </w:tcMar>
          </w:tcPr>
          <w:p>
            <w:pPr>
              <w:spacing w:after="0" w:line="250"/>
            </w:pPr>
            <w:r>
              <w:rPr>
                <w:rFonts w:ascii="Aptos" w:cs="Aptos" w:eastAsia="Aptos" w:hAnsi="Aptos"/>
                <w:b/>
                <w:bCs/>
                <w:color w:val="FFFFFF"/>
                <w:sz w:val="19"/>
                <w:szCs w:val="19"/>
              </w:rPr>
              <w:t xml:space="preserve">What it unblocks</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A real (redacted) information-request email</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So the completeness checker's cue table reflects how auditors actually phrase requests, rather than how we assume they do.</w:t>
            </w:r>
          </w:p>
        </w:tc>
      </w:tr>
      <w:tr>
        <w:tc>
          <w:tcPr>
            <w:tcW w:type="dxa" w:w="3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regulations articles behind the deductibility and invoice-validity checks</w:t>
            </w:r>
          </w:p>
        </w:tc>
        <w:tc>
          <w:tcPr>
            <w:tcW w:type="dxa" w:w="6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So the Regulations agent's current placeholder blocked-category list becomes a real, citable lookup, and cite-or-drop starts returning citations instead of dropping.</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official ZATCA tax-point source documents</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To verify the four candidate timing corrections in §13.1 before they are wired into the live engine. This is the highest-leverage item on the list.</w:t>
            </w:r>
          </w:p>
        </w:tc>
      </w:tr>
      <w:tr>
        <w:tc>
          <w:tcPr>
            <w:tcW w:type="dxa" w:w="3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 live customs and AP feed, or a redacted sample</w:t>
            </w:r>
          </w:p>
        </w:tc>
        <w:tc>
          <w:tcPr>
            <w:tcW w:type="dxa" w:w="6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To move imports and reverse charge from auditor-confirmed evidence to automated reconstruction against the RCM-01…10 rulebook family.</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A worked example of a per-error Box-14 decomposition</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So the SAR 5,000 self-correction cap check (COR-06) can be built against the format auditors actually receive it in.</w:t>
            </w:r>
          </w:p>
        </w:tc>
      </w:tr>
      <w:tr>
        <w:tc>
          <w:tcPr>
            <w:tcW w:type="dxa" w:w="300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Agreement on the case-prioritisation methodology</w:t>
            </w:r>
          </w:p>
        </w:tc>
        <w:tc>
          <w:tcPr>
            <w:tcW w:type="dxa" w:w="6020"/>
            <w:shd w:fill="F1F6F8" w:color="auto" w:val="clear"/>
            <w:tcMar>
              <w:top w:type="dxa" w:w="64"/>
              <w:left w:type="dxa" w:w="110"/>
              <w:bottom w:type="dxa" w:w="64"/>
              <w:right w:type="dxa" w:w="110"/>
            </w:tcMar>
          </w:tcPr>
          <w:p>
            <w:pPr>
              <w:spacing w:after="0" w:line="250"/>
            </w:pPr>
            <w:r>
              <w:rPr>
                <w:rFonts w:ascii="Aptos" w:cs="Aptos" w:eastAsia="Aptos" w:hAnsi="Aptos"/>
                <w:color w:val="1A1A1A"/>
                <w:sz w:val="19"/>
                <w:szCs w:val="19"/>
              </w:rPr>
              <w:t xml:space="preserve">The auditors listed risk severity, materiality, discrepancy value, case age, response status, outstanding issues, complexity and urgency. The composite is built; the weighting needs the audit team's sign-off.</w:t>
            </w:r>
          </w:p>
        </w:tc>
      </w:tr>
      <w:tr>
        <w:tc>
          <w:tcPr>
            <w:tcW w:type="dxa" w:w="3000"/>
            <w:tcMar>
              <w:top w:type="dxa" w:w="64"/>
              <w:left w:type="dxa" w:w="110"/>
              <w:bottom w:type="dxa" w:w="64"/>
              <w:right w:type="dxa" w:w="110"/>
            </w:tcMar>
          </w:tcPr>
          <w:p>
            <w:pPr>
              <w:spacing w:after="0" w:line="250"/>
            </w:pPr>
            <w:r>
              <w:rPr>
                <w:rFonts w:ascii="Aptos" w:cs="Aptos" w:eastAsia="Aptos" w:hAnsi="Aptos"/>
                <w:color w:val="1A1A1A"/>
                <w:sz w:val="19"/>
                <w:szCs w:val="19"/>
              </w:rPr>
              <w:t xml:space="preserve">The VAT and e-invoicing regulations corpus, and an SME for validation</w:t>
            </w:r>
          </w:p>
        </w:tc>
        <w:tc>
          <w:tcPr>
            <w:tcW w:type="dxa" w:w="6020"/>
            <w:tcMar>
              <w:top w:type="dxa" w:w="64"/>
              <w:left w:type="dxa" w:w="110"/>
              <w:bottom w:type="dxa" w:w="64"/>
              <w:right w:type="dxa" w:w="110"/>
            </w:tcMar>
          </w:tcPr>
          <w:p>
            <w:pPr>
              <w:spacing w:after="0" w:line="250"/>
            </w:pPr>
            <w:r>
              <w:rPr>
                <w:rFonts w:ascii="Aptos" w:cs="Aptos" w:eastAsia="Aptos" w:hAnsi="Aptos"/>
                <w:color w:val="1A1A1A"/>
                <w:sz w:val="19"/>
                <w:szCs w:val="19"/>
              </w:rPr>
              <w:t xml:space="preserve">To stand up the retrieval corpus in §11.5 and to make the governed knowledge library real rather than nominal.</w:t>
            </w:r>
          </w:p>
        </w:tc>
      </w:tr>
    </w:tbl>
    <w:p>
      <w:pPr>
        <w:spacing w:after="200"/>
      </w:pPr>
      <w:r>
        <w:rPr>
          <w:sz w:val="6"/>
          <w:szCs w:val="6"/>
        </w:rPr>
        <w:t xml:space="preserve"/>
      </w:r>
    </w:p>
    <w:tbl>
      <w:tblPr>
        <w:tblW w:type="dxa" w:w="9020"/>
        <w:tblBorders>
          <w:top w:val="single" w:color="EAF1F5" w:sz="2"/>
          <w:left w:val="single" w:color="156082" w:sz="24"/>
          <w:bottom w:val="single" w:color="EAF1F5" w:sz="2"/>
          <w:right w:val="single" w:color="EAF1F5" w:sz="2"/>
          <w:insideH w:val="none" w:color="FFFFFF" w:sz="0"/>
          <w:insideV w:val="none" w:color="FFFFFF" w:sz="0"/>
        </w:tblBorders>
      </w:tblPr>
      <w:tblGrid>
        <w:gridCol w:w="9020"/>
      </w:tblGrid>
      <w:tr>
        <w:tc>
          <w:tcPr>
            <w:tcW w:type="dxa" w:w="9020"/>
            <w:shd w:fill="EAF1F5" w:color="auto" w:val="clear"/>
            <w:tcMar>
              <w:top w:type="dxa" w:w="150"/>
              <w:left w:type="dxa" w:w="190"/>
              <w:bottom w:type="dxa" w:w="150"/>
              <w:right w:type="dxa" w:w="170"/>
            </w:tcMar>
          </w:tcPr>
          <w:p>
            <w:pPr>
              <w:spacing w:after="90" w:line="260"/>
            </w:pPr>
            <w:r>
              <w:rPr>
                <w:rFonts w:ascii="Aptos" w:cs="Aptos" w:eastAsia="Aptos" w:hAnsi="Aptos"/>
                <w:b/>
                <w:bCs/>
                <w:color w:val="156082"/>
                <w:sz w:val="21"/>
                <w:szCs w:val="21"/>
              </w:rPr>
              <w:t xml:space="preserve">In summary</w:t>
            </w:r>
          </w:p>
          <w:p>
            <w:pPr>
              <w:spacing w:after="100" w:line="265"/>
            </w:pPr>
            <w:r>
              <w:rPr>
                <w:rFonts w:ascii="Aptos" w:cs="Aptos" w:eastAsia="Aptos" w:hAnsi="Aptos"/>
                <w:color w:val="1A1A1A"/>
                <w:sz w:val="20"/>
                <w:szCs w:val="20"/>
              </w:rPr>
              <w:t xml:space="preserve">E-AUDIT supports the auditor across the </w:t>
            </w:r>
            <w:r>
              <w:rPr>
                <w:rFonts w:ascii="Aptos" w:cs="Aptos" w:eastAsia="Aptos" w:hAnsi="Aptos"/>
                <w:b/>
                <w:bCs/>
                <w:color w:val="1A1A1A"/>
                <w:sz w:val="20"/>
                <w:szCs w:val="20"/>
              </w:rPr>
              <w:t xml:space="preserve">end-to-end administrative work</w:t>
            </w:r>
            <w:r>
              <w:rPr>
                <w:rFonts w:ascii="Aptos" w:cs="Aptos" w:eastAsia="Aptos" w:hAnsi="Aptos"/>
                <w:color w:val="1A1A1A"/>
                <w:sz w:val="20"/>
                <w:szCs w:val="20"/>
              </w:rPr>
              <w:t xml:space="preserve"> of an audit, performs the </w:t>
            </w:r>
            <w:r>
              <w:rPr>
                <w:rFonts w:ascii="Aptos" w:cs="Aptos" w:eastAsia="Aptos" w:hAnsi="Aptos"/>
                <w:b/>
                <w:bCs/>
                <w:color w:val="1A1A1A"/>
                <w:sz w:val="20"/>
                <w:szCs w:val="20"/>
              </w:rPr>
              <w:t xml:space="preserve">reconciliation</w:t>
            </w:r>
            <w:r>
              <w:rPr>
                <w:rFonts w:ascii="Aptos" w:cs="Aptos" w:eastAsia="Aptos" w:hAnsi="Aptos"/>
                <w:color w:val="1A1A1A"/>
                <w:sz w:val="20"/>
                <w:szCs w:val="20"/>
              </w:rPr>
              <w:t xml:space="preserve"> on the principle that a difference is not a finding until nothing legitimate explains it, and recommends the </w:t>
            </w:r>
            <w:r>
              <w:rPr>
                <w:rFonts w:ascii="Aptos" w:cs="Aptos" w:eastAsia="Aptos" w:hAnsi="Aptos"/>
                <w:b/>
                <w:bCs/>
                <w:color w:val="1A1A1A"/>
                <w:sz w:val="20"/>
                <w:szCs w:val="20"/>
              </w:rPr>
              <w:t xml:space="preserve">next best action</w:t>
            </w:r>
            <w:r>
              <w:rPr>
                <w:rFonts w:ascii="Aptos" w:cs="Aptos" w:eastAsia="Aptos" w:hAnsi="Aptos"/>
                <w:color w:val="1A1A1A"/>
                <w:sz w:val="20"/>
                <w:szCs w:val="20"/>
              </w:rPr>
              <w:t xml:space="preserve"> grounded in the engine's computed state, the adjudicated findings of four agents, and retrieval over a governed rule corpus.</w:t>
            </w:r>
          </w:p>
          <w:p>
            <w:pPr>
              <w:spacing w:after="100" w:line="265"/>
            </w:pPr>
            <w:r>
              <w:rPr>
                <w:rFonts w:ascii="Aptos" w:cs="Aptos" w:eastAsia="Aptos" w:hAnsi="Aptos"/>
                <w:color w:val="1A1A1A"/>
                <w:sz w:val="20"/>
                <w:szCs w:val="20"/>
              </w:rPr>
              <w:t xml:space="preserve">Every number is computed deterministically. Every drafted sentence is verified before it is shown. Every gate is a human decision.</w:t>
            </w:r>
          </w:p>
          <w:p>
            <w:pPr>
              <w:spacing w:after="0" w:line="265"/>
            </w:pPr>
            <w:r>
              <w:rPr>
                <w:rFonts w:ascii="Aptos" w:cs="Aptos" w:eastAsia="Aptos" w:hAnsi="Aptos"/>
                <w:b/>
                <w:bCs/>
                <w:color w:val="1A1A1A"/>
                <w:sz w:val="20"/>
                <w:szCs w:val="20"/>
              </w:rPr>
              <w:t xml:space="preserve">The AI supports. The auditor decides.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ptos" w:cs="Aptos" w:eastAsia="Aptos" w:hAnsi="Aptos"/>
        <w:color w:val="5A6672"/>
        <w:sz w:val="16"/>
        <w:szCs w:val="16"/>
      </w:rPr>
      <w:t xml:space="preserve">ZATCA  ·  Proof of Concept  ·  Synthetic data only          </w:t>
    </w:r>
    <w:r>
      <w:rPr>
        <w:rFonts w:ascii="Aptos" w:cs="Aptos" w:eastAsia="Aptos" w:hAnsi="Aptos"/>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C" w:sz="4" w:space="6"/>
      </w:pBdr>
      <w:spacing w:after="0"/>
      <w:jc w:val="right"/>
    </w:pPr>
    <w:r>
      <w:rPr>
        <w:rFonts w:ascii="Aptos" w:cs="Aptos" w:eastAsia="Aptos" w:hAnsi="Aptos"/>
        <w:color w:val="5A6672"/>
        <w:sz w:val="16"/>
        <w:szCs w:val="16"/>
      </w:rPr>
      <w:t xml:space="preserve">AI E-AUDIT  ·  Solution Overview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89"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156082"/>
      <w:sz w:val="30"/>
      <w:szCs w:val="30"/>
    </w:rPr>
  </w:style>
  <w:style w:type="paragraph" w:styleId="Heading2">
    <w:name w:val="Heading 2"/>
    <w:basedOn w:val="Normal"/>
    <w:next w:val="Normal"/>
    <w:qFormat/>
    <w:rPr>
      <w:rFonts w:ascii="Aptos" w:cs="Aptos" w:eastAsia="Aptos" w:hAnsi="Aptos"/>
      <w:b/>
      <w:bCs/>
      <w:color w:val="0E3F52"/>
      <w:sz w:val="25"/>
      <w:szCs w:val="25"/>
    </w:rPr>
  </w:style>
  <w:style w:type="paragraph" w:styleId="Heading3">
    <w:name w:val="Heading 3"/>
    <w:basedOn w:val="Normal"/>
    <w:next w:val="Normal"/>
    <w:qFormat/>
    <w:rPr>
      <w:rFonts w:ascii="Aptos" w:cs="Aptos" w:eastAsia="Aptos" w:hAnsi="Aptos"/>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5608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E-AUDIT — Solution Overview</dc:title>
  <dc:creator>Deloitte — E-AUDIT</dc:creator>
  <dc:description>AI-Assisted VAT Audit Agent for ZATCA — Solution Overview v2.0</dc:description>
  <cp:lastModifiedBy>Un-named</cp:lastModifiedBy>
  <cp:revision>1</cp:revision>
  <dcterms:created xsi:type="dcterms:W3CDTF">2026-08-21T15:38:51.351Z</dcterms:created>
  <dcterms:modified xsi:type="dcterms:W3CDTF">2026-08-21T15:38:51.351Z</dcterms:modified>
</cp:coreProperties>
</file>

<file path=docProps/custom.xml><?xml version="1.0" encoding="utf-8"?>
<Properties xmlns="http://schemas.openxmlformats.org/officeDocument/2006/custom-properties" xmlns:vt="http://schemas.openxmlformats.org/officeDocument/2006/docPropsVTypes"/>
</file>