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100"/>
      </w:pPr>
      <w:r>
        <w:rPr>
          <w:rFonts w:ascii="Arial" w:cs="Arial" w:eastAsia="Arial" w:hAnsi="Arial"/>
          <w:b/>
          <w:bCs/>
          <w:color w:val="0E6B57"/>
          <w:spacing w:val="60"/>
          <w:sz w:val="22"/>
          <w:szCs w:val="22"/>
        </w:rPr>
        <w:t xml:space="preserve">ZATCA</w:t>
      </w:r>
    </w:p>
    <w:p>
      <w:pPr>
        <w:spacing w:after="160"/>
      </w:pPr>
      <w:r>
        <w:rPr>
          <w:rFonts w:ascii="Arial" w:cs="Arial" w:eastAsia="Arial" w:hAnsi="Arial"/>
          <w:b/>
          <w:bCs/>
          <w:color w:val="14201C"/>
          <w:sz w:val="52"/>
          <w:szCs w:val="52"/>
        </w:rPr>
        <w:t xml:space="preserve">E-AUDIT — VAT Audit Agent</w:t>
      </w:r>
    </w:p>
    <w:p>
      <w:pPr>
        <w:spacing w:after="500"/>
      </w:pPr>
      <w:r>
        <w:rPr>
          <w:rFonts w:ascii="Arial" w:cs="Arial" w:eastAsia="Arial" w:hAnsi="Arial"/>
          <w:color w:val="5B6A63"/>
          <w:sz w:val="26"/>
          <w:szCs w:val="26"/>
        </w:rPr>
        <w:t xml:space="preserve">Functional and technical solution, the agent layer, and the challenges ahead</w:t>
      </w:r>
    </w:p>
    <w:p>
      <w:pPr>
        <w:pBdr>
          <w:bottom w:val="single" w:color="DCE6E0" w:sz="6"/>
        </w:pBdr>
        <w:spacing w:after="200"/>
      </w:pPr>
    </w:p>
    <w:p>
      <w:pPr>
        <w:spacing w:after="120" w:line="276"/>
      </w:pPr>
      <w:r>
        <w:rPr>
          <w:rFonts w:ascii="Arial" w:cs="Arial" w:eastAsia="Arial" w:hAnsi="Arial"/>
          <w:b/>
          <w:bCs/>
          <w:color w:val="14201C"/>
          <w:sz w:val="20"/>
          <w:szCs w:val="20"/>
        </w:rPr>
        <w:t xml:space="preserve">Status: </w:t>
      </w:r>
      <w:r>
        <w:rPr>
          <w:rFonts w:ascii="Arial" w:cs="Arial" w:eastAsia="Arial" w:hAnsi="Arial"/>
          <w:color w:val="14201C"/>
          <w:sz w:val="20"/>
          <w:szCs w:val="20"/>
        </w:rPr>
        <w:t xml:space="preserve">Proof of concept. Synthetic data only. Every figure in this document is taken from the running system, not estimated.</w:t>
      </w:r>
    </w:p>
    <w:p>
      <w:pPr>
        <w:spacing w:after="120" w:line="276"/>
      </w:pPr>
      <w:r>
        <w:rPr>
          <w:rFonts w:ascii="Arial" w:cs="Arial" w:eastAsia="Arial" w:hAnsi="Arial"/>
          <w:b/>
          <w:bCs/>
          <w:color w:val="14201C"/>
          <w:sz w:val="20"/>
          <w:szCs w:val="20"/>
        </w:rPr>
        <w:t xml:space="preserve">Scope: </w:t>
      </w:r>
      <w:r>
        <w:rPr>
          <w:rFonts w:ascii="Arial" w:cs="Arial" w:eastAsia="Arial" w:hAnsi="Arial"/>
          <w:color w:val="14201C"/>
          <w:sz w:val="20"/>
          <w:szCs w:val="20"/>
        </w:rPr>
        <w:t xml:space="preserve">Standard-rated sales and purchases, one tax period, one return version. Section 5 states what is deliberately excluded and why.</w:t>
      </w:r>
    </w:p>
    <w:p>
      <w:pPr>
        <w:spacing w:after="120" w:line="276"/>
      </w:pPr>
      <w:r>
        <w:rPr>
          <w:rFonts w:ascii="Arial" w:cs="Arial" w:eastAsia="Arial" w:hAnsi="Arial"/>
          <w:b/>
          <w:bCs/>
          <w:color w:val="14201C"/>
          <w:sz w:val="20"/>
          <w:szCs w:val="20"/>
        </w:rPr>
        <w:t xml:space="preserve">Core invariant: </w:t>
      </w:r>
      <w:r>
        <w:rPr>
          <w:rFonts w:ascii="Arial" w:cs="Arial" w:eastAsia="Arial" w:hAnsi="Arial"/>
          <w:color w:val="14201C"/>
          <w:sz w:val="20"/>
          <w:szCs w:val="20"/>
        </w:rPr>
        <w:t xml:space="preserve">The deterministic engine computes every number. Language models write words and never introduce a figure. A human auditor approves everything that leaves the building.</w:t>
      </w:r>
    </w:p>
    <w:p>
      <w:r>
        <w:br w:type="page"/>
      </w:r>
    </w:p>
    <w:p>
      <w:pPr>
        <w:pStyle w:val="Heading1"/>
        <w:spacing w:after="180" w:before="360"/>
      </w:pPr>
      <w:r>
        <w:rPr>
          <w:rFonts w:ascii="Arial" w:cs="Arial" w:eastAsia="Arial" w:hAnsi="Arial"/>
          <w:b/>
          <w:bCs/>
          <w:color w:val="0E6B57"/>
          <w:sz w:val="32"/>
          <w:szCs w:val="32"/>
        </w:rPr>
        <w:t xml:space="preserve">Contents</w:t>
      </w:r>
    </w:p>
    <w:p>
      <w:pPr>
        <w:spacing w:after="120" w:line="276"/>
      </w:pPr>
      <w:r>
        <w:rPr>
          <w:rFonts w:ascii="Arial" w:cs="Arial" w:eastAsia="Arial" w:hAnsi="Arial"/>
          <w:color w:val="14201C"/>
          <w:sz w:val="20"/>
          <w:szCs w:val="20"/>
        </w:rPr>
        <w:t xml:space="preserve">1.  High-level overview — what the system does and the idea it rests on</w:t>
      </w:r>
    </w:p>
    <w:p>
      <w:pPr>
        <w:spacing w:after="120" w:line="276"/>
      </w:pPr>
      <w:r>
        <w:rPr>
          <w:rFonts w:ascii="Arial" w:cs="Arial" w:eastAsia="Arial" w:hAnsi="Arial"/>
          <w:color w:val="14201C"/>
          <w:sz w:val="20"/>
          <w:szCs w:val="20"/>
        </w:rPr>
        <w:t xml:space="preserve">2.  Functional solution — the auditor's journey, screen by screen</w:t>
      </w:r>
    </w:p>
    <w:p>
      <w:pPr>
        <w:spacing w:after="120" w:line="276"/>
      </w:pPr>
      <w:r>
        <w:rPr>
          <w:rFonts w:ascii="Arial" w:cs="Arial" w:eastAsia="Arial" w:hAnsi="Arial"/>
          <w:color w:val="14201C"/>
          <w:sz w:val="20"/>
          <w:szCs w:val="20"/>
        </w:rPr>
        <w:t xml:space="preserve">3.  Technical solution — the pipeline, the data model, and the scale path</w:t>
      </w:r>
    </w:p>
    <w:p>
      <w:pPr>
        <w:spacing w:after="120" w:line="276"/>
      </w:pPr>
      <w:r>
        <w:rPr>
          <w:rFonts w:ascii="Arial" w:cs="Arial" w:eastAsia="Arial" w:hAnsi="Arial"/>
          <w:color w:val="14201C"/>
          <w:sz w:val="20"/>
          <w:szCs w:val="20"/>
        </w:rPr>
        <w:t xml:space="preserve">4.  The agent layer — how investigation works without letting a model near a number</w:t>
      </w:r>
    </w:p>
    <w:p>
      <w:pPr>
        <w:spacing w:after="120" w:line="276"/>
      </w:pPr>
      <w:r>
        <w:rPr>
          <w:rFonts w:ascii="Arial" w:cs="Arial" w:eastAsia="Arial" w:hAnsi="Arial"/>
          <w:color w:val="14201C"/>
          <w:sz w:val="20"/>
          <w:szCs w:val="20"/>
        </w:rPr>
        <w:t xml:space="preserve">5.  Challenges — what is unsolved, out of scope, or needs a decision</w:t>
      </w:r>
    </w:p>
    <w:p>
      <w:r>
        <w:br w:type="page"/>
      </w:r>
    </w:p>
    <w:p>
      <w:pPr>
        <w:pStyle w:val="Heading1"/>
        <w:spacing w:after="180" w:before="360"/>
      </w:pPr>
      <w:r>
        <w:rPr>
          <w:rFonts w:ascii="Arial" w:cs="Arial" w:eastAsia="Arial" w:hAnsi="Arial"/>
          <w:b/>
          <w:bCs/>
          <w:color w:val="0E6B57"/>
          <w:sz w:val="32"/>
          <w:szCs w:val="32"/>
        </w:rPr>
        <w:t xml:space="preserve">1. High-level overview</w:t>
      </w:r>
    </w:p>
    <w:p>
      <w:pPr>
        <w:pStyle w:val="Heading2"/>
        <w:spacing w:after="140" w:before="280"/>
      </w:pPr>
      <w:r>
        <w:rPr>
          <w:rFonts w:ascii="Arial" w:cs="Arial" w:eastAsia="Arial" w:hAnsi="Arial"/>
          <w:b/>
          <w:bCs/>
          <w:color w:val="0A4C40"/>
          <w:sz w:val="24"/>
          <w:szCs w:val="24"/>
        </w:rPr>
        <w:t xml:space="preserve">1.1 What the system is</w:t>
      </w:r>
    </w:p>
    <w:p>
      <w:pPr>
        <w:spacing w:after="120" w:line="276"/>
      </w:pPr>
      <w:r>
        <w:rPr>
          <w:rFonts w:ascii="Arial" w:cs="Arial" w:eastAsia="Arial" w:hAnsi="Arial"/>
          <w:color w:val="14201C"/>
          <w:sz w:val="20"/>
          <w:szCs w:val="20"/>
        </w:rPr>
        <w:t xml:space="preserve">E-AUDIT is an AI-assisted VAT audit workbench. It begins after an upstream risk engine has flagged a taxpayer and a period — it does not do the flagging. From that point it reconstructs what the VAT return should have said from the taxpayer's cleared FATOORA e-invoices, compares that against what was actually declared, investigates any difference that survives, and drafts an evidence-backed report for a human auditor to approve.</w:t>
      </w:r>
    </w:p>
    <w:p>
      <w:pPr>
        <w:spacing w:after="120" w:line="276"/>
      </w:pPr>
      <w:r>
        <w:rPr>
          <w:rFonts w:ascii="Arial" w:cs="Arial" w:eastAsia="Arial" w:hAnsi="Arial"/>
          <w:color w:val="14201C"/>
          <w:sz w:val="20"/>
          <w:szCs w:val="20"/>
        </w:rPr>
        <w:t xml:space="preserve">The purpose is not to find more differences. It is to explain them — so that an auditor spends time on the cases that are genuinely wrong, and taxpayers are not contacted about differences that have an innocent explanation sitting in the data already.</w:t>
      </w:r>
    </w:p>
    <w:p>
      <w:pPr>
        <w:pStyle w:val="Heading2"/>
        <w:spacing w:after="140" w:before="280"/>
      </w:pPr>
      <w:r>
        <w:rPr>
          <w:rFonts w:ascii="Arial" w:cs="Arial" w:eastAsia="Arial" w:hAnsi="Arial"/>
          <w:b/>
          <w:bCs/>
          <w:color w:val="0A4C40"/>
          <w:sz w:val="24"/>
          <w:szCs w:val="24"/>
        </w:rPr>
        <w:t xml:space="preserve">1.2 The idea the system rests on</w:t>
      </w:r>
    </w:p>
    <w:p>
      <w:pPr>
        <w:spacing w:after="120" w:line="276"/>
      </w:pPr>
      <w:r>
        <w:rPr>
          <w:rFonts w:ascii="Arial" w:cs="Arial" w:eastAsia="Arial" w:hAnsi="Arial"/>
          <w:color w:val="14201C"/>
          <w:sz w:val="20"/>
          <w:szCs w:val="20"/>
        </w:rPr>
        <w:t xml:space="preserve">A VAT return is not the e-invoice population restated. The two are different reporting populations governed by different concepts, and any design resting on a simple equality is wrong by construction:</w:t>
      </w:r>
    </w:p>
    <w:p>
      <w:pPr>
        <w:pBdr>
          <w:left w:val="single" w:color="0E6B57" w:sz="18" w:space="12"/>
        </w:pBdr>
        <w:spacing w:after="200" w:before="140" w:line="276"/>
        <w:ind w:left="240"/>
      </w:pPr>
      <w:r>
        <w:rPr>
          <w:rFonts w:ascii="Arial" w:cs="Arial" w:eastAsia="Arial" w:hAnsi="Arial"/>
          <w:i/>
          <w:iCs/>
          <w:color w:val="14201C"/>
          <w:sz w:val="20"/>
          <w:szCs w:val="20"/>
        </w:rPr>
        <w:t xml:space="preserve">VAT return = tax-point-adjusted e-invoice population + populations that carry no domestic e-invoice (imports, reverse charge, exempt) + adjustments + prior-period corrections + timing movements.</w:t>
      </w:r>
    </w:p>
    <w:p>
      <w:pPr>
        <w:spacing w:after="120" w:line="276"/>
      </w:pPr>
      <w:r>
        <w:rPr>
          <w:rFonts w:ascii="Arial" w:cs="Arial" w:eastAsia="Arial" w:hAnsi="Arial"/>
          <w:color w:val="14201C"/>
          <w:sz w:val="20"/>
          <w:szCs w:val="20"/>
        </w:rPr>
        <w:t xml:space="preserve">Two consequences follow, and both shape the whole design.</w:t>
      </w:r>
    </w:p>
    <w:p>
      <w:pPr>
        <w:spacing w:after="120" w:line="276"/>
      </w:pPr>
      <w:r>
        <w:rPr>
          <w:rFonts w:ascii="Arial" w:cs="Arial" w:eastAsia="Arial" w:hAnsi="Arial"/>
          <w:color w:val="14201C"/>
          <w:sz w:val="20"/>
          <w:szCs w:val="20"/>
        </w:rPr>
        <w:t xml:space="preserve">First, the rules must be applied while the invoices are being summed, not after. Deciding whether a line counts, which period it belongs to and which box it lands in is part of arriving at the expected figure — not a correction applied to a finished total. Section 3.1 sets out the four ways the alternative breaks.</w:t>
      </w:r>
    </w:p>
    <w:p>
      <w:pPr>
        <w:spacing w:after="120" w:line="276"/>
      </w:pPr>
      <w:r>
        <w:rPr>
          <w:rFonts w:ascii="Arial" w:cs="Arial" w:eastAsia="Arial" w:hAnsi="Arial"/>
          <w:color w:val="14201C"/>
          <w:sz w:val="20"/>
          <w:szCs w:val="20"/>
        </w:rPr>
        <w:t xml:space="preserve">Second, a difference is not a finding. It becomes one only when it is material, unexplained after every rule has had its say, and not accounted for by any pattern the investigation layer can test.</w:t>
      </w:r>
    </w:p>
    <w:p>
      <w:pPr>
        <w:pStyle w:val="Heading2"/>
        <w:spacing w:after="140" w:before="280"/>
      </w:pPr>
      <w:r>
        <w:rPr>
          <w:rFonts w:ascii="Arial" w:cs="Arial" w:eastAsia="Arial" w:hAnsi="Arial"/>
          <w:b/>
          <w:bCs/>
          <w:color w:val="0A4C40"/>
          <w:sz w:val="24"/>
          <w:szCs w:val="24"/>
        </w:rPr>
        <w:t xml:space="preserve">1.3 The four stages</w:t>
      </w:r>
    </w:p>
    <w:tbl>
      <w:tblPr>
        <w:tblW w:type="dxa" w:w="10080"/>
        <w:tblBorders>
          <w:top w:val="single" w:color="DCE6E0" w:sz="2"/>
          <w:left w:val="single" w:color="DCE6E0" w:sz="2"/>
          <w:bottom w:val="single" w:color="DCE6E0" w:sz="2"/>
          <w:right w:val="single" w:color="DCE6E0" w:sz="2"/>
          <w:insideH w:val="single" w:color="DCE6E0" w:sz="2"/>
          <w:insideV w:val="single" w:color="DCE6E0" w:sz="2"/>
        </w:tblBorders>
      </w:tblPr>
      <w:tblGrid>
        <w:gridCol w:w="1700"/>
        <w:gridCol w:w="6180"/>
        <w:gridCol w:w="2200"/>
      </w:tblGrid>
      <w:tr>
        <w:trPr>
          <w:tblHeader/>
        </w:trPr>
        <w:tc>
          <w:tcPr>
            <w:tcW w:type="dxa" w:w="1700"/>
            <w:shd w:fill="0E6B57" w:color="auto" w:val="clear"/>
            <w:tcMar>
              <w:top w:type="dxa" w:w="80"/>
              <w:left w:type="dxa" w:w="120"/>
              <w:bottom w:type="dxa" w:w="80"/>
              <w:right w:type="dxa" w:w="120"/>
            </w:tcMar>
          </w:tcPr>
          <w:p>
            <w:pPr>
              <w:spacing w:after="0" w:line="264"/>
            </w:pPr>
            <w:r>
              <w:rPr>
                <w:rFonts w:ascii="Arial" w:cs="Arial" w:eastAsia="Arial" w:hAnsi="Arial"/>
                <w:b/>
                <w:bCs/>
                <w:color w:val="FFFFFF"/>
                <w:sz w:val="18"/>
                <w:szCs w:val="18"/>
              </w:rPr>
              <w:t xml:space="preserve">Stage</w:t>
            </w:r>
          </w:p>
        </w:tc>
        <w:tc>
          <w:tcPr>
            <w:tcW w:type="dxa" w:w="6180"/>
            <w:shd w:fill="0E6B57" w:color="auto" w:val="clear"/>
            <w:tcMar>
              <w:top w:type="dxa" w:w="80"/>
              <w:left w:type="dxa" w:w="120"/>
              <w:bottom w:type="dxa" w:w="80"/>
              <w:right w:type="dxa" w:w="120"/>
            </w:tcMar>
          </w:tcPr>
          <w:p>
            <w:pPr>
              <w:spacing w:after="0" w:line="264"/>
            </w:pPr>
            <w:r>
              <w:rPr>
                <w:rFonts w:ascii="Arial" w:cs="Arial" w:eastAsia="Arial" w:hAnsi="Arial"/>
                <w:b/>
                <w:bCs/>
                <w:color w:val="FFFFFF"/>
                <w:sz w:val="18"/>
                <w:szCs w:val="18"/>
              </w:rPr>
              <w:t xml:space="preserve">What happens</w:t>
            </w:r>
          </w:p>
        </w:tc>
        <w:tc>
          <w:tcPr>
            <w:tcW w:type="dxa" w:w="2200"/>
            <w:shd w:fill="0E6B57" w:color="auto" w:val="clear"/>
            <w:tcMar>
              <w:top w:type="dxa" w:w="80"/>
              <w:left w:type="dxa" w:w="120"/>
              <w:bottom w:type="dxa" w:w="80"/>
              <w:right w:type="dxa" w:w="120"/>
            </w:tcMar>
          </w:tcPr>
          <w:p>
            <w:pPr>
              <w:spacing w:after="0" w:line="264"/>
            </w:pPr>
            <w:r>
              <w:rPr>
                <w:rFonts w:ascii="Arial" w:cs="Arial" w:eastAsia="Arial" w:hAnsi="Arial"/>
                <w:b/>
                <w:bCs/>
                <w:color w:val="FFFFFF"/>
                <w:sz w:val="18"/>
                <w:szCs w:val="18"/>
              </w:rPr>
              <w:t xml:space="preserve">Who does it</w:t>
            </w:r>
          </w:p>
        </w:tc>
      </w:tr>
      <w:tr>
        <w:tc>
          <w:tcPr>
            <w:tcW w:type="dxa" w:w="1700"/>
            <w:tcMar>
              <w:top w:type="dxa" w:w="80"/>
              <w:left w:type="dxa" w:w="120"/>
              <w:bottom w:type="dxa" w:w="80"/>
              <w:right w:type="dxa" w:w="120"/>
            </w:tcMar>
          </w:tcPr>
          <w:p>
            <w:pPr>
              <w:spacing w:after="0" w:line="264"/>
            </w:pPr>
            <w:r>
              <w:rPr>
                <w:rFonts w:ascii="Arial" w:cs="Arial" w:eastAsia="Arial" w:hAnsi="Arial"/>
                <w:b/>
                <w:bCs/>
                <w:color w:val="14201C"/>
                <w:sz w:val="18"/>
                <w:szCs w:val="18"/>
              </w:rPr>
              <w:t xml:space="preserve">Reconstruct</w:t>
            </w:r>
          </w:p>
        </w:tc>
        <w:tc>
          <w:tcPr>
            <w:tcW w:type="dxa" w:w="6180"/>
            <w:tcMar>
              <w:top w:type="dxa" w:w="80"/>
              <w:left w:type="dxa" w:w="120"/>
              <w:bottom w:type="dxa" w:w="80"/>
              <w:right w:type="dxa" w:w="120"/>
            </w:tcMar>
          </w:tcPr>
          <w:p>
            <w:pPr>
              <w:spacing w:after="0" w:line="264"/>
            </w:pPr>
            <w:r>
              <w:rPr>
                <w:rFonts w:ascii="Arial" w:cs="Arial" w:eastAsia="Arial" w:hAnsi="Arial"/>
                <w:color w:val="14201C"/>
                <w:sz w:val="18"/>
                <w:szCs w:val="18"/>
              </w:rPr>
              <w:t xml:space="preserve">Every tax-subtotal line is walked through the qualification stages — population, status, tax point, category, adjustment — and only the survivors are summed into an expected return.</w:t>
            </w:r>
          </w:p>
        </w:tc>
        <w:tc>
          <w:tcPr>
            <w:tcW w:type="dxa" w:w="2200"/>
            <w:tcMar>
              <w:top w:type="dxa" w:w="80"/>
              <w:left w:type="dxa" w:w="120"/>
              <w:bottom w:type="dxa" w:w="80"/>
              <w:right w:type="dxa" w:w="120"/>
            </w:tcMar>
          </w:tcPr>
          <w:p>
            <w:pPr>
              <w:spacing w:after="0" w:line="264"/>
            </w:pPr>
            <w:r>
              <w:rPr>
                <w:rFonts w:ascii="Arial" w:cs="Arial" w:eastAsia="Arial" w:hAnsi="Arial"/>
                <w:color w:val="14201C"/>
                <w:sz w:val="18"/>
                <w:szCs w:val="18"/>
              </w:rPr>
              <w:t xml:space="preserve">Deterministic engine</w:t>
            </w:r>
          </w:p>
        </w:tc>
      </w:tr>
      <w:tr>
        <w:tc>
          <w:tcPr>
            <w:tcW w:type="dxa" w:w="1700"/>
            <w:tcMar>
              <w:top w:type="dxa" w:w="80"/>
              <w:left w:type="dxa" w:w="120"/>
              <w:bottom w:type="dxa" w:w="80"/>
              <w:right w:type="dxa" w:w="120"/>
            </w:tcMar>
          </w:tcPr>
          <w:p>
            <w:pPr>
              <w:spacing w:after="0" w:line="264"/>
            </w:pPr>
            <w:r>
              <w:rPr>
                <w:rFonts w:ascii="Arial" w:cs="Arial" w:eastAsia="Arial" w:hAnsi="Arial"/>
                <w:b/>
                <w:bCs/>
                <w:color w:val="14201C"/>
                <w:sz w:val="18"/>
                <w:szCs w:val="18"/>
              </w:rPr>
              <w:t xml:space="preserve">Reconcile</w:t>
            </w:r>
          </w:p>
        </w:tc>
        <w:tc>
          <w:tcPr>
            <w:tcW w:type="dxa" w:w="6180"/>
            <w:tcMar>
              <w:top w:type="dxa" w:w="80"/>
              <w:left w:type="dxa" w:w="120"/>
              <w:bottom w:type="dxa" w:w="80"/>
              <w:right w:type="dxa" w:w="120"/>
            </w:tcMar>
          </w:tcPr>
          <w:p>
            <w:pPr>
              <w:spacing w:after="0" w:line="264"/>
            </w:pPr>
            <w:r>
              <w:rPr>
                <w:rFonts w:ascii="Arial" w:cs="Arial" w:eastAsia="Arial" w:hAnsi="Arial"/>
                <w:color w:val="14201C"/>
                <w:sz w:val="18"/>
                <w:szCs w:val="18"/>
              </w:rPr>
              <w:t xml:space="preserve">The expected return is compared to the declared boxes. What remains is the residual, banded against materiality.</w:t>
            </w:r>
          </w:p>
        </w:tc>
        <w:tc>
          <w:tcPr>
            <w:tcW w:type="dxa" w:w="2200"/>
            <w:tcMar>
              <w:top w:type="dxa" w:w="80"/>
              <w:left w:type="dxa" w:w="120"/>
              <w:bottom w:type="dxa" w:w="80"/>
              <w:right w:type="dxa" w:w="120"/>
            </w:tcMar>
          </w:tcPr>
          <w:p>
            <w:pPr>
              <w:spacing w:after="0" w:line="264"/>
            </w:pPr>
            <w:r>
              <w:rPr>
                <w:rFonts w:ascii="Arial" w:cs="Arial" w:eastAsia="Arial" w:hAnsi="Arial"/>
                <w:color w:val="14201C"/>
                <w:sz w:val="18"/>
                <w:szCs w:val="18"/>
              </w:rPr>
              <w:t xml:space="preserve">Deterministic engine</w:t>
            </w:r>
          </w:p>
        </w:tc>
      </w:tr>
      <w:tr>
        <w:tc>
          <w:tcPr>
            <w:tcW w:type="dxa" w:w="1700"/>
            <w:tcMar>
              <w:top w:type="dxa" w:w="80"/>
              <w:left w:type="dxa" w:w="120"/>
              <w:bottom w:type="dxa" w:w="80"/>
              <w:right w:type="dxa" w:w="120"/>
            </w:tcMar>
          </w:tcPr>
          <w:p>
            <w:pPr>
              <w:spacing w:after="0" w:line="264"/>
            </w:pPr>
            <w:r>
              <w:rPr>
                <w:rFonts w:ascii="Arial" w:cs="Arial" w:eastAsia="Arial" w:hAnsi="Arial"/>
                <w:b/>
                <w:bCs/>
                <w:color w:val="14201C"/>
                <w:sz w:val="18"/>
                <w:szCs w:val="18"/>
              </w:rPr>
              <w:t xml:space="preserve">Investigate</w:t>
            </w:r>
          </w:p>
        </w:tc>
        <w:tc>
          <w:tcPr>
            <w:tcW w:type="dxa" w:w="6180"/>
            <w:tcMar>
              <w:top w:type="dxa" w:w="80"/>
              <w:left w:type="dxa" w:w="120"/>
              <w:bottom w:type="dxa" w:w="80"/>
              <w:right w:type="dxa" w:w="120"/>
            </w:tcMar>
          </w:tcPr>
          <w:p>
            <w:pPr>
              <w:spacing w:after="0" w:line="264"/>
            </w:pPr>
            <w:r>
              <w:rPr>
                <w:rFonts w:ascii="Arial" w:cs="Arial" w:eastAsia="Arial" w:hAnsi="Arial"/>
                <w:color w:val="14201C"/>
                <w:sz w:val="18"/>
                <w:szCs w:val="18"/>
              </w:rPr>
              <w:t xml:space="preserve">Evidence agents propose typed hypotheses for the residual; a deterministic adjudicator confirms or refutes each one and states the amount.</w:t>
            </w:r>
          </w:p>
        </w:tc>
        <w:tc>
          <w:tcPr>
            <w:tcW w:type="dxa" w:w="2200"/>
            <w:tcMar>
              <w:top w:type="dxa" w:w="80"/>
              <w:left w:type="dxa" w:w="120"/>
              <w:bottom w:type="dxa" w:w="80"/>
              <w:right w:type="dxa" w:w="120"/>
            </w:tcMar>
          </w:tcPr>
          <w:p>
            <w:pPr>
              <w:spacing w:after="0" w:line="264"/>
            </w:pPr>
            <w:r>
              <w:rPr>
                <w:rFonts w:ascii="Arial" w:cs="Arial" w:eastAsia="Arial" w:hAnsi="Arial"/>
                <w:color w:val="14201C"/>
                <w:sz w:val="18"/>
                <w:szCs w:val="18"/>
              </w:rPr>
              <w:t xml:space="preserve">Agents + engine</w:t>
            </w:r>
          </w:p>
        </w:tc>
      </w:tr>
      <w:tr>
        <w:tc>
          <w:tcPr>
            <w:tcW w:type="dxa" w:w="1700"/>
            <w:tcMar>
              <w:top w:type="dxa" w:w="80"/>
              <w:left w:type="dxa" w:w="120"/>
              <w:bottom w:type="dxa" w:w="80"/>
              <w:right w:type="dxa" w:w="120"/>
            </w:tcMar>
          </w:tcPr>
          <w:p>
            <w:pPr>
              <w:spacing w:after="0" w:line="264"/>
            </w:pPr>
            <w:r>
              <w:rPr>
                <w:rFonts w:ascii="Arial" w:cs="Arial" w:eastAsia="Arial" w:hAnsi="Arial"/>
                <w:b/>
                <w:bCs/>
                <w:color w:val="14201C"/>
                <w:sz w:val="18"/>
                <w:szCs w:val="18"/>
              </w:rPr>
              <w:t xml:space="preserve">Recommend</w:t>
            </w:r>
          </w:p>
        </w:tc>
        <w:tc>
          <w:tcPr>
            <w:tcW w:type="dxa" w:w="6180"/>
            <w:tcMar>
              <w:top w:type="dxa" w:w="80"/>
              <w:left w:type="dxa" w:w="120"/>
              <w:bottom w:type="dxa" w:w="80"/>
              <w:right w:type="dxa" w:w="120"/>
            </w:tcMar>
          </w:tcPr>
          <w:p>
            <w:pPr>
              <w:spacing w:after="0" w:line="264"/>
            </w:pPr>
            <w:r>
              <w:rPr>
                <w:rFonts w:ascii="Arial" w:cs="Arial" w:eastAsia="Arial" w:hAnsi="Arial"/>
                <w:color w:val="14201C"/>
                <w:sz w:val="18"/>
                <w:szCs w:val="18"/>
              </w:rPr>
              <w:t xml:space="preserve">The adjudicated cause becomes the minimum next action, and a draft report for the auditor to approve.</w:t>
            </w:r>
          </w:p>
        </w:tc>
        <w:tc>
          <w:tcPr>
            <w:tcW w:type="dxa" w:w="2200"/>
            <w:tcMar>
              <w:top w:type="dxa" w:w="80"/>
              <w:left w:type="dxa" w:w="120"/>
              <w:bottom w:type="dxa" w:w="80"/>
              <w:right w:type="dxa" w:w="120"/>
            </w:tcMar>
          </w:tcPr>
          <w:p>
            <w:pPr>
              <w:spacing w:after="0" w:line="264"/>
            </w:pPr>
            <w:r>
              <w:rPr>
                <w:rFonts w:ascii="Arial" w:cs="Arial" w:eastAsia="Arial" w:hAnsi="Arial"/>
                <w:color w:val="14201C"/>
                <w:sz w:val="18"/>
                <w:szCs w:val="18"/>
              </w:rPr>
              <w:t xml:space="preserve">Agents + human</w:t>
            </w:r>
          </w:p>
        </w:tc>
      </w:tr>
    </w:tbl>
    <w:p>
      <w:pPr>
        <w:pStyle w:val="Heading2"/>
        <w:spacing w:after="140" w:before="280"/>
      </w:pPr>
      <w:r>
        <w:rPr>
          <w:rFonts w:ascii="Arial" w:cs="Arial" w:eastAsia="Arial" w:hAnsi="Arial"/>
          <w:b/>
          <w:bCs/>
          <w:color w:val="0A4C40"/>
          <w:sz w:val="24"/>
          <w:szCs w:val="24"/>
        </w:rPr>
        <w:t xml:space="preserve">1.4 What exists today</w:t>
      </w:r>
    </w:p>
    <w:p>
      <w:pPr>
        <w:spacing w:after="120" w:line="276"/>
      </w:pPr>
      <w:r>
        <w:rPr>
          <w:rFonts w:ascii="Arial" w:cs="Arial" w:eastAsia="Arial" w:hAnsi="Arial"/>
          <w:color w:val="14201C"/>
          <w:sz w:val="20"/>
          <w:szCs w:val="20"/>
        </w:rPr>
        <w:t xml:space="preserve">The system is a working proof of concept with seven synthetic taxpayers, eight cases and 179 e-invoices. The table below separates what runs from what is designed but not yet built, so the two are never confused.</w:t>
      </w:r>
    </w:p>
    <w:p>
      <w:pPr>
        <w:spacing w:after="60"/>
      </w:pPr>
    </w:p>
    <w:tbl>
      <w:tblPr>
        <w:tblW w:type="dxa" w:w="10080"/>
        <w:tblBorders>
          <w:top w:val="single" w:color="DCE6E0" w:sz="2"/>
          <w:left w:val="single" w:color="DCE6E0" w:sz="2"/>
          <w:bottom w:val="single" w:color="DCE6E0" w:sz="2"/>
          <w:right w:val="single" w:color="DCE6E0" w:sz="2"/>
          <w:insideH w:val="single" w:color="DCE6E0" w:sz="2"/>
          <w:insideV w:val="single" w:color="DCE6E0" w:sz="2"/>
        </w:tblBorders>
      </w:tblPr>
      <w:tblGrid>
        <w:gridCol w:w="2600"/>
        <w:gridCol w:w="1300"/>
        <w:gridCol w:w="6180"/>
      </w:tblGrid>
      <w:tr>
        <w:trPr>
          <w:tblHeader/>
        </w:trPr>
        <w:tc>
          <w:tcPr>
            <w:tcW w:type="dxa" w:w="2600"/>
            <w:shd w:fill="0E6B57" w:color="auto" w:val="clear"/>
            <w:tcMar>
              <w:top w:type="dxa" w:w="80"/>
              <w:left w:type="dxa" w:w="120"/>
              <w:bottom w:type="dxa" w:w="80"/>
              <w:right w:type="dxa" w:w="120"/>
            </w:tcMar>
          </w:tcPr>
          <w:p>
            <w:pPr>
              <w:spacing w:after="0" w:line="264"/>
            </w:pPr>
            <w:r>
              <w:rPr>
                <w:rFonts w:ascii="Arial" w:cs="Arial" w:eastAsia="Arial" w:hAnsi="Arial"/>
                <w:b/>
                <w:bCs/>
                <w:color w:val="FFFFFF"/>
                <w:sz w:val="18"/>
                <w:szCs w:val="18"/>
              </w:rPr>
              <w:t xml:space="preserve">Component</w:t>
            </w:r>
          </w:p>
        </w:tc>
        <w:tc>
          <w:tcPr>
            <w:tcW w:type="dxa" w:w="1300"/>
            <w:shd w:fill="0E6B57" w:color="auto" w:val="clear"/>
            <w:tcMar>
              <w:top w:type="dxa" w:w="80"/>
              <w:left w:type="dxa" w:w="120"/>
              <w:bottom w:type="dxa" w:w="80"/>
              <w:right w:type="dxa" w:w="120"/>
            </w:tcMar>
          </w:tcPr>
          <w:p>
            <w:pPr>
              <w:spacing w:after="0" w:line="264"/>
            </w:pPr>
            <w:r>
              <w:rPr>
                <w:rFonts w:ascii="Arial" w:cs="Arial" w:eastAsia="Arial" w:hAnsi="Arial"/>
                <w:b/>
                <w:bCs/>
                <w:color w:val="FFFFFF"/>
                <w:sz w:val="18"/>
                <w:szCs w:val="18"/>
              </w:rPr>
              <w:t xml:space="preserve">State</w:t>
            </w:r>
          </w:p>
        </w:tc>
        <w:tc>
          <w:tcPr>
            <w:tcW w:type="dxa" w:w="6180"/>
            <w:shd w:fill="0E6B57" w:color="auto" w:val="clear"/>
            <w:tcMar>
              <w:top w:type="dxa" w:w="80"/>
              <w:left w:type="dxa" w:w="120"/>
              <w:bottom w:type="dxa" w:w="80"/>
              <w:right w:type="dxa" w:w="120"/>
            </w:tcMar>
          </w:tcPr>
          <w:p>
            <w:pPr>
              <w:spacing w:after="0" w:line="264"/>
            </w:pPr>
            <w:r>
              <w:rPr>
                <w:rFonts w:ascii="Arial" w:cs="Arial" w:eastAsia="Arial" w:hAnsi="Arial"/>
                <w:b/>
                <w:bCs/>
                <w:color w:val="FFFFFF"/>
                <w:sz w:val="18"/>
                <w:szCs w:val="18"/>
              </w:rPr>
              <w:t xml:space="preserve">Detail</w:t>
            </w:r>
          </w:p>
        </w:tc>
      </w:tr>
      <w:tr>
        <w:tc>
          <w:tcPr>
            <w:tcW w:type="dxa" w:w="2600"/>
            <w:tcMar>
              <w:top w:type="dxa" w:w="80"/>
              <w:left w:type="dxa" w:w="120"/>
              <w:bottom w:type="dxa" w:w="80"/>
              <w:right w:type="dxa" w:w="120"/>
            </w:tcMar>
          </w:tcPr>
          <w:p>
            <w:pPr>
              <w:spacing w:after="0" w:line="264"/>
            </w:pPr>
            <w:r>
              <w:rPr>
                <w:rFonts w:ascii="Arial" w:cs="Arial" w:eastAsia="Arial" w:hAnsi="Arial"/>
                <w:b/>
                <w:bCs/>
                <w:color w:val="14201C"/>
                <w:sz w:val="18"/>
                <w:szCs w:val="18"/>
              </w:rPr>
              <w:t xml:space="preserve">Qualification pipeline</w:t>
            </w:r>
          </w:p>
        </w:tc>
        <w:tc>
          <w:tcPr>
            <w:tcW w:type="dxa" w:w="1300"/>
            <w:tcMar>
              <w:top w:type="dxa" w:w="80"/>
              <w:left w:type="dxa" w:w="120"/>
              <w:bottom w:type="dxa" w:w="80"/>
              <w:right w:type="dxa" w:w="120"/>
            </w:tcMar>
          </w:tcPr>
          <w:p>
            <w:pPr>
              <w:spacing w:after="0" w:line="264"/>
            </w:pPr>
            <w:r>
              <w:rPr>
                <w:rFonts w:ascii="Arial" w:cs="Arial" w:eastAsia="Arial" w:hAnsi="Arial"/>
                <w:color w:val="14201C"/>
                <w:sz w:val="18"/>
                <w:szCs w:val="18"/>
              </w:rPr>
              <w:t xml:space="preserve">Built</w:t>
            </w:r>
          </w:p>
        </w:tc>
        <w:tc>
          <w:tcPr>
            <w:tcW w:type="dxa" w:w="6180"/>
            <w:tcMar>
              <w:top w:type="dxa" w:w="80"/>
              <w:left w:type="dxa" w:w="120"/>
              <w:bottom w:type="dxa" w:w="80"/>
              <w:right w:type="dxa" w:w="120"/>
            </w:tcMar>
          </w:tcPr>
          <w:p>
            <w:pPr>
              <w:spacing w:after="0" w:line="264"/>
            </w:pPr>
            <w:r>
              <w:rPr>
                <w:rFonts w:ascii="Arial" w:cs="Arial" w:eastAsia="Arial" w:hAnsi="Arial"/>
                <w:color w:val="14201C"/>
                <w:sz w:val="18"/>
                <w:szCs w:val="18"/>
              </w:rPr>
              <w:t xml:space="preserve">Line-level, stage-ordered, with a decision trail. Two boxes.</w:t>
            </w:r>
          </w:p>
        </w:tc>
      </w:tr>
      <w:tr>
        <w:tc>
          <w:tcPr>
            <w:tcW w:type="dxa" w:w="2600"/>
            <w:tcMar>
              <w:top w:type="dxa" w:w="80"/>
              <w:left w:type="dxa" w:w="120"/>
              <w:bottom w:type="dxa" w:w="80"/>
              <w:right w:type="dxa" w:w="120"/>
            </w:tcMar>
          </w:tcPr>
          <w:p>
            <w:pPr>
              <w:spacing w:after="0" w:line="264"/>
            </w:pPr>
            <w:r>
              <w:rPr>
                <w:rFonts w:ascii="Arial" w:cs="Arial" w:eastAsia="Arial" w:hAnsi="Arial"/>
                <w:b/>
                <w:bCs/>
                <w:color w:val="14201C"/>
                <w:sz w:val="18"/>
                <w:szCs w:val="18"/>
              </w:rPr>
              <w:t xml:space="preserve">Rulebook</w:t>
            </w:r>
          </w:p>
        </w:tc>
        <w:tc>
          <w:tcPr>
            <w:tcW w:type="dxa" w:w="1300"/>
            <w:tcMar>
              <w:top w:type="dxa" w:w="80"/>
              <w:left w:type="dxa" w:w="120"/>
              <w:bottom w:type="dxa" w:w="80"/>
              <w:right w:type="dxa" w:w="120"/>
            </w:tcMar>
          </w:tcPr>
          <w:p>
            <w:pPr>
              <w:spacing w:after="0" w:line="264"/>
            </w:pPr>
            <w:r>
              <w:rPr>
                <w:rFonts w:ascii="Arial" w:cs="Arial" w:eastAsia="Arial" w:hAnsi="Arial"/>
                <w:color w:val="14201C"/>
                <w:sz w:val="18"/>
                <w:szCs w:val="18"/>
              </w:rPr>
              <w:t xml:space="preserve">Built</w:t>
            </w:r>
          </w:p>
        </w:tc>
        <w:tc>
          <w:tcPr>
            <w:tcW w:type="dxa" w:w="6180"/>
            <w:tcMar>
              <w:top w:type="dxa" w:w="80"/>
              <w:left w:type="dxa" w:w="120"/>
              <w:bottom w:type="dxa" w:w="80"/>
              <w:right w:type="dxa" w:w="120"/>
            </w:tcMar>
          </w:tcPr>
          <w:p>
            <w:pPr>
              <w:spacing w:after="0" w:line="264"/>
            </w:pPr>
            <w:r>
              <w:rPr>
                <w:rFonts w:ascii="Arial" w:cs="Arial" w:eastAsia="Arial" w:hAnsi="Arial"/>
                <w:color w:val="14201C"/>
                <w:sz w:val="18"/>
                <w:szCs w:val="18"/>
              </w:rPr>
              <w:t xml:space="preserve">65 rules classified by kind, stage and reason code; 4 wired into the engine.</w:t>
            </w:r>
          </w:p>
        </w:tc>
      </w:tr>
      <w:tr>
        <w:tc>
          <w:tcPr>
            <w:tcW w:type="dxa" w:w="2600"/>
            <w:tcMar>
              <w:top w:type="dxa" w:w="80"/>
              <w:left w:type="dxa" w:w="120"/>
              <w:bottom w:type="dxa" w:w="80"/>
              <w:right w:type="dxa" w:w="120"/>
            </w:tcMar>
          </w:tcPr>
          <w:p>
            <w:pPr>
              <w:spacing w:after="0" w:line="264"/>
            </w:pPr>
            <w:r>
              <w:rPr>
                <w:rFonts w:ascii="Arial" w:cs="Arial" w:eastAsia="Arial" w:hAnsi="Arial"/>
                <w:b/>
                <w:bCs/>
                <w:color w:val="14201C"/>
                <w:sz w:val="18"/>
                <w:szCs w:val="18"/>
              </w:rPr>
              <w:t xml:space="preserve">Reconciliation bridge</w:t>
            </w:r>
          </w:p>
        </w:tc>
        <w:tc>
          <w:tcPr>
            <w:tcW w:type="dxa" w:w="1300"/>
            <w:tcMar>
              <w:top w:type="dxa" w:w="80"/>
              <w:left w:type="dxa" w:w="120"/>
              <w:bottom w:type="dxa" w:w="80"/>
              <w:right w:type="dxa" w:w="120"/>
            </w:tcMar>
          </w:tcPr>
          <w:p>
            <w:pPr>
              <w:spacing w:after="0" w:line="264"/>
            </w:pPr>
            <w:r>
              <w:rPr>
                <w:rFonts w:ascii="Arial" w:cs="Arial" w:eastAsia="Arial" w:hAnsi="Arial"/>
                <w:color w:val="14201C"/>
                <w:sz w:val="18"/>
                <w:szCs w:val="18"/>
              </w:rPr>
              <w:t xml:space="preserve">Built</w:t>
            </w:r>
          </w:p>
        </w:tc>
        <w:tc>
          <w:tcPr>
            <w:tcW w:type="dxa" w:w="6180"/>
            <w:tcMar>
              <w:top w:type="dxa" w:w="80"/>
              <w:left w:type="dxa" w:w="120"/>
              <w:bottom w:type="dxa" w:w="80"/>
              <w:right w:type="dxa" w:w="120"/>
            </w:tcMar>
          </w:tcPr>
          <w:p>
            <w:pPr>
              <w:spacing w:after="0" w:line="264"/>
            </w:pPr>
            <w:r>
              <w:rPr>
                <w:rFonts w:ascii="Arial" w:cs="Arial" w:eastAsia="Arial" w:hAnsi="Arial"/>
                <w:color w:val="14201C"/>
                <w:sz w:val="18"/>
                <w:szCs w:val="18"/>
              </w:rPr>
              <w:t xml:space="preserve">Derived from line decisions, with drill-down to source invoices.</w:t>
            </w:r>
          </w:p>
        </w:tc>
      </w:tr>
      <w:tr>
        <w:tc>
          <w:tcPr>
            <w:tcW w:type="dxa" w:w="2600"/>
            <w:tcMar>
              <w:top w:type="dxa" w:w="80"/>
              <w:left w:type="dxa" w:w="120"/>
              <w:bottom w:type="dxa" w:w="80"/>
              <w:right w:type="dxa" w:w="120"/>
            </w:tcMar>
          </w:tcPr>
          <w:p>
            <w:pPr>
              <w:spacing w:after="0" w:line="264"/>
            </w:pPr>
            <w:r>
              <w:rPr>
                <w:rFonts w:ascii="Arial" w:cs="Arial" w:eastAsia="Arial" w:hAnsi="Arial"/>
                <w:b/>
                <w:bCs/>
                <w:color w:val="14201C"/>
                <w:sz w:val="18"/>
                <w:szCs w:val="18"/>
              </w:rPr>
              <w:t xml:space="preserve">Prioritisation</w:t>
            </w:r>
          </w:p>
        </w:tc>
        <w:tc>
          <w:tcPr>
            <w:tcW w:type="dxa" w:w="1300"/>
            <w:tcMar>
              <w:top w:type="dxa" w:w="80"/>
              <w:left w:type="dxa" w:w="120"/>
              <w:bottom w:type="dxa" w:w="80"/>
              <w:right w:type="dxa" w:w="120"/>
            </w:tcMar>
          </w:tcPr>
          <w:p>
            <w:pPr>
              <w:spacing w:after="0" w:line="264"/>
            </w:pPr>
            <w:r>
              <w:rPr>
                <w:rFonts w:ascii="Arial" w:cs="Arial" w:eastAsia="Arial" w:hAnsi="Arial"/>
                <w:color w:val="14201C"/>
                <w:sz w:val="18"/>
                <w:szCs w:val="18"/>
              </w:rPr>
              <w:t xml:space="preserve">Built</w:t>
            </w:r>
          </w:p>
        </w:tc>
        <w:tc>
          <w:tcPr>
            <w:tcW w:type="dxa" w:w="6180"/>
            <w:tcMar>
              <w:top w:type="dxa" w:w="80"/>
              <w:left w:type="dxa" w:w="120"/>
              <w:bottom w:type="dxa" w:w="80"/>
              <w:right w:type="dxa" w:w="120"/>
            </w:tcMar>
          </w:tcPr>
          <w:p>
            <w:pPr>
              <w:spacing w:after="0" w:line="264"/>
            </w:pPr>
            <w:r>
              <w:rPr>
                <w:rFonts w:ascii="Arial" w:cs="Arial" w:eastAsia="Arial" w:hAnsi="Arial"/>
                <w:color w:val="14201C"/>
                <w:sz w:val="18"/>
                <w:szCs w:val="18"/>
              </w:rPr>
              <w:t xml:space="preserve">Four weighted signals producing a 0–100 score and a band.</w:t>
            </w:r>
          </w:p>
        </w:tc>
      </w:tr>
      <w:tr>
        <w:tc>
          <w:tcPr>
            <w:tcW w:type="dxa" w:w="2600"/>
            <w:tcMar>
              <w:top w:type="dxa" w:w="80"/>
              <w:left w:type="dxa" w:w="120"/>
              <w:bottom w:type="dxa" w:w="80"/>
              <w:right w:type="dxa" w:w="120"/>
            </w:tcMar>
          </w:tcPr>
          <w:p>
            <w:pPr>
              <w:spacing w:after="0" w:line="264"/>
            </w:pPr>
            <w:r>
              <w:rPr>
                <w:rFonts w:ascii="Arial" w:cs="Arial" w:eastAsia="Arial" w:hAnsi="Arial"/>
                <w:b/>
                <w:bCs/>
                <w:color w:val="14201C"/>
                <w:sz w:val="18"/>
                <w:szCs w:val="18"/>
              </w:rPr>
              <w:t xml:space="preserve">Investigation agents</w:t>
            </w:r>
          </w:p>
        </w:tc>
        <w:tc>
          <w:tcPr>
            <w:tcW w:type="dxa" w:w="1300"/>
            <w:tcMar>
              <w:top w:type="dxa" w:w="80"/>
              <w:left w:type="dxa" w:w="120"/>
              <w:bottom w:type="dxa" w:w="80"/>
              <w:right w:type="dxa" w:w="120"/>
            </w:tcMar>
          </w:tcPr>
          <w:p>
            <w:pPr>
              <w:spacing w:after="0" w:line="264"/>
            </w:pPr>
            <w:r>
              <w:rPr>
                <w:rFonts w:ascii="Arial" w:cs="Arial" w:eastAsia="Arial" w:hAnsi="Arial"/>
                <w:color w:val="14201C"/>
                <w:sz w:val="18"/>
                <w:szCs w:val="18"/>
              </w:rPr>
              <w:t xml:space="preserve">Built</w:t>
            </w:r>
          </w:p>
        </w:tc>
        <w:tc>
          <w:tcPr>
            <w:tcW w:type="dxa" w:w="6180"/>
            <w:tcMar>
              <w:top w:type="dxa" w:w="80"/>
              <w:left w:type="dxa" w:w="120"/>
              <w:bottom w:type="dxa" w:w="80"/>
              <w:right w:type="dxa" w:w="120"/>
            </w:tcMar>
          </w:tcPr>
          <w:p>
            <w:pPr>
              <w:spacing w:after="0" w:line="264"/>
            </w:pPr>
            <w:r>
              <w:rPr>
                <w:rFonts w:ascii="Arial" w:cs="Arial" w:eastAsia="Arial" w:hAnsi="Arial"/>
                <w:color w:val="14201C"/>
                <w:sz w:val="18"/>
                <w:szCs w:val="18"/>
              </w:rPr>
              <w:t xml:space="preserve">Three evidence agents, eight adjudicated tests, challenger, case lead.</w:t>
            </w:r>
          </w:p>
        </w:tc>
      </w:tr>
      <w:tr>
        <w:tc>
          <w:tcPr>
            <w:tcW w:type="dxa" w:w="2600"/>
            <w:tcMar>
              <w:top w:type="dxa" w:w="80"/>
              <w:left w:type="dxa" w:w="120"/>
              <w:bottom w:type="dxa" w:w="80"/>
              <w:right w:type="dxa" w:w="120"/>
            </w:tcMar>
          </w:tcPr>
          <w:p>
            <w:pPr>
              <w:spacing w:after="0" w:line="264"/>
            </w:pPr>
            <w:r>
              <w:rPr>
                <w:rFonts w:ascii="Arial" w:cs="Arial" w:eastAsia="Arial" w:hAnsi="Arial"/>
                <w:b/>
                <w:bCs/>
                <w:color w:val="14201C"/>
                <w:sz w:val="18"/>
                <w:szCs w:val="18"/>
              </w:rPr>
              <w:t xml:space="preserve">Knowledge agents</w:t>
            </w:r>
          </w:p>
        </w:tc>
        <w:tc>
          <w:tcPr>
            <w:tcW w:type="dxa" w:w="1300"/>
            <w:tcMar>
              <w:top w:type="dxa" w:w="80"/>
              <w:left w:type="dxa" w:w="120"/>
              <w:bottom w:type="dxa" w:w="80"/>
              <w:right w:type="dxa" w:w="120"/>
            </w:tcMar>
          </w:tcPr>
          <w:p>
            <w:pPr>
              <w:spacing w:after="0" w:line="264"/>
            </w:pPr>
            <w:r>
              <w:rPr>
                <w:rFonts w:ascii="Arial" w:cs="Arial" w:eastAsia="Arial" w:hAnsi="Arial"/>
                <w:color w:val="14201C"/>
                <w:sz w:val="18"/>
                <w:szCs w:val="18"/>
              </w:rPr>
              <w:t xml:space="preserve">Designed</w:t>
            </w:r>
          </w:p>
        </w:tc>
        <w:tc>
          <w:tcPr>
            <w:tcW w:type="dxa" w:w="6180"/>
            <w:tcMar>
              <w:top w:type="dxa" w:w="80"/>
              <w:left w:type="dxa" w:w="120"/>
              <w:bottom w:type="dxa" w:w="80"/>
              <w:right w:type="dxa" w:w="120"/>
            </w:tcMar>
          </w:tcPr>
          <w:p>
            <w:pPr>
              <w:spacing w:after="0" w:line="264"/>
            </w:pPr>
            <w:r>
              <w:rPr>
                <w:rFonts w:ascii="Arial" w:cs="Arial" w:eastAsia="Arial" w:hAnsi="Arial"/>
                <w:color w:val="14201C"/>
                <w:sz w:val="18"/>
                <w:szCs w:val="18"/>
              </w:rPr>
              <w:t xml:space="preserve">Legal, policy and precedent. Awaiting the ZATCA corpus.</w:t>
            </w:r>
          </w:p>
        </w:tc>
      </w:tr>
      <w:tr>
        <w:tc>
          <w:tcPr>
            <w:tcW w:type="dxa" w:w="2600"/>
            <w:tcMar>
              <w:top w:type="dxa" w:w="80"/>
              <w:left w:type="dxa" w:w="120"/>
              <w:bottom w:type="dxa" w:w="80"/>
              <w:right w:type="dxa" w:w="120"/>
            </w:tcMar>
          </w:tcPr>
          <w:p>
            <w:pPr>
              <w:spacing w:after="0" w:line="264"/>
            </w:pPr>
            <w:r>
              <w:rPr>
                <w:rFonts w:ascii="Arial" w:cs="Arial" w:eastAsia="Arial" w:hAnsi="Arial"/>
                <w:b/>
                <w:bCs/>
                <w:color w:val="14201C"/>
                <w:sz w:val="18"/>
                <w:szCs w:val="18"/>
              </w:rPr>
              <w:t xml:space="preserve">Report drafting</w:t>
            </w:r>
          </w:p>
        </w:tc>
        <w:tc>
          <w:tcPr>
            <w:tcW w:type="dxa" w:w="1300"/>
            <w:tcMar>
              <w:top w:type="dxa" w:w="80"/>
              <w:left w:type="dxa" w:w="120"/>
              <w:bottom w:type="dxa" w:w="80"/>
              <w:right w:type="dxa" w:w="120"/>
            </w:tcMar>
          </w:tcPr>
          <w:p>
            <w:pPr>
              <w:spacing w:after="0" w:line="264"/>
            </w:pPr>
            <w:r>
              <w:rPr>
                <w:rFonts w:ascii="Arial" w:cs="Arial" w:eastAsia="Arial" w:hAnsi="Arial"/>
                <w:color w:val="14201C"/>
                <w:sz w:val="18"/>
                <w:szCs w:val="18"/>
              </w:rPr>
              <w:t xml:space="preserve">Built</w:t>
            </w:r>
          </w:p>
        </w:tc>
        <w:tc>
          <w:tcPr>
            <w:tcW w:type="dxa" w:w="6180"/>
            <w:tcMar>
              <w:top w:type="dxa" w:w="80"/>
              <w:left w:type="dxa" w:w="120"/>
              <w:bottom w:type="dxa" w:w="80"/>
              <w:right w:type="dxa" w:w="120"/>
            </w:tcMar>
          </w:tcPr>
          <w:p>
            <w:pPr>
              <w:spacing w:after="0" w:line="264"/>
            </w:pPr>
            <w:r>
              <w:rPr>
                <w:rFonts w:ascii="Arial" w:cs="Arial" w:eastAsia="Arial" w:hAnsi="Arial"/>
                <w:color w:val="14201C"/>
                <w:sz w:val="18"/>
                <w:szCs w:val="18"/>
              </w:rPr>
              <w:t xml:space="preserve">Deterministic draft today; model-written prose behind a verification guard.</w:t>
            </w:r>
          </w:p>
        </w:tc>
      </w:tr>
      <w:tr>
        <w:tc>
          <w:tcPr>
            <w:tcW w:type="dxa" w:w="2600"/>
            <w:tcMar>
              <w:top w:type="dxa" w:w="80"/>
              <w:left w:type="dxa" w:w="120"/>
              <w:bottom w:type="dxa" w:w="80"/>
              <w:right w:type="dxa" w:w="120"/>
            </w:tcMar>
          </w:tcPr>
          <w:p>
            <w:pPr>
              <w:spacing w:after="0" w:line="264"/>
            </w:pPr>
            <w:r>
              <w:rPr>
                <w:rFonts w:ascii="Arial" w:cs="Arial" w:eastAsia="Arial" w:hAnsi="Arial"/>
                <w:b/>
                <w:bCs/>
                <w:color w:val="14201C"/>
                <w:sz w:val="18"/>
                <w:szCs w:val="18"/>
              </w:rPr>
              <w:t xml:space="preserve">Standalone portal</w:t>
            </w:r>
          </w:p>
        </w:tc>
        <w:tc>
          <w:tcPr>
            <w:tcW w:type="dxa" w:w="1300"/>
            <w:tcMar>
              <w:top w:type="dxa" w:w="80"/>
              <w:left w:type="dxa" w:w="120"/>
              <w:bottom w:type="dxa" w:w="80"/>
              <w:right w:type="dxa" w:w="120"/>
            </w:tcMar>
          </w:tcPr>
          <w:p>
            <w:pPr>
              <w:spacing w:after="0" w:line="264"/>
            </w:pPr>
            <w:r>
              <w:rPr>
                <w:rFonts w:ascii="Arial" w:cs="Arial" w:eastAsia="Arial" w:hAnsi="Arial"/>
                <w:color w:val="14201C"/>
                <w:sz w:val="18"/>
                <w:szCs w:val="18"/>
              </w:rPr>
              <w:t xml:space="preserve">Built</w:t>
            </w:r>
          </w:p>
        </w:tc>
        <w:tc>
          <w:tcPr>
            <w:tcW w:type="dxa" w:w="6180"/>
            <w:tcMar>
              <w:top w:type="dxa" w:w="80"/>
              <w:left w:type="dxa" w:w="120"/>
              <w:bottom w:type="dxa" w:w="80"/>
              <w:right w:type="dxa" w:w="120"/>
            </w:tcMar>
          </w:tcPr>
          <w:p>
            <w:pPr>
              <w:spacing w:after="0" w:line="264"/>
            </w:pPr>
            <w:r>
              <w:rPr>
                <w:rFonts w:ascii="Arial" w:cs="Arial" w:eastAsia="Arial" w:hAnsi="Arial"/>
                <w:color w:val="14201C"/>
                <w:sz w:val="18"/>
                <w:szCs w:val="18"/>
              </w:rPr>
              <w:t xml:space="preserve">The whole workbench in one HTML file, no backend required.</w:t>
            </w:r>
          </w:p>
        </w:tc>
      </w:tr>
    </w:tbl>
    <w:p>
      <w:pPr>
        <w:spacing w:after="80"/>
      </w:pPr>
    </w:p>
    <w:p>
      <w:pPr>
        <w:spacing w:after="200" w:line="276"/>
      </w:pPr>
      <w:r>
        <w:rPr>
          <w:rFonts w:ascii="Arial" w:cs="Arial" w:eastAsia="Arial" w:hAnsi="Arial"/>
          <w:color w:val="14201C"/>
          <w:sz w:val="20"/>
          <w:szCs w:val="20"/>
        </w:rPr>
        <w:t xml:space="preserve">Two numbers give the flavour of the demo. On the headline case, the naive reading shows a SAR 480,000 gap; qualification-first reduces that to a SAR 75,000 residual before any investigation begins. On the manual-entry case, a SAR 468,000 difference is confirmed by the adjudicator as a misplaced decimal point — so the recommended action is to ask the taxpayer to confirm a figure, not to raise an assessment.</w:t>
      </w:r>
    </w:p>
    <w:p>
      <w:r>
        <w:br w:type="page"/>
      </w:r>
    </w:p>
    <w:p>
      <w:pPr>
        <w:pStyle w:val="Heading1"/>
        <w:spacing w:after="180" w:before="360"/>
      </w:pPr>
      <w:r>
        <w:rPr>
          <w:rFonts w:ascii="Arial" w:cs="Arial" w:eastAsia="Arial" w:hAnsi="Arial"/>
          <w:b/>
          <w:bCs/>
          <w:color w:val="0E6B57"/>
          <w:sz w:val="32"/>
          <w:szCs w:val="32"/>
        </w:rPr>
        <w:t xml:space="preserve">2. Functional solution</w:t>
      </w:r>
    </w:p>
    <w:p>
      <w:pPr>
        <w:spacing w:after="120" w:line="276"/>
      </w:pPr>
      <w:r>
        <w:rPr>
          <w:rFonts w:ascii="Arial" w:cs="Arial" w:eastAsia="Arial" w:hAnsi="Arial"/>
          <w:color w:val="14201C"/>
          <w:sz w:val="20"/>
          <w:szCs w:val="20"/>
        </w:rPr>
        <w:t xml:space="preserve">This section follows the auditor through the product in the order they meet it.</w:t>
      </w:r>
    </w:p>
    <w:p>
      <w:pPr>
        <w:pStyle w:val="Heading2"/>
        <w:spacing w:after="140" w:before="280"/>
      </w:pPr>
      <w:r>
        <w:rPr>
          <w:rFonts w:ascii="Arial" w:cs="Arial" w:eastAsia="Arial" w:hAnsi="Arial"/>
          <w:b/>
          <w:bCs/>
          <w:color w:val="0A4C40"/>
          <w:sz w:val="24"/>
          <w:szCs w:val="24"/>
        </w:rPr>
        <w:t xml:space="preserve">2.1 The case queue</w:t>
      </w:r>
    </w:p>
    <w:p>
      <w:pPr>
        <w:spacing w:after="120" w:line="276"/>
      </w:pPr>
      <w:r>
        <w:rPr>
          <w:rFonts w:ascii="Arial" w:cs="Arial" w:eastAsia="Arial" w:hAnsi="Arial"/>
          <w:color w:val="14201C"/>
          <w:sz w:val="20"/>
          <w:szCs w:val="20"/>
        </w:rPr>
        <w:t xml:space="preserve">The Overview screen is the command deck. It shows four executive tiles — exposure surfaced, differences explained automatically, the share of cases clearable with no taxpayer contact, and the number needing action — followed by every open case ranked by a composite priority score.</w:t>
      </w:r>
    </w:p>
    <w:p>
      <w:pPr>
        <w:spacing w:after="120" w:line="276"/>
      </w:pPr>
      <w:r>
        <w:rPr>
          <w:rFonts w:ascii="Arial" w:cs="Arial" w:eastAsia="Arial" w:hAnsi="Arial"/>
          <w:color w:val="14201C"/>
          <w:sz w:val="20"/>
          <w:szCs w:val="20"/>
        </w:rPr>
        <w:t xml:space="preserve">The ranking is deliberate. Auditor time is the scarce resource, so the queue is ordered by a blend of four signals rather than by exposure alone:</w:t>
      </w:r>
    </w:p>
    <w:p>
      <w:pPr>
        <w:spacing w:after="60"/>
      </w:pPr>
    </w:p>
    <w:tbl>
      <w:tblPr>
        <w:tblW w:type="dxa" w:w="10080"/>
        <w:tblBorders>
          <w:top w:val="single" w:color="DCE6E0" w:sz="2"/>
          <w:left w:val="single" w:color="DCE6E0" w:sz="2"/>
          <w:bottom w:val="single" w:color="DCE6E0" w:sz="2"/>
          <w:right w:val="single" w:color="DCE6E0" w:sz="2"/>
          <w:insideH w:val="single" w:color="DCE6E0" w:sz="2"/>
          <w:insideV w:val="single" w:color="DCE6E0" w:sz="2"/>
        </w:tblBorders>
      </w:tblPr>
      <w:tblGrid>
        <w:gridCol w:w="1500"/>
        <w:gridCol w:w="900"/>
        <w:gridCol w:w="4180"/>
        <w:gridCol w:w="3500"/>
      </w:tblGrid>
      <w:tr>
        <w:trPr>
          <w:tblHeader/>
        </w:trPr>
        <w:tc>
          <w:tcPr>
            <w:tcW w:type="dxa" w:w="1500"/>
            <w:shd w:fill="0E6B57" w:color="auto" w:val="clear"/>
            <w:tcMar>
              <w:top w:type="dxa" w:w="80"/>
              <w:left w:type="dxa" w:w="120"/>
              <w:bottom w:type="dxa" w:w="80"/>
              <w:right w:type="dxa" w:w="120"/>
            </w:tcMar>
          </w:tcPr>
          <w:p>
            <w:pPr>
              <w:spacing w:after="0" w:line="264"/>
            </w:pPr>
            <w:r>
              <w:rPr>
                <w:rFonts w:ascii="Arial" w:cs="Arial" w:eastAsia="Arial" w:hAnsi="Arial"/>
                <w:b/>
                <w:bCs/>
                <w:color w:val="FFFFFF"/>
                <w:sz w:val="18"/>
                <w:szCs w:val="18"/>
              </w:rPr>
              <w:t xml:space="preserve">Signal</w:t>
            </w:r>
          </w:p>
        </w:tc>
        <w:tc>
          <w:tcPr>
            <w:tcW w:type="dxa" w:w="900"/>
            <w:shd w:fill="0E6B57" w:color="auto" w:val="clear"/>
            <w:tcMar>
              <w:top w:type="dxa" w:w="80"/>
              <w:left w:type="dxa" w:w="120"/>
              <w:bottom w:type="dxa" w:w="80"/>
              <w:right w:type="dxa" w:w="120"/>
            </w:tcMar>
          </w:tcPr>
          <w:p>
            <w:pPr>
              <w:spacing w:after="0" w:line="264"/>
            </w:pPr>
            <w:r>
              <w:rPr>
                <w:rFonts w:ascii="Arial" w:cs="Arial" w:eastAsia="Arial" w:hAnsi="Arial"/>
                <w:b/>
                <w:bCs/>
                <w:color w:val="FFFFFF"/>
                <w:sz w:val="18"/>
                <w:szCs w:val="18"/>
              </w:rPr>
              <w:t xml:space="preserve">Weight</w:t>
            </w:r>
          </w:p>
        </w:tc>
        <w:tc>
          <w:tcPr>
            <w:tcW w:type="dxa" w:w="4180"/>
            <w:shd w:fill="0E6B57" w:color="auto" w:val="clear"/>
            <w:tcMar>
              <w:top w:type="dxa" w:w="80"/>
              <w:left w:type="dxa" w:w="120"/>
              <w:bottom w:type="dxa" w:w="80"/>
              <w:right w:type="dxa" w:w="120"/>
            </w:tcMar>
          </w:tcPr>
          <w:p>
            <w:pPr>
              <w:spacing w:after="0" w:line="264"/>
            </w:pPr>
            <w:r>
              <w:rPr>
                <w:rFonts w:ascii="Arial" w:cs="Arial" w:eastAsia="Arial" w:hAnsi="Arial"/>
                <w:b/>
                <w:bCs/>
                <w:color w:val="FFFFFF"/>
                <w:sz w:val="18"/>
                <w:szCs w:val="18"/>
              </w:rPr>
              <w:t xml:space="preserve">What it measures</w:t>
            </w:r>
          </w:p>
        </w:tc>
        <w:tc>
          <w:tcPr>
            <w:tcW w:type="dxa" w:w="3500"/>
            <w:shd w:fill="0E6B57" w:color="auto" w:val="clear"/>
            <w:tcMar>
              <w:top w:type="dxa" w:w="80"/>
              <w:left w:type="dxa" w:w="120"/>
              <w:bottom w:type="dxa" w:w="80"/>
              <w:right w:type="dxa" w:w="120"/>
            </w:tcMar>
          </w:tcPr>
          <w:p>
            <w:pPr>
              <w:spacing w:after="0" w:line="264"/>
            </w:pPr>
            <w:r>
              <w:rPr>
                <w:rFonts w:ascii="Arial" w:cs="Arial" w:eastAsia="Arial" w:hAnsi="Arial"/>
                <w:b/>
                <w:bCs/>
                <w:color w:val="FFFFFF"/>
                <w:sz w:val="18"/>
                <w:szCs w:val="18"/>
              </w:rPr>
              <w:t xml:space="preserve">Normalisation</w:t>
            </w:r>
          </w:p>
        </w:tc>
      </w:tr>
      <w:tr>
        <w:tc>
          <w:tcPr>
            <w:tcW w:type="dxa" w:w="1500"/>
            <w:tcMar>
              <w:top w:type="dxa" w:w="80"/>
              <w:left w:type="dxa" w:w="120"/>
              <w:bottom w:type="dxa" w:w="80"/>
              <w:right w:type="dxa" w:w="120"/>
            </w:tcMar>
          </w:tcPr>
          <w:p>
            <w:pPr>
              <w:spacing w:after="0" w:line="264"/>
            </w:pPr>
            <w:r>
              <w:rPr>
                <w:rFonts w:ascii="Arial" w:cs="Arial" w:eastAsia="Arial" w:hAnsi="Arial"/>
                <w:b/>
                <w:bCs/>
                <w:color w:val="14201C"/>
                <w:sz w:val="18"/>
                <w:szCs w:val="18"/>
              </w:rPr>
              <w:t xml:space="preserve">Exposure</w:t>
            </w:r>
          </w:p>
        </w:tc>
        <w:tc>
          <w:tcPr>
            <w:tcW w:type="dxa" w:w="900"/>
            <w:tcMar>
              <w:top w:type="dxa" w:w="80"/>
              <w:left w:type="dxa" w:w="120"/>
              <w:bottom w:type="dxa" w:w="80"/>
              <w:right w:type="dxa" w:w="120"/>
            </w:tcMar>
          </w:tcPr>
          <w:p>
            <w:pPr>
              <w:spacing w:after="0" w:line="264"/>
            </w:pPr>
            <w:r>
              <w:rPr>
                <w:rFonts w:ascii="Arial" w:cs="Arial" w:eastAsia="Arial" w:hAnsi="Arial"/>
                <w:color w:val="14201C"/>
                <w:sz w:val="18"/>
                <w:szCs w:val="18"/>
              </w:rPr>
              <w:t xml:space="preserve">40%</w:t>
            </w:r>
          </w:p>
        </w:tc>
        <w:tc>
          <w:tcPr>
            <w:tcW w:type="dxa" w:w="4180"/>
            <w:tcMar>
              <w:top w:type="dxa" w:w="80"/>
              <w:left w:type="dxa" w:w="120"/>
              <w:bottom w:type="dxa" w:w="80"/>
              <w:right w:type="dxa" w:w="120"/>
            </w:tcMar>
          </w:tcPr>
          <w:p>
            <w:pPr>
              <w:spacing w:after="0" w:line="264"/>
            </w:pPr>
            <w:r>
              <w:rPr>
                <w:rFonts w:ascii="Arial" w:cs="Arial" w:eastAsia="Arial" w:hAnsi="Arial"/>
                <w:color w:val="14201C"/>
                <w:sz w:val="18"/>
                <w:szCs w:val="18"/>
              </w:rPr>
              <w:t xml:space="preserve">Revenue at stake — the output residual plus any input over-claim.</w:t>
            </w:r>
          </w:p>
        </w:tc>
        <w:tc>
          <w:tcPr>
            <w:tcW w:type="dxa" w:w="3500"/>
            <w:tcMar>
              <w:top w:type="dxa" w:w="80"/>
              <w:left w:type="dxa" w:w="120"/>
              <w:bottom w:type="dxa" w:w="80"/>
              <w:right w:type="dxa" w:w="120"/>
            </w:tcMar>
          </w:tcPr>
          <w:p>
            <w:pPr>
              <w:spacing w:after="0" w:line="264"/>
            </w:pPr>
            <w:r>
              <w:rPr>
                <w:rFonts w:ascii="Arial" w:cs="Arial" w:eastAsia="Arial" w:hAnsi="Arial"/>
                <w:color w:val="14201C"/>
                <w:sz w:val="18"/>
                <w:szCs w:val="18"/>
              </w:rPr>
              <w:t xml:space="preserve">Against a SAR 100,000 ceiling, capped at 1.0</w:t>
            </w:r>
          </w:p>
        </w:tc>
      </w:tr>
      <w:tr>
        <w:tc>
          <w:tcPr>
            <w:tcW w:type="dxa" w:w="1500"/>
            <w:tcMar>
              <w:top w:type="dxa" w:w="80"/>
              <w:left w:type="dxa" w:w="120"/>
              <w:bottom w:type="dxa" w:w="80"/>
              <w:right w:type="dxa" w:w="120"/>
            </w:tcMar>
          </w:tcPr>
          <w:p>
            <w:pPr>
              <w:spacing w:after="0" w:line="264"/>
            </w:pPr>
            <w:r>
              <w:rPr>
                <w:rFonts w:ascii="Arial" w:cs="Arial" w:eastAsia="Arial" w:hAnsi="Arial"/>
                <w:b/>
                <w:bCs/>
                <w:color w:val="14201C"/>
                <w:sz w:val="18"/>
                <w:szCs w:val="18"/>
              </w:rPr>
              <w:t xml:space="preserve">Deadline</w:t>
            </w:r>
          </w:p>
        </w:tc>
        <w:tc>
          <w:tcPr>
            <w:tcW w:type="dxa" w:w="900"/>
            <w:tcMar>
              <w:top w:type="dxa" w:w="80"/>
              <w:left w:type="dxa" w:w="120"/>
              <w:bottom w:type="dxa" w:w="80"/>
              <w:right w:type="dxa" w:w="120"/>
            </w:tcMar>
          </w:tcPr>
          <w:p>
            <w:pPr>
              <w:spacing w:after="0" w:line="264"/>
            </w:pPr>
            <w:r>
              <w:rPr>
                <w:rFonts w:ascii="Arial" w:cs="Arial" w:eastAsia="Arial" w:hAnsi="Arial"/>
                <w:color w:val="14201C"/>
                <w:sz w:val="18"/>
                <w:szCs w:val="18"/>
              </w:rPr>
              <w:t xml:space="preserve">30%</w:t>
            </w:r>
          </w:p>
        </w:tc>
        <w:tc>
          <w:tcPr>
            <w:tcW w:type="dxa" w:w="4180"/>
            <w:tcMar>
              <w:top w:type="dxa" w:w="80"/>
              <w:left w:type="dxa" w:w="120"/>
              <w:bottom w:type="dxa" w:w="80"/>
              <w:right w:type="dxa" w:w="120"/>
            </w:tcMar>
          </w:tcPr>
          <w:p>
            <w:pPr>
              <w:spacing w:after="0" w:line="264"/>
            </w:pPr>
            <w:r>
              <w:rPr>
                <w:rFonts w:ascii="Arial" w:cs="Arial" w:eastAsia="Arial" w:hAnsi="Arial"/>
                <w:color w:val="14201C"/>
                <w:sz w:val="18"/>
                <w:szCs w:val="18"/>
              </w:rPr>
              <w:t xml:space="preserve">How close the audit SLA is.</w:t>
            </w:r>
          </w:p>
        </w:tc>
        <w:tc>
          <w:tcPr>
            <w:tcW w:type="dxa" w:w="3500"/>
            <w:tcMar>
              <w:top w:type="dxa" w:w="80"/>
              <w:left w:type="dxa" w:w="120"/>
              <w:bottom w:type="dxa" w:w="80"/>
              <w:right w:type="dxa" w:w="120"/>
            </w:tcMar>
          </w:tcPr>
          <w:p>
            <w:pPr>
              <w:spacing w:after="0" w:line="264"/>
            </w:pPr>
            <w:r>
              <w:rPr>
                <w:rFonts w:ascii="Arial" w:cs="Arial" w:eastAsia="Arial" w:hAnsi="Arial"/>
                <w:color w:val="14201C"/>
                <w:sz w:val="18"/>
                <w:szCs w:val="18"/>
              </w:rPr>
              <w:t xml:space="preserve">Ramped across a 90-day window; past due scores 1.0</w:t>
            </w:r>
          </w:p>
        </w:tc>
      </w:tr>
      <w:tr>
        <w:tc>
          <w:tcPr>
            <w:tcW w:type="dxa" w:w="1500"/>
            <w:tcMar>
              <w:top w:type="dxa" w:w="80"/>
              <w:left w:type="dxa" w:w="120"/>
              <w:bottom w:type="dxa" w:w="80"/>
              <w:right w:type="dxa" w:w="120"/>
            </w:tcMar>
          </w:tcPr>
          <w:p>
            <w:pPr>
              <w:spacing w:after="0" w:line="264"/>
            </w:pPr>
            <w:r>
              <w:rPr>
                <w:rFonts w:ascii="Arial" w:cs="Arial" w:eastAsia="Arial" w:hAnsi="Arial"/>
                <w:b/>
                <w:bCs/>
                <w:color w:val="14201C"/>
                <w:sz w:val="18"/>
                <w:szCs w:val="18"/>
              </w:rPr>
              <w:t xml:space="preserve">History</w:t>
            </w:r>
          </w:p>
        </w:tc>
        <w:tc>
          <w:tcPr>
            <w:tcW w:type="dxa" w:w="900"/>
            <w:tcMar>
              <w:top w:type="dxa" w:w="80"/>
              <w:left w:type="dxa" w:w="120"/>
              <w:bottom w:type="dxa" w:w="80"/>
              <w:right w:type="dxa" w:w="120"/>
            </w:tcMar>
          </w:tcPr>
          <w:p>
            <w:pPr>
              <w:spacing w:after="0" w:line="264"/>
            </w:pPr>
            <w:r>
              <w:rPr>
                <w:rFonts w:ascii="Arial" w:cs="Arial" w:eastAsia="Arial" w:hAnsi="Arial"/>
                <w:color w:val="14201C"/>
                <w:sz w:val="18"/>
                <w:szCs w:val="18"/>
              </w:rPr>
              <w:t xml:space="preserve">20%</w:t>
            </w:r>
          </w:p>
        </w:tc>
        <w:tc>
          <w:tcPr>
            <w:tcW w:type="dxa" w:w="4180"/>
            <w:tcMar>
              <w:top w:type="dxa" w:w="80"/>
              <w:left w:type="dxa" w:w="120"/>
              <w:bottom w:type="dxa" w:w="80"/>
              <w:right w:type="dxa" w:w="120"/>
            </w:tcMar>
          </w:tcPr>
          <w:p>
            <w:pPr>
              <w:spacing w:after="0" w:line="264"/>
            </w:pPr>
            <w:r>
              <w:rPr>
                <w:rFonts w:ascii="Arial" w:cs="Arial" w:eastAsia="Arial" w:hAnsi="Arial"/>
                <w:color w:val="14201C"/>
                <w:sz w:val="18"/>
                <w:szCs w:val="18"/>
              </w:rPr>
              <w:t xml:space="preserve">Prior findings and amended returns for this taxpayer.</w:t>
            </w:r>
          </w:p>
        </w:tc>
        <w:tc>
          <w:tcPr>
            <w:tcW w:type="dxa" w:w="3500"/>
            <w:tcMar>
              <w:top w:type="dxa" w:w="80"/>
              <w:left w:type="dxa" w:w="120"/>
              <w:bottom w:type="dxa" w:w="80"/>
              <w:right w:type="dxa" w:w="120"/>
            </w:tcMar>
          </w:tcPr>
          <w:p>
            <w:pPr>
              <w:spacing w:after="0" w:line="264"/>
            </w:pPr>
            <w:r>
              <w:rPr>
                <w:rFonts w:ascii="Arial" w:cs="Arial" w:eastAsia="Arial" w:hAnsi="Arial"/>
                <w:color w:val="14201C"/>
                <w:sz w:val="18"/>
                <w:szCs w:val="18"/>
              </w:rPr>
              <w:t xml:space="preserve">0.5 per finding + 0.25 per amendment, capped</w:t>
            </w:r>
          </w:p>
        </w:tc>
      </w:tr>
      <w:tr>
        <w:tc>
          <w:tcPr>
            <w:tcW w:type="dxa" w:w="1500"/>
            <w:tcMar>
              <w:top w:type="dxa" w:w="80"/>
              <w:left w:type="dxa" w:w="120"/>
              <w:bottom w:type="dxa" w:w="80"/>
              <w:right w:type="dxa" w:w="120"/>
            </w:tcMar>
          </w:tcPr>
          <w:p>
            <w:pPr>
              <w:spacing w:after="0" w:line="264"/>
            </w:pPr>
            <w:r>
              <w:rPr>
                <w:rFonts w:ascii="Arial" w:cs="Arial" w:eastAsia="Arial" w:hAnsi="Arial"/>
                <w:b/>
                <w:bCs/>
                <w:color w:val="14201C"/>
                <w:sz w:val="18"/>
                <w:szCs w:val="18"/>
              </w:rPr>
              <w:t xml:space="preserve">Quick win</w:t>
            </w:r>
          </w:p>
        </w:tc>
        <w:tc>
          <w:tcPr>
            <w:tcW w:type="dxa" w:w="900"/>
            <w:tcMar>
              <w:top w:type="dxa" w:w="80"/>
              <w:left w:type="dxa" w:w="120"/>
              <w:bottom w:type="dxa" w:w="80"/>
              <w:right w:type="dxa" w:w="120"/>
            </w:tcMar>
          </w:tcPr>
          <w:p>
            <w:pPr>
              <w:spacing w:after="0" w:line="264"/>
            </w:pPr>
            <w:r>
              <w:rPr>
                <w:rFonts w:ascii="Arial" w:cs="Arial" w:eastAsia="Arial" w:hAnsi="Arial"/>
                <w:color w:val="14201C"/>
                <w:sz w:val="18"/>
                <w:szCs w:val="18"/>
              </w:rPr>
              <w:t xml:space="preserve">10%</w:t>
            </w:r>
          </w:p>
        </w:tc>
        <w:tc>
          <w:tcPr>
            <w:tcW w:type="dxa" w:w="4180"/>
            <w:tcMar>
              <w:top w:type="dxa" w:w="80"/>
              <w:left w:type="dxa" w:w="120"/>
              <w:bottom w:type="dxa" w:w="80"/>
              <w:right w:type="dxa" w:w="120"/>
            </w:tcMar>
          </w:tcPr>
          <w:p>
            <w:pPr>
              <w:spacing w:after="0" w:line="264"/>
            </w:pPr>
            <w:r>
              <w:rPr>
                <w:rFonts w:ascii="Arial" w:cs="Arial" w:eastAsia="Arial" w:hAnsi="Arial"/>
                <w:color w:val="14201C"/>
                <w:sz w:val="18"/>
                <w:szCs w:val="18"/>
              </w:rPr>
              <w:t xml:space="preserve">How much of the difference the bridge already explains.</w:t>
            </w:r>
          </w:p>
        </w:tc>
        <w:tc>
          <w:tcPr>
            <w:tcW w:type="dxa" w:w="3500"/>
            <w:tcMar>
              <w:top w:type="dxa" w:w="80"/>
              <w:left w:type="dxa" w:w="120"/>
              <w:bottom w:type="dxa" w:w="80"/>
              <w:right w:type="dxa" w:w="120"/>
            </w:tcMar>
          </w:tcPr>
          <w:p>
            <w:pPr>
              <w:spacing w:after="0" w:line="264"/>
            </w:pPr>
            <w:r>
              <w:rPr>
                <w:rFonts w:ascii="Arial" w:cs="Arial" w:eastAsia="Arial" w:hAnsi="Arial"/>
                <w:color w:val="14201C"/>
                <w:sz w:val="18"/>
                <w:szCs w:val="18"/>
              </w:rPr>
              <w:t xml:space="preserve">Already a 0–1 fraction</w:t>
            </w:r>
          </w:p>
        </w:tc>
      </w:tr>
    </w:tbl>
    <w:p>
      <w:pPr>
        <w:spacing w:after="80"/>
      </w:pPr>
    </w:p>
    <w:p>
      <w:pPr>
        <w:spacing w:after="120" w:line="276"/>
      </w:pPr>
      <w:r>
        <w:rPr>
          <w:rFonts w:ascii="Arial" w:cs="Arial" w:eastAsia="Arial" w:hAnsi="Arial"/>
          <w:color w:val="14201C"/>
          <w:sz w:val="20"/>
          <w:szCs w:val="20"/>
        </w:rPr>
        <w:t xml:space="preserve">Scores of 60 and above band as High, 35–59 as Medium, below 35 as Low. Each row shows the single strongest driver — "SAR 75,000 at stake", "due in 12 days", "1 prior finding" — so the ordering is legible rather than a black box.</w:t>
      </w:r>
    </w:p>
    <w:p>
      <w:pPr>
        <w:pStyle w:val="Heading2"/>
        <w:spacing w:after="140" w:before="280"/>
      </w:pPr>
      <w:r>
        <w:rPr>
          <w:rFonts w:ascii="Arial" w:cs="Arial" w:eastAsia="Arial" w:hAnsi="Arial"/>
          <w:b/>
          <w:bCs/>
          <w:color w:val="0A4C40"/>
          <w:sz w:val="24"/>
          <w:szCs w:val="24"/>
        </w:rPr>
        <w:t xml:space="preserve">2.2 The reconciliation bridge</w:t>
      </w:r>
    </w:p>
    <w:p>
      <w:pPr>
        <w:spacing w:after="120" w:line="276"/>
      </w:pPr>
      <w:r>
        <w:rPr>
          <w:rFonts w:ascii="Arial" w:cs="Arial" w:eastAsia="Arial" w:hAnsi="Arial"/>
          <w:color w:val="14201C"/>
          <w:sz w:val="20"/>
          <w:szCs w:val="20"/>
        </w:rPr>
        <w:t xml:space="preserve">Opening a case shows the taxpayer brief, four figures — declared, difference before qualification, share explained, residual — and then the bridge itself: a waterfall from the reconstructed baseline, through each rule that moved an amount, down to what the taxpayer declared and the residual that remains.</w:t>
      </w:r>
    </w:p>
    <w:p>
      <w:pPr>
        <w:spacing w:after="120" w:line="276"/>
      </w:pPr>
      <w:r>
        <w:rPr>
          <w:rFonts w:ascii="Arial" w:cs="Arial" w:eastAsia="Arial" w:hAnsi="Arial"/>
          <w:color w:val="14201C"/>
          <w:sz w:val="20"/>
          <w:szCs w:val="20"/>
        </w:rPr>
        <w:t xml:space="preserve">Every row is clickable. Behind each one sits the exact list of invoices that produced it, the rule that authorised the movement, its reason code, and the computation. An auditor can go from a headline figure to the underlying documents in two clicks, which is the difference between a number they can defend and one they must simply trust.</w:t>
      </w:r>
    </w:p>
    <w:p>
      <w:pPr>
        <w:spacing w:after="120" w:line="276"/>
      </w:pPr>
      <w:r>
        <w:rPr>
          <w:rFonts w:ascii="Arial" w:cs="Arial" w:eastAsia="Arial" w:hAnsi="Arial"/>
          <w:color w:val="14201C"/>
          <w:sz w:val="20"/>
          <w:szCs w:val="20"/>
        </w:rPr>
        <w:t xml:space="preserve">Output VAT and input VAT are reconciled as separate bridges, because the revenue risk runs in opposite directions: on sales the risk is under-declaration, on purchases it is an over-claim of recoverable input tax. The case verdict combines both.</w:t>
      </w:r>
    </w:p>
    <w:p>
      <w:pPr>
        <w:pStyle w:val="Heading2"/>
        <w:spacing w:after="140" w:before="280"/>
      </w:pPr>
      <w:r>
        <w:rPr>
          <w:rFonts w:ascii="Arial" w:cs="Arial" w:eastAsia="Arial" w:hAnsi="Arial"/>
          <w:b/>
          <w:bCs/>
          <w:color w:val="0A4C40"/>
          <w:sz w:val="24"/>
          <w:szCs w:val="24"/>
        </w:rPr>
        <w:t xml:space="preserve">2.3 The rulebook</w:t>
      </w:r>
    </w:p>
    <w:p>
      <w:pPr>
        <w:spacing w:after="120" w:line="276"/>
      </w:pPr>
      <w:r>
        <w:rPr>
          <w:rFonts w:ascii="Arial" w:cs="Arial" w:eastAsia="Arial" w:hAnsi="Arial"/>
          <w:color w:val="14201C"/>
          <w:sz w:val="20"/>
          <w:szCs w:val="20"/>
        </w:rPr>
        <w:t xml:space="preserve">The rulebook holds 65 catalogued VAT mistakes across six families. Its most important property is that the 65 entries are not one kind of object. Treating them as one was the single biggest source of confusion in the earlier design:</w:t>
      </w:r>
    </w:p>
    <w:p>
      <w:pPr>
        <w:spacing w:after="60"/>
      </w:pPr>
    </w:p>
    <w:tbl>
      <w:tblPr>
        <w:tblW w:type="dxa" w:w="10080"/>
        <w:tblBorders>
          <w:top w:val="single" w:color="DCE6E0" w:sz="2"/>
          <w:left w:val="single" w:color="DCE6E0" w:sz="2"/>
          <w:bottom w:val="single" w:color="DCE6E0" w:sz="2"/>
          <w:right w:val="single" w:color="DCE6E0" w:sz="2"/>
          <w:insideH w:val="single" w:color="DCE6E0" w:sz="2"/>
          <w:insideV w:val="single" w:color="DCE6E0" w:sz="2"/>
        </w:tblBorders>
      </w:tblPr>
      <w:tblGrid>
        <w:gridCol w:w="1500"/>
        <w:gridCol w:w="800"/>
        <w:gridCol w:w="4180"/>
        <w:gridCol w:w="3600"/>
      </w:tblGrid>
      <w:tr>
        <w:trPr>
          <w:tblHeader/>
        </w:trPr>
        <w:tc>
          <w:tcPr>
            <w:tcW w:type="dxa" w:w="1500"/>
            <w:shd w:fill="0E6B57" w:color="auto" w:val="clear"/>
            <w:tcMar>
              <w:top w:type="dxa" w:w="80"/>
              <w:left w:type="dxa" w:w="120"/>
              <w:bottom w:type="dxa" w:w="80"/>
              <w:right w:type="dxa" w:w="120"/>
            </w:tcMar>
          </w:tcPr>
          <w:p>
            <w:pPr>
              <w:spacing w:after="0" w:line="264"/>
            </w:pPr>
            <w:r>
              <w:rPr>
                <w:rFonts w:ascii="Arial" w:cs="Arial" w:eastAsia="Arial" w:hAnsi="Arial"/>
                <w:b/>
                <w:bCs/>
                <w:color w:val="FFFFFF"/>
                <w:sz w:val="18"/>
                <w:szCs w:val="18"/>
              </w:rPr>
              <w:t xml:space="preserve">Kind</w:t>
            </w:r>
          </w:p>
        </w:tc>
        <w:tc>
          <w:tcPr>
            <w:tcW w:type="dxa" w:w="800"/>
            <w:shd w:fill="0E6B57" w:color="auto" w:val="clear"/>
            <w:tcMar>
              <w:top w:type="dxa" w:w="80"/>
              <w:left w:type="dxa" w:w="120"/>
              <w:bottom w:type="dxa" w:w="80"/>
              <w:right w:type="dxa" w:w="120"/>
            </w:tcMar>
          </w:tcPr>
          <w:p>
            <w:pPr>
              <w:spacing w:after="0" w:line="264"/>
            </w:pPr>
            <w:r>
              <w:rPr>
                <w:rFonts w:ascii="Arial" w:cs="Arial" w:eastAsia="Arial" w:hAnsi="Arial"/>
                <w:b/>
                <w:bCs/>
                <w:color w:val="FFFFFF"/>
                <w:sz w:val="18"/>
                <w:szCs w:val="18"/>
              </w:rPr>
              <w:t xml:space="preserve">Count</w:t>
            </w:r>
          </w:p>
        </w:tc>
        <w:tc>
          <w:tcPr>
            <w:tcW w:type="dxa" w:w="4180"/>
            <w:shd w:fill="0E6B57" w:color="auto" w:val="clear"/>
            <w:tcMar>
              <w:top w:type="dxa" w:w="80"/>
              <w:left w:type="dxa" w:w="120"/>
              <w:bottom w:type="dxa" w:w="80"/>
              <w:right w:type="dxa" w:w="120"/>
            </w:tcMar>
          </w:tcPr>
          <w:p>
            <w:pPr>
              <w:spacing w:after="0" w:line="264"/>
            </w:pPr>
            <w:r>
              <w:rPr>
                <w:rFonts w:ascii="Arial" w:cs="Arial" w:eastAsia="Arial" w:hAnsi="Arial"/>
                <w:b/>
                <w:bCs/>
                <w:color w:val="FFFFFF"/>
                <w:sz w:val="18"/>
                <w:szCs w:val="18"/>
              </w:rPr>
              <w:t xml:space="preserve">What it is</w:t>
            </w:r>
          </w:p>
        </w:tc>
        <w:tc>
          <w:tcPr>
            <w:tcW w:type="dxa" w:w="3600"/>
            <w:shd w:fill="0E6B57" w:color="auto" w:val="clear"/>
            <w:tcMar>
              <w:top w:type="dxa" w:w="80"/>
              <w:left w:type="dxa" w:w="120"/>
              <w:bottom w:type="dxa" w:w="80"/>
              <w:right w:type="dxa" w:w="120"/>
            </w:tcMar>
          </w:tcPr>
          <w:p>
            <w:pPr>
              <w:spacing w:after="0" w:line="264"/>
            </w:pPr>
            <w:r>
              <w:rPr>
                <w:rFonts w:ascii="Arial" w:cs="Arial" w:eastAsia="Arial" w:hAnsi="Arial"/>
                <w:b/>
                <w:bCs/>
                <w:color w:val="FFFFFF"/>
                <w:sz w:val="18"/>
                <w:szCs w:val="18"/>
              </w:rPr>
              <w:t xml:space="preserve">What the engine does with it</w:t>
            </w:r>
          </w:p>
        </w:tc>
      </w:tr>
      <w:tr>
        <w:tc>
          <w:tcPr>
            <w:tcW w:type="dxa" w:w="1500"/>
            <w:tcMar>
              <w:top w:type="dxa" w:w="80"/>
              <w:left w:type="dxa" w:w="120"/>
              <w:bottom w:type="dxa" w:w="80"/>
              <w:right w:type="dxa" w:w="120"/>
            </w:tcMar>
          </w:tcPr>
          <w:p>
            <w:pPr>
              <w:spacing w:after="0" w:line="264"/>
            </w:pPr>
            <w:r>
              <w:rPr>
                <w:rFonts w:ascii="Arial" w:cs="Arial" w:eastAsia="Arial" w:hAnsi="Arial"/>
                <w:b/>
                <w:bCs/>
                <w:color w:val="14201C"/>
                <w:sz w:val="18"/>
                <w:szCs w:val="18"/>
              </w:rPr>
              <w:t xml:space="preserve">Explanation</w:t>
            </w:r>
          </w:p>
        </w:tc>
        <w:tc>
          <w:tcPr>
            <w:tcW w:type="dxa" w:w="800"/>
            <w:tcMar>
              <w:top w:type="dxa" w:w="80"/>
              <w:left w:type="dxa" w:w="120"/>
              <w:bottom w:type="dxa" w:w="80"/>
              <w:right w:type="dxa" w:w="120"/>
            </w:tcMar>
          </w:tcPr>
          <w:p>
            <w:pPr>
              <w:spacing w:after="0" w:line="264"/>
            </w:pPr>
            <w:r>
              <w:rPr>
                <w:rFonts w:ascii="Arial" w:cs="Arial" w:eastAsia="Arial" w:hAnsi="Arial"/>
                <w:color w:val="14201C"/>
                <w:sz w:val="18"/>
                <w:szCs w:val="18"/>
              </w:rPr>
              <w:t xml:space="preserve">5</w:t>
            </w:r>
          </w:p>
        </w:tc>
        <w:tc>
          <w:tcPr>
            <w:tcW w:type="dxa" w:w="4180"/>
            <w:tcMar>
              <w:top w:type="dxa" w:w="80"/>
              <w:left w:type="dxa" w:w="120"/>
              <w:bottom w:type="dxa" w:w="80"/>
              <w:right w:type="dxa" w:w="120"/>
            </w:tcMar>
          </w:tcPr>
          <w:p>
            <w:pPr>
              <w:spacing w:after="0" w:line="264"/>
            </w:pPr>
            <w:r>
              <w:rPr>
                <w:rFonts w:ascii="Arial" w:cs="Arial" w:eastAsia="Arial" w:hAnsi="Arial"/>
                <w:color w:val="14201C"/>
                <w:sz w:val="18"/>
                <w:szCs w:val="18"/>
              </w:rPr>
              <w:t xml:space="preserve">A legitimate reason the return differs from the e-invoices — credit notes, tax-point timing, transmission lag.</w:t>
            </w:r>
          </w:p>
        </w:tc>
        <w:tc>
          <w:tcPr>
            <w:tcW w:type="dxa" w:w="3600"/>
            <w:tcMar>
              <w:top w:type="dxa" w:w="80"/>
              <w:left w:type="dxa" w:w="120"/>
              <w:bottom w:type="dxa" w:w="80"/>
              <w:right w:type="dxa" w:w="120"/>
            </w:tcMar>
          </w:tcPr>
          <w:p>
            <w:pPr>
              <w:spacing w:after="0" w:line="264"/>
            </w:pPr>
            <w:r>
              <w:rPr>
                <w:rFonts w:ascii="Arial" w:cs="Arial" w:eastAsia="Arial" w:hAnsi="Arial"/>
                <w:color w:val="14201C"/>
                <w:sz w:val="18"/>
                <w:szCs w:val="18"/>
              </w:rPr>
              <w:t xml:space="preserve">Becomes a qualification rule; changes the expected return</w:t>
            </w:r>
          </w:p>
        </w:tc>
      </w:tr>
      <w:tr>
        <w:tc>
          <w:tcPr>
            <w:tcW w:type="dxa" w:w="1500"/>
            <w:tcMar>
              <w:top w:type="dxa" w:w="80"/>
              <w:left w:type="dxa" w:w="120"/>
              <w:bottom w:type="dxa" w:w="80"/>
              <w:right w:type="dxa" w:w="120"/>
            </w:tcMar>
          </w:tcPr>
          <w:p>
            <w:pPr>
              <w:spacing w:after="0" w:line="264"/>
            </w:pPr>
            <w:r>
              <w:rPr>
                <w:rFonts w:ascii="Arial" w:cs="Arial" w:eastAsia="Arial" w:hAnsi="Arial"/>
                <w:b/>
                <w:bCs/>
                <w:color w:val="14201C"/>
                <w:sz w:val="18"/>
                <w:szCs w:val="18"/>
              </w:rPr>
              <w:t xml:space="preserve">Mistake</w:t>
            </w:r>
          </w:p>
        </w:tc>
        <w:tc>
          <w:tcPr>
            <w:tcW w:type="dxa" w:w="800"/>
            <w:tcMar>
              <w:top w:type="dxa" w:w="80"/>
              <w:left w:type="dxa" w:w="120"/>
              <w:bottom w:type="dxa" w:w="80"/>
              <w:right w:type="dxa" w:w="120"/>
            </w:tcMar>
          </w:tcPr>
          <w:p>
            <w:pPr>
              <w:spacing w:after="0" w:line="264"/>
            </w:pPr>
            <w:r>
              <w:rPr>
                <w:rFonts w:ascii="Arial" w:cs="Arial" w:eastAsia="Arial" w:hAnsi="Arial"/>
                <w:color w:val="14201C"/>
                <w:sz w:val="18"/>
                <w:szCs w:val="18"/>
              </w:rPr>
              <w:t xml:space="preserve">48</w:t>
            </w:r>
          </w:p>
        </w:tc>
        <w:tc>
          <w:tcPr>
            <w:tcW w:type="dxa" w:w="4180"/>
            <w:tcMar>
              <w:top w:type="dxa" w:w="80"/>
              <w:left w:type="dxa" w:w="120"/>
              <w:bottom w:type="dxa" w:w="80"/>
              <w:right w:type="dxa" w:w="120"/>
            </w:tcMar>
          </w:tcPr>
          <w:p>
            <w:pPr>
              <w:spacing w:after="0" w:line="264"/>
            </w:pPr>
            <w:r>
              <w:rPr>
                <w:rFonts w:ascii="Arial" w:cs="Arial" w:eastAsia="Arial" w:hAnsi="Arial"/>
                <w:color w:val="14201C"/>
                <w:sz w:val="18"/>
                <w:szCs w:val="18"/>
              </w:rPr>
              <w:t xml:space="preserve">A taxpayer error.</w:t>
            </w:r>
          </w:p>
        </w:tc>
        <w:tc>
          <w:tcPr>
            <w:tcW w:type="dxa" w:w="3600"/>
            <w:tcMar>
              <w:top w:type="dxa" w:w="80"/>
              <w:left w:type="dxa" w:w="120"/>
              <w:bottom w:type="dxa" w:w="80"/>
              <w:right w:type="dxa" w:w="120"/>
            </w:tcMar>
          </w:tcPr>
          <w:p>
            <w:pPr>
              <w:spacing w:after="0" w:line="264"/>
            </w:pPr>
            <w:r>
              <w:rPr>
                <w:rFonts w:ascii="Arial" w:cs="Arial" w:eastAsia="Arial" w:hAnsi="Arial"/>
                <w:color w:val="14201C"/>
                <w:sz w:val="18"/>
                <w:szCs w:val="18"/>
              </w:rPr>
              <w:t xml:space="preserve">Becomes a finding, quantified against the residual</w:t>
            </w:r>
          </w:p>
        </w:tc>
      </w:tr>
      <w:tr>
        <w:tc>
          <w:tcPr>
            <w:tcW w:type="dxa" w:w="1500"/>
            <w:tcMar>
              <w:top w:type="dxa" w:w="80"/>
              <w:left w:type="dxa" w:w="120"/>
              <w:bottom w:type="dxa" w:w="80"/>
              <w:right w:type="dxa" w:w="120"/>
            </w:tcMar>
          </w:tcPr>
          <w:p>
            <w:pPr>
              <w:spacing w:after="0" w:line="264"/>
            </w:pPr>
            <w:r>
              <w:rPr>
                <w:rFonts w:ascii="Arial" w:cs="Arial" w:eastAsia="Arial" w:hAnsi="Arial"/>
                <w:b/>
                <w:bCs/>
                <w:color w:val="14201C"/>
                <w:sz w:val="18"/>
                <w:szCs w:val="18"/>
              </w:rPr>
              <w:t xml:space="preserve">Risk</w:t>
            </w:r>
          </w:p>
        </w:tc>
        <w:tc>
          <w:tcPr>
            <w:tcW w:type="dxa" w:w="800"/>
            <w:tcMar>
              <w:top w:type="dxa" w:w="80"/>
              <w:left w:type="dxa" w:w="120"/>
              <w:bottom w:type="dxa" w:w="80"/>
              <w:right w:type="dxa" w:w="120"/>
            </w:tcMar>
          </w:tcPr>
          <w:p>
            <w:pPr>
              <w:spacing w:after="0" w:line="264"/>
            </w:pPr>
            <w:r>
              <w:rPr>
                <w:rFonts w:ascii="Arial" w:cs="Arial" w:eastAsia="Arial" w:hAnsi="Arial"/>
                <w:color w:val="14201C"/>
                <w:sz w:val="18"/>
                <w:szCs w:val="18"/>
              </w:rPr>
              <w:t xml:space="preserve">12</w:t>
            </w:r>
          </w:p>
        </w:tc>
        <w:tc>
          <w:tcPr>
            <w:tcW w:type="dxa" w:w="4180"/>
            <w:tcMar>
              <w:top w:type="dxa" w:w="80"/>
              <w:left w:type="dxa" w:w="120"/>
              <w:bottom w:type="dxa" w:w="80"/>
              <w:right w:type="dxa" w:w="120"/>
            </w:tcMar>
          </w:tcPr>
          <w:p>
            <w:pPr>
              <w:spacing w:after="0" w:line="264"/>
            </w:pPr>
            <w:r>
              <w:rPr>
                <w:rFonts w:ascii="Arial" w:cs="Arial" w:eastAsia="Arial" w:hAnsi="Arial"/>
                <w:color w:val="14201C"/>
                <w:sz w:val="18"/>
                <w:szCs w:val="18"/>
              </w:rPr>
              <w:t xml:space="preserve">A behavioural or data-quality signal — late filing, rounding drift, broken filing continuity.</w:t>
            </w:r>
          </w:p>
        </w:tc>
        <w:tc>
          <w:tcPr>
            <w:tcW w:type="dxa" w:w="3600"/>
            <w:tcMar>
              <w:top w:type="dxa" w:w="80"/>
              <w:left w:type="dxa" w:w="120"/>
              <w:bottom w:type="dxa" w:w="80"/>
              <w:right w:type="dxa" w:w="120"/>
            </w:tcMar>
          </w:tcPr>
          <w:p>
            <w:pPr>
              <w:spacing w:after="0" w:line="264"/>
            </w:pPr>
            <w:r>
              <w:rPr>
                <w:rFonts w:ascii="Arial" w:cs="Arial" w:eastAsia="Arial" w:hAnsi="Arial"/>
                <w:color w:val="14201C"/>
                <w:sz w:val="18"/>
                <w:szCs w:val="18"/>
              </w:rPr>
              <w:t xml:space="preserve">Feeds prioritisation only; never draws a bridge line</w:t>
            </w:r>
          </w:p>
        </w:tc>
      </w:tr>
    </w:tbl>
    <w:p>
      <w:pPr>
        <w:spacing w:after="80"/>
      </w:pPr>
    </w:p>
    <w:p>
      <w:pPr>
        <w:spacing w:after="120" w:line="276"/>
      </w:pPr>
      <w:r>
        <w:rPr>
          <w:rFonts w:ascii="Arial" w:cs="Arial" w:eastAsia="Arial" w:hAnsi="Arial"/>
          <w:color w:val="14201C"/>
          <w:sz w:val="20"/>
          <w:szCs w:val="20"/>
        </w:rPr>
        <w:t xml:space="preserve">Each rule also carries a stage — its place in the evaluation precedence — and a reason code drawn from a 44-entry taxonomy of timing, scope, document, accounting and risk differences. Reason codes describe the phenomenon; the kind carries the verdict. A scope code on a mistake rule means "this is about imports", not "this is acceptable".</w:t>
      </w:r>
    </w:p>
    <w:p>
      <w:pPr>
        <w:spacing w:after="120" w:line="276"/>
      </w:pPr>
      <w:r>
        <w:rPr>
          <w:rFonts w:ascii="Arial" w:cs="Arial" w:eastAsia="Arial" w:hAnsi="Arial"/>
          <w:color w:val="14201C"/>
          <w:sz w:val="20"/>
          <w:szCs w:val="20"/>
        </w:rPr>
        <w:t xml:space="preserve">Rules can be toggled or deleted in the interface, and the bridge recomputes immediately. Disabling the credit-note rule on the headline case moves the residual from SAR 75,000 to SAR 380,000 in front of the auditor. Four rules are currently wired into the live engine and badged accordingly; the remaining 61 are catalogued, and the badge is served from the engine's own registry so the two cannot drift apart.</w:t>
      </w:r>
    </w:p>
    <w:p>
      <w:pPr>
        <w:pStyle w:val="Heading2"/>
        <w:spacing w:after="140" w:before="280"/>
      </w:pPr>
      <w:r>
        <w:rPr>
          <w:rFonts w:ascii="Arial" w:cs="Arial" w:eastAsia="Arial" w:hAnsi="Arial"/>
          <w:b/>
          <w:bCs/>
          <w:color w:val="0A4C40"/>
          <w:sz w:val="24"/>
          <w:szCs w:val="24"/>
        </w:rPr>
        <w:t xml:space="preserve">2.4 The taxpayer response loop</w:t>
      </w:r>
    </w:p>
    <w:p>
      <w:pPr>
        <w:spacing w:after="120" w:line="276"/>
      </w:pPr>
      <w:r>
        <w:rPr>
          <w:rFonts w:ascii="Arial" w:cs="Arial" w:eastAsia="Arial" w:hAnsi="Arial"/>
          <w:color w:val="14201C"/>
          <w:sz w:val="20"/>
          <w:szCs w:val="20"/>
        </w:rPr>
        <w:t xml:space="preserve">When evidence arrives from the taxpayer, the auditor records what it accounts for and the case regenerates. The recorded amount is auditor-confirmed, never model-generated — this is the one place a figure enters the system by hand, and it is deliberately a human act.</w:t>
      </w:r>
    </w:p>
    <w:p>
      <w:pPr>
        <w:spacing w:after="120" w:line="276"/>
      </w:pPr>
      <w:r>
        <w:rPr>
          <w:rFonts w:ascii="Arial" w:cs="Arial" w:eastAsia="Arial" w:hAnsi="Arial"/>
          <w:color w:val="14201C"/>
          <w:sz w:val="20"/>
          <w:szCs w:val="20"/>
        </w:rPr>
        <w:t xml:space="preserve">A model does assist here: pasting a taxpayer letter produces a drafted summary and the amount the letter itself states, presented as a draft for the auditor to confirm or edit before anything is committed. With no model configured the panel says so plainly rather than inventing an extraction.</w:t>
      </w:r>
    </w:p>
    <w:p>
      <w:pPr>
        <w:pStyle w:val="Heading2"/>
        <w:spacing w:after="140" w:before="280"/>
      </w:pPr>
      <w:r>
        <w:rPr>
          <w:rFonts w:ascii="Arial" w:cs="Arial" w:eastAsia="Arial" w:hAnsi="Arial"/>
          <w:b/>
          <w:bCs/>
          <w:color w:val="0A4C40"/>
          <w:sz w:val="24"/>
          <w:szCs w:val="24"/>
        </w:rPr>
        <w:t xml:space="preserve">2.5 Next best action and the draft report</w:t>
      </w:r>
    </w:p>
    <w:p>
      <w:pPr>
        <w:spacing w:after="120" w:line="276"/>
      </w:pPr>
      <w:r>
        <w:rPr>
          <w:rFonts w:ascii="Arial" w:cs="Arial" w:eastAsia="Arial" w:hAnsi="Arial"/>
          <w:color w:val="14201C"/>
          <w:sz w:val="20"/>
          <w:szCs w:val="20"/>
        </w:rPr>
        <w:t xml:space="preserve">The recommendation is framed around minimising contact. Where the reconstructed position reconciles within materiality, the action is to close the case as supported. Where a residual survives, the action is the single most economical evidence request that would resolve it — and where the investigation has identified a cause, the request is shaped by that cause. A confirmed decimal slip produces "ask the taxpayer to confirm the figure in this box", not a demand for a full sales ledger.</w:t>
      </w:r>
    </w:p>
    <w:p>
      <w:pPr>
        <w:spacing w:after="120" w:line="276"/>
      </w:pPr>
      <w:r>
        <w:rPr>
          <w:rFonts w:ascii="Arial" w:cs="Arial" w:eastAsia="Arial" w:hAnsi="Arial"/>
          <w:color w:val="14201C"/>
          <w:sz w:val="20"/>
          <w:szCs w:val="20"/>
        </w:rPr>
        <w:t xml:space="preserve">The draft report assembles the case summary, the reconstruction and bridge, the residual and conclusion, and the recommended action. It is a draft for a human to approve, and it is labelled as such.</w:t>
      </w:r>
    </w:p>
    <w:p>
      <w:pPr>
        <w:pStyle w:val="Heading2"/>
        <w:spacing w:after="140" w:before="280"/>
      </w:pPr>
      <w:r>
        <w:rPr>
          <w:rFonts w:ascii="Arial" w:cs="Arial" w:eastAsia="Arial" w:hAnsi="Arial"/>
          <w:b/>
          <w:bCs/>
          <w:color w:val="0A4C40"/>
          <w:sz w:val="24"/>
          <w:szCs w:val="24"/>
        </w:rPr>
        <w:t xml:space="preserve">2.6 Scope, stated on screen</w:t>
      </w:r>
    </w:p>
    <w:p>
      <w:pPr>
        <w:spacing w:after="120" w:line="276"/>
      </w:pPr>
      <w:r>
        <w:rPr>
          <w:rFonts w:ascii="Arial" w:cs="Arial" w:eastAsia="Arial" w:hAnsi="Arial"/>
          <w:color w:val="14201C"/>
          <w:sz w:val="20"/>
          <w:szCs w:val="20"/>
        </w:rPr>
        <w:t xml:space="preserve">The Overview screen carries a scope card listing what the proof of concept reconciles and what it deliberately leaves out, with each exclusion tagged to the reason code that would carry it. This is a product decision as much as an engineering one: a stakeholder reading "imports (S04) — settled through customs, so no domestic supplier e-invoice exists to reconstruct from" understands a boundary, where silence would look like an oversight.</w:t>
      </w:r>
    </w:p>
    <w:p>
      <w:r>
        <w:br w:type="page"/>
      </w:r>
    </w:p>
    <w:p>
      <w:pPr>
        <w:pStyle w:val="Heading1"/>
        <w:spacing w:after="180" w:before="360"/>
      </w:pPr>
      <w:r>
        <w:rPr>
          <w:rFonts w:ascii="Arial" w:cs="Arial" w:eastAsia="Arial" w:hAnsi="Arial"/>
          <w:b/>
          <w:bCs/>
          <w:color w:val="0E6B57"/>
          <w:sz w:val="32"/>
          <w:szCs w:val="32"/>
        </w:rPr>
        <w:t xml:space="preserve">3. Technical solution</w:t>
      </w:r>
    </w:p>
    <w:p>
      <w:pPr>
        <w:pStyle w:val="Heading2"/>
        <w:spacing w:after="140" w:before="280"/>
      </w:pPr>
      <w:r>
        <w:rPr>
          <w:rFonts w:ascii="Arial" w:cs="Arial" w:eastAsia="Arial" w:hAnsi="Arial"/>
          <w:b/>
          <w:bCs/>
          <w:color w:val="0A4C40"/>
          <w:sz w:val="24"/>
          <w:szCs w:val="24"/>
        </w:rPr>
        <w:t xml:space="preserve">3.1 Why the rules run during aggregation</w:t>
      </w:r>
    </w:p>
    <w:p>
      <w:pPr>
        <w:spacing w:after="120" w:line="276"/>
      </w:pPr>
      <w:r>
        <w:rPr>
          <w:rFonts w:ascii="Arial" w:cs="Arial" w:eastAsia="Arial" w:hAnsi="Arial"/>
          <w:color w:val="14201C"/>
          <w:sz w:val="20"/>
          <w:szCs w:val="20"/>
        </w:rPr>
        <w:t xml:space="preserve">The engine does not sum the e-invoices and then adjust the total. It qualifies each line first and sums what survives. For the rules wired today both approaches happen to produce the same number, which is exactly why the flaw is easy to miss. It breaks in four places:</w:t>
      </w:r>
    </w:p>
    <w:p>
      <w:pPr>
        <w:pStyle w:val="ListParagraph"/>
        <w:numPr>
          <w:ilvl w:val="0"/>
          <w:numId w:val="2"/>
        </w:numPr>
        <w:spacing w:after="90" w:line="276"/>
      </w:pPr>
      <w:r>
        <w:rPr>
          <w:rFonts w:ascii="Arial" w:cs="Arial" w:eastAsia="Arial" w:hAnsi="Arial"/>
          <w:color w:val="14201C"/>
          <w:sz w:val="20"/>
          <w:szCs w:val="20"/>
        </w:rPr>
        <w:t xml:space="preserve">Period reassignment is not subtraction. A supply deferred to the next quarter must leave this one and arrive in the next. Subtracting it at the end of this period loses the arrival, so no multi-period view can ever balance.</w:t>
      </w:r>
    </w:p>
    <w:p>
      <w:pPr>
        <w:pStyle w:val="ListParagraph"/>
        <w:numPr>
          <w:ilvl w:val="0"/>
          <w:numId w:val="2"/>
        </w:numPr>
        <w:spacing w:after="90" w:line="276"/>
      </w:pPr>
      <w:r>
        <w:rPr>
          <w:rFonts w:ascii="Arial" w:cs="Arial" w:eastAsia="Arial" w:hAnsi="Arial"/>
          <w:color w:val="14201C"/>
          <w:sz w:val="20"/>
          <w:szCs w:val="20"/>
        </w:rPr>
        <w:t xml:space="preserve">A box move needs a source and a destination. A line miscoded as zero-rated has to move between boxes; a single total has nowhere to put it.</w:t>
      </w:r>
    </w:p>
    <w:p>
      <w:pPr>
        <w:pStyle w:val="ListParagraph"/>
        <w:numPr>
          <w:ilvl w:val="0"/>
          <w:numId w:val="2"/>
        </w:numPr>
        <w:spacing w:after="90" w:line="276"/>
      </w:pPr>
      <w:r>
        <w:rPr>
          <w:rFonts w:ascii="Arial" w:cs="Arial" w:eastAsia="Arial" w:hAnsi="Arial"/>
          <w:color w:val="14201C"/>
          <w:sz w:val="20"/>
          <w:szCs w:val="20"/>
        </w:rPr>
        <w:t xml:space="preserve">Precedence collapses. Applying a credit note before or after a period reassignment gives different answers, and a flat list of subtractions has no ordering semantics.</w:t>
      </w:r>
    </w:p>
    <w:p>
      <w:pPr>
        <w:pStyle w:val="ListParagraph"/>
        <w:numPr>
          <w:ilvl w:val="0"/>
          <w:numId w:val="2"/>
        </w:numPr>
        <w:spacing w:after="90" w:line="276"/>
      </w:pPr>
      <w:r>
        <w:rPr>
          <w:rFonts w:ascii="Arial" w:cs="Arial" w:eastAsia="Arial" w:hAnsi="Arial"/>
          <w:color w:val="14201C"/>
          <w:sz w:val="20"/>
          <w:szCs w:val="20"/>
        </w:rPr>
        <w:t xml:space="preserve">Double-counting becomes structurally possible. Two rules can act on the same credit-note set — the rulebook itself warns against double-adjusting. Qualification admits a line exactly once, so the error cannot occur.</w:t>
      </w:r>
    </w:p>
    <w:p>
      <w:pPr>
        <w:spacing w:after="120" w:line="276"/>
      </w:pPr>
      <w:r>
        <w:rPr>
          <w:rFonts w:ascii="Arial" w:cs="Arial" w:eastAsia="Arial" w:hAnsi="Arial"/>
          <w:color w:val="14201C"/>
          <w:sz w:val="20"/>
          <w:szCs w:val="20"/>
        </w:rPr>
        <w:t xml:space="preserve">There is a presentational cost to the old approach too. The headline case's "SAR 480,000 apparent gap" was largely an artefact of naive summation. Qualification-first produces an expected return of SAR 2,075,000 against SAR 2,000,000 declared — a SAR 75,000 difference from the outset, which is both more honest and a better demonstration.</w:t>
      </w:r>
    </w:p>
    <w:p>
      <w:pPr>
        <w:pStyle w:val="Heading2"/>
        <w:spacing w:after="140" w:before="280"/>
      </w:pPr>
      <w:r>
        <w:rPr>
          <w:rFonts w:ascii="Arial" w:cs="Arial" w:eastAsia="Arial" w:hAnsi="Arial"/>
          <w:b/>
          <w:bCs/>
          <w:color w:val="0A4C40"/>
          <w:sz w:val="24"/>
          <w:szCs w:val="24"/>
        </w:rPr>
        <w:t xml:space="preserve">3.2 The pipeline</w:t>
      </w:r>
    </w:p>
    <w:p>
      <w:pPr>
        <w:spacing w:after="120" w:line="276"/>
      </w:pPr>
      <w:r>
        <w:rPr>
          <w:rFonts w:ascii="Arial" w:cs="Arial" w:eastAsia="Arial" w:hAnsi="Arial"/>
          <w:color w:val="14201C"/>
          <w:sz w:val="20"/>
          <w:szCs w:val="20"/>
        </w:rPr>
        <w:t xml:space="preserve">The unit of computation is the tax-subtotal line — invoice × tax category × rate — not the invoice and not the box total. Each line is walked through the stages in order. A stage may admit, exclude or reassign the line, and every decision is recorded.</w:t>
      </w:r>
    </w:p>
    <w:p>
      <w:pPr>
        <w:spacing w:after="60"/>
      </w:pPr>
    </w:p>
    <w:tbl>
      <w:tblPr>
        <w:tblW w:type="dxa" w:w="10080"/>
        <w:tblBorders>
          <w:top w:val="single" w:color="DCE6E0" w:sz="2"/>
          <w:left w:val="single" w:color="DCE6E0" w:sz="2"/>
          <w:bottom w:val="single" w:color="DCE6E0" w:sz="2"/>
          <w:right w:val="single" w:color="DCE6E0" w:sz="2"/>
          <w:insideH w:val="single" w:color="DCE6E0" w:sz="2"/>
          <w:insideV w:val="single" w:color="DCE6E0" w:sz="2"/>
        </w:tblBorders>
      </w:tblPr>
      <w:tblGrid>
        <w:gridCol w:w="1700"/>
        <w:gridCol w:w="5580"/>
        <w:gridCol w:w="2800"/>
      </w:tblGrid>
      <w:tr>
        <w:trPr>
          <w:tblHeader/>
        </w:trPr>
        <w:tc>
          <w:tcPr>
            <w:tcW w:type="dxa" w:w="1700"/>
            <w:shd w:fill="0E6B57" w:color="auto" w:val="clear"/>
            <w:tcMar>
              <w:top w:type="dxa" w:w="80"/>
              <w:left w:type="dxa" w:w="120"/>
              <w:bottom w:type="dxa" w:w="80"/>
              <w:right w:type="dxa" w:w="120"/>
            </w:tcMar>
          </w:tcPr>
          <w:p>
            <w:pPr>
              <w:spacing w:after="0" w:line="264"/>
            </w:pPr>
            <w:r>
              <w:rPr>
                <w:rFonts w:ascii="Arial" w:cs="Arial" w:eastAsia="Arial" w:hAnsi="Arial"/>
                <w:b/>
                <w:bCs/>
                <w:color w:val="FFFFFF"/>
                <w:sz w:val="18"/>
                <w:szCs w:val="18"/>
              </w:rPr>
              <w:t xml:space="preserve">Stage</w:t>
            </w:r>
          </w:p>
        </w:tc>
        <w:tc>
          <w:tcPr>
            <w:tcW w:type="dxa" w:w="5580"/>
            <w:shd w:fill="0E6B57" w:color="auto" w:val="clear"/>
            <w:tcMar>
              <w:top w:type="dxa" w:w="80"/>
              <w:left w:type="dxa" w:w="120"/>
              <w:bottom w:type="dxa" w:w="80"/>
              <w:right w:type="dxa" w:w="120"/>
            </w:tcMar>
          </w:tcPr>
          <w:p>
            <w:pPr>
              <w:spacing w:after="0" w:line="264"/>
            </w:pPr>
            <w:r>
              <w:rPr>
                <w:rFonts w:ascii="Arial" w:cs="Arial" w:eastAsia="Arial" w:hAnsi="Arial"/>
                <w:b/>
                <w:bCs/>
                <w:color w:val="FFFFFF"/>
                <w:sz w:val="18"/>
                <w:szCs w:val="18"/>
              </w:rPr>
              <w:t xml:space="preserve">The question it answers</w:t>
            </w:r>
          </w:p>
        </w:tc>
        <w:tc>
          <w:tcPr>
            <w:tcW w:type="dxa" w:w="2800"/>
            <w:shd w:fill="0E6B57" w:color="auto" w:val="clear"/>
            <w:tcMar>
              <w:top w:type="dxa" w:w="80"/>
              <w:left w:type="dxa" w:w="120"/>
              <w:bottom w:type="dxa" w:w="80"/>
              <w:right w:type="dxa" w:w="120"/>
            </w:tcMar>
          </w:tcPr>
          <w:p>
            <w:pPr>
              <w:spacing w:after="0" w:line="264"/>
            </w:pPr>
            <w:r>
              <w:rPr>
                <w:rFonts w:ascii="Arial" w:cs="Arial" w:eastAsia="Arial" w:hAnsi="Arial"/>
                <w:b/>
                <w:bCs/>
                <w:color w:val="FFFFFF"/>
                <w:sz w:val="18"/>
                <w:szCs w:val="18"/>
              </w:rPr>
              <w:t xml:space="preserve">Actions available</w:t>
            </w:r>
          </w:p>
        </w:tc>
      </w:tr>
      <w:tr>
        <w:tc>
          <w:tcPr>
            <w:tcW w:type="dxa" w:w="1700"/>
            <w:tcMar>
              <w:top w:type="dxa" w:w="80"/>
              <w:left w:type="dxa" w:w="120"/>
              <w:bottom w:type="dxa" w:w="80"/>
              <w:right w:type="dxa" w:w="120"/>
            </w:tcMar>
          </w:tcPr>
          <w:p>
            <w:pPr>
              <w:spacing w:after="0" w:line="264"/>
            </w:pPr>
            <w:r>
              <w:rPr>
                <w:rFonts w:ascii="Arial" w:cs="Arial" w:eastAsia="Arial" w:hAnsi="Arial"/>
                <w:b/>
                <w:bCs/>
                <w:color w:val="14201C"/>
                <w:sz w:val="18"/>
                <w:szCs w:val="18"/>
              </w:rPr>
              <w:t xml:space="preserve">Population</w:t>
            </w:r>
          </w:p>
        </w:tc>
        <w:tc>
          <w:tcPr>
            <w:tcW w:type="dxa" w:w="5580"/>
            <w:tcMar>
              <w:top w:type="dxa" w:w="80"/>
              <w:left w:type="dxa" w:w="120"/>
              <w:bottom w:type="dxa" w:w="80"/>
              <w:right w:type="dxa" w:w="120"/>
            </w:tcMar>
          </w:tcPr>
          <w:p>
            <w:pPr>
              <w:spacing w:after="0" w:line="264"/>
            </w:pPr>
            <w:r>
              <w:rPr>
                <w:rFonts w:ascii="Arial" w:cs="Arial" w:eastAsia="Arial" w:hAnsi="Arial"/>
                <w:color w:val="14201C"/>
                <w:sz w:val="18"/>
                <w:szCs w:val="18"/>
              </w:rPr>
              <w:t xml:space="preserve">Is a Saudi e-invoice expected for this transaction at all?</w:t>
            </w:r>
          </w:p>
        </w:tc>
        <w:tc>
          <w:tcPr>
            <w:tcW w:type="dxa" w:w="2800"/>
            <w:tcMar>
              <w:top w:type="dxa" w:w="80"/>
              <w:left w:type="dxa" w:w="120"/>
              <w:bottom w:type="dxa" w:w="80"/>
              <w:right w:type="dxa" w:w="120"/>
            </w:tcMar>
          </w:tcPr>
          <w:p>
            <w:pPr>
              <w:spacing w:after="0" w:line="264"/>
            </w:pPr>
            <w:r>
              <w:rPr>
                <w:rFonts w:ascii="Arial" w:cs="Arial" w:eastAsia="Arial" w:hAnsi="Arial"/>
                <w:color w:val="14201C"/>
                <w:sz w:val="18"/>
                <w:szCs w:val="18"/>
              </w:rPr>
              <w:t xml:space="preserve">Exclude</w:t>
            </w:r>
          </w:p>
        </w:tc>
      </w:tr>
      <w:tr>
        <w:tc>
          <w:tcPr>
            <w:tcW w:type="dxa" w:w="1700"/>
            <w:tcMar>
              <w:top w:type="dxa" w:w="80"/>
              <w:left w:type="dxa" w:w="120"/>
              <w:bottom w:type="dxa" w:w="80"/>
              <w:right w:type="dxa" w:w="120"/>
            </w:tcMar>
          </w:tcPr>
          <w:p>
            <w:pPr>
              <w:spacing w:after="0" w:line="264"/>
            </w:pPr>
            <w:r>
              <w:rPr>
                <w:rFonts w:ascii="Arial" w:cs="Arial" w:eastAsia="Arial" w:hAnsi="Arial"/>
                <w:b/>
                <w:bCs/>
                <w:color w:val="14201C"/>
                <w:sz w:val="18"/>
                <w:szCs w:val="18"/>
              </w:rPr>
              <w:t xml:space="preserve">Identity</w:t>
            </w:r>
          </w:p>
        </w:tc>
        <w:tc>
          <w:tcPr>
            <w:tcW w:type="dxa" w:w="5580"/>
            <w:tcMar>
              <w:top w:type="dxa" w:w="80"/>
              <w:left w:type="dxa" w:w="120"/>
              <w:bottom w:type="dxa" w:w="80"/>
              <w:right w:type="dxa" w:w="120"/>
            </w:tcMar>
          </w:tcPr>
          <w:p>
            <w:pPr>
              <w:spacing w:after="0" w:line="264"/>
            </w:pPr>
            <w:r>
              <w:rPr>
                <w:rFonts w:ascii="Arial" w:cs="Arial" w:eastAsia="Arial" w:hAnsi="Arial"/>
                <w:color w:val="14201C"/>
                <w:sz w:val="18"/>
                <w:szCs w:val="18"/>
              </w:rPr>
              <w:t xml:space="preserve">Does it belong to this taxpayer, branch or tax group?</w:t>
            </w:r>
          </w:p>
        </w:tc>
        <w:tc>
          <w:tcPr>
            <w:tcW w:type="dxa" w:w="2800"/>
            <w:tcMar>
              <w:top w:type="dxa" w:w="80"/>
              <w:left w:type="dxa" w:w="120"/>
              <w:bottom w:type="dxa" w:w="80"/>
              <w:right w:type="dxa" w:w="120"/>
            </w:tcMar>
          </w:tcPr>
          <w:p>
            <w:pPr>
              <w:spacing w:after="0" w:line="264"/>
            </w:pPr>
            <w:r>
              <w:rPr>
                <w:rFonts w:ascii="Arial" w:cs="Arial" w:eastAsia="Arial" w:hAnsi="Arial"/>
                <w:color w:val="14201C"/>
                <w:sz w:val="18"/>
                <w:szCs w:val="18"/>
              </w:rPr>
              <w:t xml:space="preserve">Exclude, merge</w:t>
            </w:r>
          </w:p>
        </w:tc>
      </w:tr>
      <w:tr>
        <w:tc>
          <w:tcPr>
            <w:tcW w:type="dxa" w:w="1700"/>
            <w:tcMar>
              <w:top w:type="dxa" w:w="80"/>
              <w:left w:type="dxa" w:w="120"/>
              <w:bottom w:type="dxa" w:w="80"/>
              <w:right w:type="dxa" w:w="120"/>
            </w:tcMar>
          </w:tcPr>
          <w:p>
            <w:pPr>
              <w:spacing w:after="0" w:line="264"/>
            </w:pPr>
            <w:r>
              <w:rPr>
                <w:rFonts w:ascii="Arial" w:cs="Arial" w:eastAsia="Arial" w:hAnsi="Arial"/>
                <w:b/>
                <w:bCs/>
                <w:color w:val="14201C"/>
                <w:sz w:val="18"/>
                <w:szCs w:val="18"/>
              </w:rPr>
              <w:t xml:space="preserve">Status</w:t>
            </w:r>
          </w:p>
        </w:tc>
        <w:tc>
          <w:tcPr>
            <w:tcW w:type="dxa" w:w="5580"/>
            <w:tcMar>
              <w:top w:type="dxa" w:w="80"/>
              <w:left w:type="dxa" w:w="120"/>
              <w:bottom w:type="dxa" w:w="80"/>
              <w:right w:type="dxa" w:w="120"/>
            </w:tcMar>
          </w:tcPr>
          <w:p>
            <w:pPr>
              <w:spacing w:after="0" w:line="264"/>
            </w:pPr>
            <w:r>
              <w:rPr>
                <w:rFonts w:ascii="Arial" w:cs="Arial" w:eastAsia="Arial" w:hAnsi="Arial"/>
                <w:color w:val="14201C"/>
                <w:sz w:val="18"/>
                <w:szCs w:val="18"/>
              </w:rPr>
              <w:t xml:space="preserve">Is the document cleared, rejected, cancelled or superseded?</w:t>
            </w:r>
          </w:p>
        </w:tc>
        <w:tc>
          <w:tcPr>
            <w:tcW w:type="dxa" w:w="2800"/>
            <w:tcMar>
              <w:top w:type="dxa" w:w="80"/>
              <w:left w:type="dxa" w:w="120"/>
              <w:bottom w:type="dxa" w:w="80"/>
              <w:right w:type="dxa" w:w="120"/>
            </w:tcMar>
          </w:tcPr>
          <w:p>
            <w:pPr>
              <w:spacing w:after="0" w:line="264"/>
            </w:pPr>
            <w:r>
              <w:rPr>
                <w:rFonts w:ascii="Arial" w:cs="Arial" w:eastAsia="Arial" w:hAnsi="Arial"/>
                <w:color w:val="14201C"/>
                <w:sz w:val="18"/>
                <w:szCs w:val="18"/>
              </w:rPr>
              <w:t xml:space="preserve">Exclude, supersede</w:t>
            </w:r>
          </w:p>
        </w:tc>
      </w:tr>
      <w:tr>
        <w:tc>
          <w:tcPr>
            <w:tcW w:type="dxa" w:w="1700"/>
            <w:tcMar>
              <w:top w:type="dxa" w:w="80"/>
              <w:left w:type="dxa" w:w="120"/>
              <w:bottom w:type="dxa" w:w="80"/>
              <w:right w:type="dxa" w:w="120"/>
            </w:tcMar>
          </w:tcPr>
          <w:p>
            <w:pPr>
              <w:spacing w:after="0" w:line="264"/>
            </w:pPr>
            <w:r>
              <w:rPr>
                <w:rFonts w:ascii="Arial" w:cs="Arial" w:eastAsia="Arial" w:hAnsi="Arial"/>
                <w:b/>
                <w:bCs/>
                <w:color w:val="14201C"/>
                <w:sz w:val="18"/>
                <w:szCs w:val="18"/>
              </w:rPr>
              <w:t xml:space="preserve">Tax point</w:t>
            </w:r>
          </w:p>
        </w:tc>
        <w:tc>
          <w:tcPr>
            <w:tcW w:type="dxa" w:w="5580"/>
            <w:tcMar>
              <w:top w:type="dxa" w:w="80"/>
              <w:left w:type="dxa" w:w="120"/>
              <w:bottom w:type="dxa" w:w="80"/>
              <w:right w:type="dxa" w:w="120"/>
            </w:tcMar>
          </w:tcPr>
          <w:p>
            <w:pPr>
              <w:spacing w:after="0" w:line="264"/>
            </w:pPr>
            <w:r>
              <w:rPr>
                <w:rFonts w:ascii="Arial" w:cs="Arial" w:eastAsia="Arial" w:hAnsi="Arial"/>
                <w:color w:val="14201C"/>
                <w:sz w:val="18"/>
                <w:szCs w:val="18"/>
              </w:rPr>
              <w:t xml:space="preserve">Which period does the supply belong to?</w:t>
            </w:r>
          </w:p>
        </w:tc>
        <w:tc>
          <w:tcPr>
            <w:tcW w:type="dxa" w:w="2800"/>
            <w:tcMar>
              <w:top w:type="dxa" w:w="80"/>
              <w:left w:type="dxa" w:w="120"/>
              <w:bottom w:type="dxa" w:w="80"/>
              <w:right w:type="dxa" w:w="120"/>
            </w:tcMar>
          </w:tcPr>
          <w:p>
            <w:pPr>
              <w:spacing w:after="0" w:line="264"/>
            </w:pPr>
            <w:r>
              <w:rPr>
                <w:rFonts w:ascii="Arial" w:cs="Arial" w:eastAsia="Arial" w:hAnsi="Arial"/>
                <w:color w:val="14201C"/>
                <w:sz w:val="18"/>
                <w:szCs w:val="18"/>
              </w:rPr>
              <w:t xml:space="preserve">Set period, defer, pull forward</w:t>
            </w:r>
          </w:p>
        </w:tc>
      </w:tr>
      <w:tr>
        <w:tc>
          <w:tcPr>
            <w:tcW w:type="dxa" w:w="1700"/>
            <w:tcMar>
              <w:top w:type="dxa" w:w="80"/>
              <w:left w:type="dxa" w:w="120"/>
              <w:bottom w:type="dxa" w:w="80"/>
              <w:right w:type="dxa" w:w="120"/>
            </w:tcMar>
          </w:tcPr>
          <w:p>
            <w:pPr>
              <w:spacing w:after="0" w:line="264"/>
            </w:pPr>
            <w:r>
              <w:rPr>
                <w:rFonts w:ascii="Arial" w:cs="Arial" w:eastAsia="Arial" w:hAnsi="Arial"/>
                <w:b/>
                <w:bCs/>
                <w:color w:val="14201C"/>
                <w:sz w:val="18"/>
                <w:szCs w:val="18"/>
              </w:rPr>
              <w:t xml:space="preserve">Category</w:t>
            </w:r>
          </w:p>
        </w:tc>
        <w:tc>
          <w:tcPr>
            <w:tcW w:type="dxa" w:w="5580"/>
            <w:tcMar>
              <w:top w:type="dxa" w:w="80"/>
              <w:left w:type="dxa" w:w="120"/>
              <w:bottom w:type="dxa" w:w="80"/>
              <w:right w:type="dxa" w:w="120"/>
            </w:tcMar>
          </w:tcPr>
          <w:p>
            <w:pPr>
              <w:spacing w:after="0" w:line="264"/>
            </w:pPr>
            <w:r>
              <w:rPr>
                <w:rFonts w:ascii="Arial" w:cs="Arial" w:eastAsia="Arial" w:hAnsi="Arial"/>
                <w:color w:val="14201C"/>
                <w:sz w:val="18"/>
                <w:szCs w:val="18"/>
              </w:rPr>
              <w:t xml:space="preserve">Which declared box does it map to?</w:t>
            </w:r>
          </w:p>
        </w:tc>
        <w:tc>
          <w:tcPr>
            <w:tcW w:type="dxa" w:w="2800"/>
            <w:tcMar>
              <w:top w:type="dxa" w:w="80"/>
              <w:left w:type="dxa" w:w="120"/>
              <w:bottom w:type="dxa" w:w="80"/>
              <w:right w:type="dxa" w:w="120"/>
            </w:tcMar>
          </w:tcPr>
          <w:p>
            <w:pPr>
              <w:spacing w:after="0" w:line="264"/>
            </w:pPr>
            <w:r>
              <w:rPr>
                <w:rFonts w:ascii="Arial" w:cs="Arial" w:eastAsia="Arial" w:hAnsi="Arial"/>
                <w:color w:val="14201C"/>
                <w:sz w:val="18"/>
                <w:szCs w:val="18"/>
              </w:rPr>
              <w:t xml:space="preserve">Map to box</w:t>
            </w:r>
          </w:p>
        </w:tc>
      </w:tr>
      <w:tr>
        <w:tc>
          <w:tcPr>
            <w:tcW w:type="dxa" w:w="1700"/>
            <w:tcMar>
              <w:top w:type="dxa" w:w="80"/>
              <w:left w:type="dxa" w:w="120"/>
              <w:bottom w:type="dxa" w:w="80"/>
              <w:right w:type="dxa" w:w="120"/>
            </w:tcMar>
          </w:tcPr>
          <w:p>
            <w:pPr>
              <w:spacing w:after="0" w:line="264"/>
            </w:pPr>
            <w:r>
              <w:rPr>
                <w:rFonts w:ascii="Arial" w:cs="Arial" w:eastAsia="Arial" w:hAnsi="Arial"/>
                <w:b/>
                <w:bCs/>
                <w:color w:val="14201C"/>
                <w:sz w:val="18"/>
                <w:szCs w:val="18"/>
              </w:rPr>
              <w:t xml:space="preserve">Adjustment</w:t>
            </w:r>
          </w:p>
        </w:tc>
        <w:tc>
          <w:tcPr>
            <w:tcW w:type="dxa" w:w="5580"/>
            <w:tcMar>
              <w:top w:type="dxa" w:w="80"/>
              <w:left w:type="dxa" w:w="120"/>
              <w:bottom w:type="dxa" w:w="80"/>
              <w:right w:type="dxa" w:w="120"/>
            </w:tcMar>
          </w:tcPr>
          <w:p>
            <w:pPr>
              <w:spacing w:after="0" w:line="264"/>
            </w:pPr>
            <w:r>
              <w:rPr>
                <w:rFonts w:ascii="Arial" w:cs="Arial" w:eastAsia="Arial" w:hAnsi="Arial"/>
                <w:color w:val="14201C"/>
                <w:sz w:val="18"/>
                <w:szCs w:val="18"/>
              </w:rPr>
              <w:t xml:space="preserve">Credit or debit note against which original, in which period?</w:t>
            </w:r>
          </w:p>
        </w:tc>
        <w:tc>
          <w:tcPr>
            <w:tcW w:type="dxa" w:w="2800"/>
            <w:tcMar>
              <w:top w:type="dxa" w:w="80"/>
              <w:left w:type="dxa" w:w="120"/>
              <w:bottom w:type="dxa" w:w="80"/>
              <w:right w:type="dxa" w:w="120"/>
            </w:tcMar>
          </w:tcPr>
          <w:p>
            <w:pPr>
              <w:spacing w:after="0" w:line="264"/>
            </w:pPr>
            <w:r>
              <w:rPr>
                <w:rFonts w:ascii="Arial" w:cs="Arial" w:eastAsia="Arial" w:hAnsi="Arial"/>
                <w:color w:val="14201C"/>
                <w:sz w:val="18"/>
                <w:szCs w:val="18"/>
              </w:rPr>
              <w:t xml:space="preserve">Link, negate</w:t>
            </w:r>
          </w:p>
        </w:tc>
      </w:tr>
      <w:tr>
        <w:tc>
          <w:tcPr>
            <w:tcW w:type="dxa" w:w="1700"/>
            <w:tcMar>
              <w:top w:type="dxa" w:w="80"/>
              <w:left w:type="dxa" w:w="120"/>
              <w:bottom w:type="dxa" w:w="80"/>
              <w:right w:type="dxa" w:w="120"/>
            </w:tcMar>
          </w:tcPr>
          <w:p>
            <w:pPr>
              <w:spacing w:after="0" w:line="264"/>
            </w:pPr>
            <w:r>
              <w:rPr>
                <w:rFonts w:ascii="Arial" w:cs="Arial" w:eastAsia="Arial" w:hAnsi="Arial"/>
                <w:b/>
                <w:bCs/>
                <w:color w:val="14201C"/>
                <w:sz w:val="18"/>
                <w:szCs w:val="18"/>
              </w:rPr>
              <w:t xml:space="preserve">Aggregation</w:t>
            </w:r>
          </w:p>
        </w:tc>
        <w:tc>
          <w:tcPr>
            <w:tcW w:type="dxa" w:w="5580"/>
            <w:tcMar>
              <w:top w:type="dxa" w:w="80"/>
              <w:left w:type="dxa" w:w="120"/>
              <w:bottom w:type="dxa" w:w="80"/>
              <w:right w:type="dxa" w:w="120"/>
            </w:tcMar>
          </w:tcPr>
          <w:p>
            <w:pPr>
              <w:spacing w:after="0" w:line="264"/>
            </w:pPr>
            <w:r>
              <w:rPr>
                <w:rFonts w:ascii="Arial" w:cs="Arial" w:eastAsia="Arial" w:hAnsi="Arial"/>
                <w:color w:val="14201C"/>
                <w:sz w:val="18"/>
                <w:szCs w:val="18"/>
              </w:rPr>
              <w:t xml:space="preserve">Summary invoice or B2C batch to collapse?</w:t>
            </w:r>
          </w:p>
        </w:tc>
        <w:tc>
          <w:tcPr>
            <w:tcW w:type="dxa" w:w="2800"/>
            <w:tcMar>
              <w:top w:type="dxa" w:w="80"/>
              <w:left w:type="dxa" w:w="120"/>
              <w:bottom w:type="dxa" w:w="80"/>
              <w:right w:type="dxa" w:w="120"/>
            </w:tcMar>
          </w:tcPr>
          <w:p>
            <w:pPr>
              <w:spacing w:after="0" w:line="264"/>
            </w:pPr>
            <w:r>
              <w:rPr>
                <w:rFonts w:ascii="Arial" w:cs="Arial" w:eastAsia="Arial" w:hAnsi="Arial"/>
                <w:color w:val="14201C"/>
                <w:sz w:val="18"/>
                <w:szCs w:val="18"/>
              </w:rPr>
              <w:t xml:space="preserve">Collapse</w:t>
            </w:r>
          </w:p>
        </w:tc>
      </w:tr>
    </w:tbl>
    <w:p>
      <w:pPr>
        <w:spacing w:after="80"/>
      </w:pPr>
    </w:p>
    <w:p>
      <w:pPr>
        <w:spacing w:after="120" w:line="276"/>
      </w:pPr>
      <w:r>
        <w:rPr>
          <w:rFonts w:ascii="Arial" w:cs="Arial" w:eastAsia="Arial" w:hAnsi="Arial"/>
          <w:color w:val="14201C"/>
          <w:sz w:val="20"/>
          <w:szCs w:val="20"/>
        </w:rPr>
        <w:t xml:space="preserve">Only then are the surviving lines summed into the expected return, which is compared to the declared box. Two structural guarantees fall out of this design and are asserted by tests: a line is admitted at most once, so double-counting is impossible rather than merely avoided; and the bridge satisfies base + movements = expected by construction, so a bridge row can never claim a movement the underlying lines do not support.</w:t>
      </w:r>
    </w:p>
    <w:p>
      <w:pPr>
        <w:spacing w:after="120" w:line="276"/>
      </w:pPr>
      <w:r>
        <w:rPr>
          <w:rFonts w:ascii="Arial" w:cs="Arial" w:eastAsia="Arial" w:hAnsi="Arial"/>
          <w:color w:val="14201C"/>
          <w:sz w:val="20"/>
          <w:szCs w:val="20"/>
        </w:rPr>
        <w:t xml:space="preserve">The population boundary is deliberately not toggleable. A rejected document or a zero-rated line is not an explanation an auditor may switch off — it is simply not part of the box. Only the coded rules respond to the rulebook toggles.</w:t>
      </w:r>
    </w:p>
    <w:p>
      <w:pPr>
        <w:pStyle w:val="Heading2"/>
        <w:spacing w:after="140" w:before="280"/>
      </w:pPr>
      <w:r>
        <w:rPr>
          <w:rFonts w:ascii="Arial" w:cs="Arial" w:eastAsia="Arial" w:hAnsi="Arial"/>
          <w:b/>
          <w:bCs/>
          <w:color w:val="0A4C40"/>
          <w:sz w:val="24"/>
          <w:szCs w:val="24"/>
        </w:rPr>
        <w:t xml:space="preserve">3.3 Rules as data, and the path to scale</w:t>
      </w:r>
    </w:p>
    <w:p>
      <w:pPr>
        <w:spacing w:after="120" w:line="276"/>
      </w:pPr>
      <w:r>
        <w:rPr>
          <w:rFonts w:ascii="Arial" w:cs="Arial" w:eastAsia="Arial" w:hAnsi="Arial"/>
          <w:color w:val="14201C"/>
          <w:sz w:val="20"/>
          <w:szCs w:val="20"/>
        </w:rPr>
        <w:t xml:space="preserve">Qualification rules are never arbitrary code. Each is a declarative predicate — a comparison over named columns, combined with and/or/not — which both evaluates in process today and renders as a SQL WHERE fragment. A test asserts that the two forms select the same lines on the demo data.</w:t>
      </w:r>
    </w:p>
    <w:p>
      <w:pPr>
        <w:spacing w:after="120" w:line="276"/>
      </w:pPr>
      <w:r>
        <w:rPr>
          <w:rFonts w:ascii="Arial" w:cs="Arial" w:eastAsia="Arial" w:hAnsi="Arial"/>
          <w:color w:val="14201C"/>
          <w:sz w:val="20"/>
          <w:szCs w:val="20"/>
        </w:rPr>
        <w:t xml:space="preserve">That constraint is the scale path. At ZATCA volumes the pipeline cannot be a Python loop over billions of rows; it has to be a sequence of set-based passes over a line table, each writing decision rows. Because the rules are data rather than code, the same registry can drive that batch job without being rewritten. The cost is that rules are less expressive than free-form code, which is a deliberate trade.</w:t>
      </w:r>
    </w:p>
    <w:p>
      <w:pPr>
        <w:spacing w:after="120" w:line="276"/>
      </w:pPr>
      <w:r>
        <w:rPr>
          <w:rFonts w:ascii="Arial" w:cs="Arial" w:eastAsia="Arial" w:hAnsi="Arial"/>
          <w:color w:val="14201C"/>
          <w:sz w:val="20"/>
          <w:szCs w:val="20"/>
        </w:rPr>
        <w:t xml:space="preserve">The practical benefit today is smaller but real: wiring a rule into the live engine is one entry in a registry. The engine does not change, the API reports the rule as wired, and the interface badges it automatically.</w:t>
      </w:r>
    </w:p>
    <w:p>
      <w:pPr>
        <w:pStyle w:val="Heading2"/>
        <w:spacing w:after="140" w:before="280"/>
      </w:pPr>
      <w:r>
        <w:rPr>
          <w:rFonts w:ascii="Arial" w:cs="Arial" w:eastAsia="Arial" w:hAnsi="Arial"/>
          <w:b/>
          <w:bCs/>
          <w:color w:val="0A4C40"/>
          <w:sz w:val="24"/>
          <w:szCs w:val="24"/>
        </w:rPr>
        <w:t xml:space="preserve">3.4 Stack and data model</w:t>
      </w:r>
    </w:p>
    <w:p>
      <w:pPr>
        <w:spacing w:after="120" w:line="276"/>
      </w:pPr>
      <w:r>
        <w:rPr>
          <w:rFonts w:ascii="Arial" w:cs="Arial" w:eastAsia="Arial" w:hAnsi="Arial"/>
          <w:color w:val="14201C"/>
          <w:sz w:val="20"/>
          <w:szCs w:val="20"/>
        </w:rPr>
        <w:t xml:space="preserve">React and TypeScript on Vite for the interface; FastAPI and SQLAlchemy for the service; PostgreSQL for storage, split into two schemas. The core schema holds what the taxpayer declared and what the e-invoices evidence. The recon schema holds the reconciliation working state the engine produces.</w:t>
      </w:r>
    </w:p>
    <w:p>
      <w:pPr>
        <w:spacing w:after="60"/>
      </w:pPr>
    </w:p>
    <w:tbl>
      <w:tblPr>
        <w:tblW w:type="dxa" w:w="10080"/>
        <w:tblBorders>
          <w:top w:val="single" w:color="DCE6E0" w:sz="2"/>
          <w:left w:val="single" w:color="DCE6E0" w:sz="2"/>
          <w:bottom w:val="single" w:color="DCE6E0" w:sz="2"/>
          <w:right w:val="single" w:color="DCE6E0" w:sz="2"/>
          <w:insideH w:val="single" w:color="DCE6E0" w:sz="2"/>
          <w:insideV w:val="single" w:color="DCE6E0" w:sz="2"/>
        </w:tblBorders>
      </w:tblPr>
      <w:tblGrid>
        <w:gridCol w:w="2500"/>
        <w:gridCol w:w="5580"/>
        <w:gridCol w:w="2000"/>
      </w:tblGrid>
      <w:tr>
        <w:trPr>
          <w:tblHeader/>
        </w:trPr>
        <w:tc>
          <w:tcPr>
            <w:tcW w:type="dxa" w:w="2500"/>
            <w:shd w:fill="0E6B57" w:color="auto" w:val="clear"/>
            <w:tcMar>
              <w:top w:type="dxa" w:w="80"/>
              <w:left w:type="dxa" w:w="120"/>
              <w:bottom w:type="dxa" w:w="80"/>
              <w:right w:type="dxa" w:w="120"/>
            </w:tcMar>
          </w:tcPr>
          <w:p>
            <w:pPr>
              <w:spacing w:after="0" w:line="264"/>
            </w:pPr>
            <w:r>
              <w:rPr>
                <w:rFonts w:ascii="Arial" w:cs="Arial" w:eastAsia="Arial" w:hAnsi="Arial"/>
                <w:b/>
                <w:bCs/>
                <w:color w:val="FFFFFF"/>
                <w:sz w:val="18"/>
                <w:szCs w:val="18"/>
              </w:rPr>
              <w:t xml:space="preserve">Table</w:t>
            </w:r>
          </w:p>
        </w:tc>
        <w:tc>
          <w:tcPr>
            <w:tcW w:type="dxa" w:w="5580"/>
            <w:shd w:fill="0E6B57" w:color="auto" w:val="clear"/>
            <w:tcMar>
              <w:top w:type="dxa" w:w="80"/>
              <w:left w:type="dxa" w:w="120"/>
              <w:bottom w:type="dxa" w:w="80"/>
              <w:right w:type="dxa" w:w="120"/>
            </w:tcMar>
          </w:tcPr>
          <w:p>
            <w:pPr>
              <w:spacing w:after="0" w:line="264"/>
            </w:pPr>
            <w:r>
              <w:rPr>
                <w:rFonts w:ascii="Arial" w:cs="Arial" w:eastAsia="Arial" w:hAnsi="Arial"/>
                <w:b/>
                <w:bCs/>
                <w:color w:val="FFFFFF"/>
                <w:sz w:val="18"/>
                <w:szCs w:val="18"/>
              </w:rPr>
              <w:t xml:space="preserve">Holds</w:t>
            </w:r>
          </w:p>
        </w:tc>
        <w:tc>
          <w:tcPr>
            <w:tcW w:type="dxa" w:w="2000"/>
            <w:shd w:fill="0E6B57" w:color="auto" w:val="clear"/>
            <w:tcMar>
              <w:top w:type="dxa" w:w="80"/>
              <w:left w:type="dxa" w:w="120"/>
              <w:bottom w:type="dxa" w:w="80"/>
              <w:right w:type="dxa" w:w="120"/>
            </w:tcMar>
          </w:tcPr>
          <w:p>
            <w:pPr>
              <w:spacing w:after="0" w:line="264"/>
            </w:pPr>
            <w:r>
              <w:rPr>
                <w:rFonts w:ascii="Arial" w:cs="Arial" w:eastAsia="Arial" w:hAnsi="Arial"/>
                <w:b/>
                <w:bCs/>
                <w:color w:val="FFFFFF"/>
                <w:sz w:val="18"/>
                <w:szCs w:val="18"/>
              </w:rPr>
              <w:t xml:space="preserve">Joined by</w:t>
            </w:r>
          </w:p>
        </w:tc>
      </w:tr>
      <w:tr>
        <w:tc>
          <w:tcPr>
            <w:tcW w:type="dxa" w:w="2500"/>
            <w:tcMar>
              <w:top w:type="dxa" w:w="80"/>
              <w:left w:type="dxa" w:w="120"/>
              <w:bottom w:type="dxa" w:w="80"/>
              <w:right w:type="dxa" w:w="120"/>
            </w:tcMar>
          </w:tcPr>
          <w:p>
            <w:pPr>
              <w:spacing w:after="0" w:line="264"/>
            </w:pPr>
            <w:r>
              <w:rPr>
                <w:rFonts w:ascii="Arial" w:cs="Arial" w:eastAsia="Arial" w:hAnsi="Arial"/>
                <w:b/>
                <w:bCs/>
                <w:color w:val="14201C"/>
                <w:sz w:val="18"/>
                <w:szCs w:val="18"/>
              </w:rPr>
              <w:t xml:space="preserve">core.taxpayer</w:t>
            </w:r>
          </w:p>
        </w:tc>
        <w:tc>
          <w:tcPr>
            <w:tcW w:type="dxa" w:w="5580"/>
            <w:tcMar>
              <w:top w:type="dxa" w:w="80"/>
              <w:left w:type="dxa" w:w="120"/>
              <w:bottom w:type="dxa" w:w="80"/>
              <w:right w:type="dxa" w:w="120"/>
            </w:tcMar>
          </w:tcPr>
          <w:p>
            <w:pPr>
              <w:spacing w:after="0" w:line="264"/>
            </w:pPr>
            <w:r>
              <w:rPr>
                <w:rFonts w:ascii="Arial" w:cs="Arial" w:eastAsia="Arial" w:hAnsi="Arial"/>
                <w:color w:val="14201C"/>
                <w:sz w:val="18"/>
                <w:szCs w:val="18"/>
              </w:rPr>
              <w:t xml:space="preserve">The audited business: VAT number, sector, size, accounting basis.</w:t>
            </w:r>
          </w:p>
        </w:tc>
        <w:tc>
          <w:tcPr>
            <w:tcW w:type="dxa" w:w="2000"/>
            <w:tcMar>
              <w:top w:type="dxa" w:w="80"/>
              <w:left w:type="dxa" w:w="120"/>
              <w:bottom w:type="dxa" w:w="80"/>
              <w:right w:type="dxa" w:w="120"/>
            </w:tcMar>
          </w:tcPr>
          <w:p>
            <w:pPr>
              <w:spacing w:after="0" w:line="264"/>
            </w:pPr>
            <w:r>
              <w:rPr>
                <w:rFonts w:ascii="Arial" w:cs="Arial" w:eastAsia="Arial" w:hAnsi="Arial"/>
                <w:color w:val="14201C"/>
                <w:sz w:val="18"/>
                <w:szCs w:val="18"/>
              </w:rPr>
              <w:t xml:space="preserve">—</w:t>
            </w:r>
          </w:p>
        </w:tc>
      </w:tr>
      <w:tr>
        <w:tc>
          <w:tcPr>
            <w:tcW w:type="dxa" w:w="2500"/>
            <w:tcMar>
              <w:top w:type="dxa" w:w="80"/>
              <w:left w:type="dxa" w:w="120"/>
              <w:bottom w:type="dxa" w:w="80"/>
              <w:right w:type="dxa" w:w="120"/>
            </w:tcMar>
          </w:tcPr>
          <w:p>
            <w:pPr>
              <w:spacing w:after="0" w:line="264"/>
            </w:pPr>
            <w:r>
              <w:rPr>
                <w:rFonts w:ascii="Arial" w:cs="Arial" w:eastAsia="Arial" w:hAnsi="Arial"/>
                <w:b/>
                <w:bCs/>
                <w:color w:val="14201C"/>
                <w:sz w:val="18"/>
                <w:szCs w:val="18"/>
              </w:rPr>
              <w:t xml:space="preserve">core.vat_return</w:t>
            </w:r>
          </w:p>
        </w:tc>
        <w:tc>
          <w:tcPr>
            <w:tcW w:type="dxa" w:w="5580"/>
            <w:tcMar>
              <w:top w:type="dxa" w:w="80"/>
              <w:left w:type="dxa" w:w="120"/>
              <w:bottom w:type="dxa" w:w="80"/>
              <w:right w:type="dxa" w:w="120"/>
            </w:tcMar>
          </w:tcPr>
          <w:p>
            <w:pPr>
              <w:spacing w:after="0" w:line="264"/>
            </w:pPr>
            <w:r>
              <w:rPr>
                <w:rFonts w:ascii="Arial" w:cs="Arial" w:eastAsia="Arial" w:hAnsi="Arial"/>
                <w:color w:val="14201C"/>
                <w:sz w:val="18"/>
                <w:szCs w:val="18"/>
              </w:rPr>
              <w:t xml:space="preserve">One filed return per taxpayer per period, with version and totals.</w:t>
            </w:r>
          </w:p>
        </w:tc>
        <w:tc>
          <w:tcPr>
            <w:tcW w:type="dxa" w:w="2000"/>
            <w:tcMar>
              <w:top w:type="dxa" w:w="80"/>
              <w:left w:type="dxa" w:w="120"/>
              <w:bottom w:type="dxa" w:w="80"/>
              <w:right w:type="dxa" w:w="120"/>
            </w:tcMar>
          </w:tcPr>
          <w:p>
            <w:pPr>
              <w:spacing w:after="0" w:line="264"/>
            </w:pPr>
            <w:r>
              <w:rPr>
                <w:rFonts w:ascii="Arial" w:cs="Arial" w:eastAsia="Arial" w:hAnsi="Arial"/>
                <w:color w:val="14201C"/>
                <w:sz w:val="18"/>
                <w:szCs w:val="18"/>
              </w:rPr>
              <w:t xml:space="preserve">taxpayer_id</w:t>
            </w:r>
          </w:p>
        </w:tc>
      </w:tr>
      <w:tr>
        <w:tc>
          <w:tcPr>
            <w:tcW w:type="dxa" w:w="2500"/>
            <w:tcMar>
              <w:top w:type="dxa" w:w="80"/>
              <w:left w:type="dxa" w:w="120"/>
              <w:bottom w:type="dxa" w:w="80"/>
              <w:right w:type="dxa" w:w="120"/>
            </w:tcMar>
          </w:tcPr>
          <w:p>
            <w:pPr>
              <w:spacing w:after="0" w:line="264"/>
            </w:pPr>
            <w:r>
              <w:rPr>
                <w:rFonts w:ascii="Arial" w:cs="Arial" w:eastAsia="Arial" w:hAnsi="Arial"/>
                <w:b/>
                <w:bCs/>
                <w:color w:val="14201C"/>
                <w:sz w:val="18"/>
                <w:szCs w:val="18"/>
              </w:rPr>
              <w:t xml:space="preserve">core.vat_return_box</w:t>
            </w:r>
          </w:p>
        </w:tc>
        <w:tc>
          <w:tcPr>
            <w:tcW w:type="dxa" w:w="5580"/>
            <w:tcMar>
              <w:top w:type="dxa" w:w="80"/>
              <w:left w:type="dxa" w:w="120"/>
              <w:bottom w:type="dxa" w:w="80"/>
              <w:right w:type="dxa" w:w="120"/>
            </w:tcMar>
          </w:tcPr>
          <w:p>
            <w:pPr>
              <w:spacing w:after="0" w:line="264"/>
            </w:pPr>
            <w:r>
              <w:rPr>
                <w:rFonts w:ascii="Arial" w:cs="Arial" w:eastAsia="Arial" w:hAnsi="Arial"/>
                <w:color w:val="14201C"/>
                <w:sz w:val="18"/>
                <w:szCs w:val="18"/>
              </w:rPr>
              <w:t xml:space="preserve">The declared position, one row per box: base, VAT, adjustment.</w:t>
            </w:r>
          </w:p>
        </w:tc>
        <w:tc>
          <w:tcPr>
            <w:tcW w:type="dxa" w:w="2000"/>
            <w:tcMar>
              <w:top w:type="dxa" w:w="80"/>
              <w:left w:type="dxa" w:w="120"/>
              <w:bottom w:type="dxa" w:w="80"/>
              <w:right w:type="dxa" w:w="120"/>
            </w:tcMar>
          </w:tcPr>
          <w:p>
            <w:pPr>
              <w:spacing w:after="0" w:line="264"/>
            </w:pPr>
            <w:r>
              <w:rPr>
                <w:rFonts w:ascii="Arial" w:cs="Arial" w:eastAsia="Arial" w:hAnsi="Arial"/>
                <w:color w:val="14201C"/>
                <w:sz w:val="18"/>
                <w:szCs w:val="18"/>
              </w:rPr>
              <w:t xml:space="preserve">return_id</w:t>
            </w:r>
          </w:p>
        </w:tc>
      </w:tr>
      <w:tr>
        <w:tc>
          <w:tcPr>
            <w:tcW w:type="dxa" w:w="2500"/>
            <w:tcMar>
              <w:top w:type="dxa" w:w="80"/>
              <w:left w:type="dxa" w:w="120"/>
              <w:bottom w:type="dxa" w:w="80"/>
              <w:right w:type="dxa" w:w="120"/>
            </w:tcMar>
          </w:tcPr>
          <w:p>
            <w:pPr>
              <w:spacing w:after="0" w:line="264"/>
            </w:pPr>
            <w:r>
              <w:rPr>
                <w:rFonts w:ascii="Arial" w:cs="Arial" w:eastAsia="Arial" w:hAnsi="Arial"/>
                <w:b/>
                <w:bCs/>
                <w:color w:val="14201C"/>
                <w:sz w:val="18"/>
                <w:szCs w:val="18"/>
              </w:rPr>
              <w:t xml:space="preserve">core.invoice</w:t>
            </w:r>
          </w:p>
        </w:tc>
        <w:tc>
          <w:tcPr>
            <w:tcW w:type="dxa" w:w="5580"/>
            <w:tcMar>
              <w:top w:type="dxa" w:w="80"/>
              <w:left w:type="dxa" w:w="120"/>
              <w:bottom w:type="dxa" w:w="80"/>
              <w:right w:type="dxa" w:w="120"/>
            </w:tcMar>
          </w:tcPr>
          <w:p>
            <w:pPr>
              <w:spacing w:after="0" w:line="264"/>
            </w:pPr>
            <w:r>
              <w:rPr>
                <w:rFonts w:ascii="Arial" w:cs="Arial" w:eastAsia="Arial" w:hAnsi="Arial"/>
                <w:color w:val="14201C"/>
                <w:sz w:val="18"/>
                <w:szCs w:val="18"/>
              </w:rPr>
              <w:t xml:space="preserve">A cleared or reported FATOORA document — the evidence population.</w:t>
            </w:r>
          </w:p>
        </w:tc>
        <w:tc>
          <w:tcPr>
            <w:tcW w:type="dxa" w:w="2000"/>
            <w:tcMar>
              <w:top w:type="dxa" w:w="80"/>
              <w:left w:type="dxa" w:w="120"/>
              <w:bottom w:type="dxa" w:w="80"/>
              <w:right w:type="dxa" w:w="120"/>
            </w:tcMar>
          </w:tcPr>
          <w:p>
            <w:pPr>
              <w:spacing w:after="0" w:line="264"/>
            </w:pPr>
            <w:r>
              <w:rPr>
                <w:rFonts w:ascii="Arial" w:cs="Arial" w:eastAsia="Arial" w:hAnsi="Arial"/>
                <w:color w:val="14201C"/>
                <w:sz w:val="18"/>
                <w:szCs w:val="18"/>
              </w:rPr>
              <w:t xml:space="preserve">taxpayer_id</w:t>
            </w:r>
          </w:p>
        </w:tc>
      </w:tr>
      <w:tr>
        <w:tc>
          <w:tcPr>
            <w:tcW w:type="dxa" w:w="2500"/>
            <w:tcMar>
              <w:top w:type="dxa" w:w="80"/>
              <w:left w:type="dxa" w:w="120"/>
              <w:bottom w:type="dxa" w:w="80"/>
              <w:right w:type="dxa" w:w="120"/>
            </w:tcMar>
          </w:tcPr>
          <w:p>
            <w:pPr>
              <w:spacing w:after="0" w:line="264"/>
            </w:pPr>
            <w:r>
              <w:rPr>
                <w:rFonts w:ascii="Arial" w:cs="Arial" w:eastAsia="Arial" w:hAnsi="Arial"/>
                <w:b/>
                <w:bCs/>
                <w:color w:val="14201C"/>
                <w:sz w:val="18"/>
                <w:szCs w:val="18"/>
              </w:rPr>
              <w:t xml:space="preserve">core.invoice_taxsubtotal</w:t>
            </w:r>
          </w:p>
        </w:tc>
        <w:tc>
          <w:tcPr>
            <w:tcW w:type="dxa" w:w="5580"/>
            <w:tcMar>
              <w:top w:type="dxa" w:w="80"/>
              <w:left w:type="dxa" w:w="120"/>
              <w:bottom w:type="dxa" w:w="80"/>
              <w:right w:type="dxa" w:w="120"/>
            </w:tcMar>
          </w:tcPr>
          <w:p>
            <w:pPr>
              <w:spacing w:after="0" w:line="264"/>
            </w:pPr>
            <w:r>
              <w:rPr>
                <w:rFonts w:ascii="Arial" w:cs="Arial" w:eastAsia="Arial" w:hAnsi="Arial"/>
                <w:color w:val="14201C"/>
                <w:sz w:val="18"/>
                <w:szCs w:val="18"/>
              </w:rPr>
              <w:t xml:space="preserve">Taxable base and VAT per category × rate. The grain the pipeline qualifies.</w:t>
            </w:r>
          </w:p>
        </w:tc>
        <w:tc>
          <w:tcPr>
            <w:tcW w:type="dxa" w:w="2000"/>
            <w:tcMar>
              <w:top w:type="dxa" w:w="80"/>
              <w:left w:type="dxa" w:w="120"/>
              <w:bottom w:type="dxa" w:w="80"/>
              <w:right w:type="dxa" w:w="120"/>
            </w:tcMar>
          </w:tcPr>
          <w:p>
            <w:pPr>
              <w:spacing w:after="0" w:line="264"/>
            </w:pPr>
            <w:r>
              <w:rPr>
                <w:rFonts w:ascii="Arial" w:cs="Arial" w:eastAsia="Arial" w:hAnsi="Arial"/>
                <w:color w:val="14201C"/>
                <w:sz w:val="18"/>
                <w:szCs w:val="18"/>
              </w:rPr>
              <w:t xml:space="preserve">invoice_id</w:t>
            </w:r>
          </w:p>
        </w:tc>
      </w:tr>
      <w:tr>
        <w:tc>
          <w:tcPr>
            <w:tcW w:type="dxa" w:w="2500"/>
            <w:tcMar>
              <w:top w:type="dxa" w:w="80"/>
              <w:left w:type="dxa" w:w="120"/>
              <w:bottom w:type="dxa" w:w="80"/>
              <w:right w:type="dxa" w:w="120"/>
            </w:tcMar>
          </w:tcPr>
          <w:p>
            <w:pPr>
              <w:spacing w:after="0" w:line="264"/>
            </w:pPr>
            <w:r>
              <w:rPr>
                <w:rFonts w:ascii="Arial" w:cs="Arial" w:eastAsia="Arial" w:hAnsi="Arial"/>
                <w:b/>
                <w:bCs/>
                <w:color w:val="14201C"/>
                <w:sz w:val="18"/>
                <w:szCs w:val="18"/>
              </w:rPr>
              <w:t xml:space="preserve">core.audit_case</w:t>
            </w:r>
          </w:p>
        </w:tc>
        <w:tc>
          <w:tcPr>
            <w:tcW w:type="dxa" w:w="5580"/>
            <w:tcMar>
              <w:top w:type="dxa" w:w="80"/>
              <w:left w:type="dxa" w:w="120"/>
              <w:bottom w:type="dxa" w:w="80"/>
              <w:right w:type="dxa" w:w="120"/>
            </w:tcMar>
          </w:tcPr>
          <w:p>
            <w:pPr>
              <w:spacing w:after="0" w:line="264"/>
            </w:pPr>
            <w:r>
              <w:rPr>
                <w:rFonts w:ascii="Arial" w:cs="Arial" w:eastAsia="Arial" w:hAnsi="Arial"/>
                <w:color w:val="14201C"/>
                <w:sz w:val="18"/>
                <w:szCs w:val="18"/>
              </w:rPr>
              <w:t xml:space="preserve">The referred case, plus closed-case outcomes feeding the history signal.</w:t>
            </w:r>
          </w:p>
        </w:tc>
        <w:tc>
          <w:tcPr>
            <w:tcW w:type="dxa" w:w="2000"/>
            <w:tcMar>
              <w:top w:type="dxa" w:w="80"/>
              <w:left w:type="dxa" w:w="120"/>
              <w:bottom w:type="dxa" w:w="80"/>
              <w:right w:type="dxa" w:w="120"/>
            </w:tcMar>
          </w:tcPr>
          <w:p>
            <w:pPr>
              <w:spacing w:after="0" w:line="264"/>
            </w:pPr>
            <w:r>
              <w:rPr>
                <w:rFonts w:ascii="Arial" w:cs="Arial" w:eastAsia="Arial" w:hAnsi="Arial"/>
                <w:color w:val="14201C"/>
                <w:sz w:val="18"/>
                <w:szCs w:val="18"/>
              </w:rPr>
              <w:t xml:space="preserve">taxpayer_id</w:t>
            </w:r>
          </w:p>
        </w:tc>
      </w:tr>
      <w:tr>
        <w:tc>
          <w:tcPr>
            <w:tcW w:type="dxa" w:w="2500"/>
            <w:tcMar>
              <w:top w:type="dxa" w:w="80"/>
              <w:left w:type="dxa" w:w="120"/>
              <w:bottom w:type="dxa" w:w="80"/>
              <w:right w:type="dxa" w:w="120"/>
            </w:tcMar>
          </w:tcPr>
          <w:p>
            <w:pPr>
              <w:spacing w:after="0" w:line="264"/>
            </w:pPr>
            <w:r>
              <w:rPr>
                <w:rFonts w:ascii="Arial" w:cs="Arial" w:eastAsia="Arial" w:hAnsi="Arial"/>
                <w:b/>
                <w:bCs/>
                <w:color w:val="14201C"/>
                <w:sz w:val="18"/>
                <w:szCs w:val="18"/>
              </w:rPr>
              <w:t xml:space="preserve">core.rule_library</w:t>
            </w:r>
          </w:p>
        </w:tc>
        <w:tc>
          <w:tcPr>
            <w:tcW w:type="dxa" w:w="5580"/>
            <w:tcMar>
              <w:top w:type="dxa" w:w="80"/>
              <w:left w:type="dxa" w:w="120"/>
              <w:bottom w:type="dxa" w:w="80"/>
              <w:right w:type="dxa" w:w="120"/>
            </w:tcMar>
          </w:tcPr>
          <w:p>
            <w:pPr>
              <w:spacing w:after="0" w:line="264"/>
            </w:pPr>
            <w:r>
              <w:rPr>
                <w:rFonts w:ascii="Arial" w:cs="Arial" w:eastAsia="Arial" w:hAnsi="Arial"/>
                <w:color w:val="14201C"/>
                <w:sz w:val="18"/>
                <w:szCs w:val="18"/>
              </w:rPr>
              <w:t xml:space="preserve">The rulebook as data, with taxonomy and enabled flag.</w:t>
            </w:r>
          </w:p>
        </w:tc>
        <w:tc>
          <w:tcPr>
            <w:tcW w:type="dxa" w:w="2000"/>
            <w:tcMar>
              <w:top w:type="dxa" w:w="80"/>
              <w:left w:type="dxa" w:w="120"/>
              <w:bottom w:type="dxa" w:w="80"/>
              <w:right w:type="dxa" w:w="120"/>
            </w:tcMar>
          </w:tcPr>
          <w:p>
            <w:pPr>
              <w:spacing w:after="0" w:line="264"/>
            </w:pPr>
            <w:r>
              <w:rPr>
                <w:rFonts w:ascii="Arial" w:cs="Arial" w:eastAsia="Arial" w:hAnsi="Arial"/>
                <w:color w:val="14201C"/>
                <w:sz w:val="18"/>
                <w:szCs w:val="18"/>
              </w:rPr>
              <w:t xml:space="preserve">code</w:t>
            </w:r>
          </w:p>
        </w:tc>
      </w:tr>
      <w:tr>
        <w:tc>
          <w:tcPr>
            <w:tcW w:type="dxa" w:w="2500"/>
            <w:tcMar>
              <w:top w:type="dxa" w:w="80"/>
              <w:left w:type="dxa" w:w="120"/>
              <w:bottom w:type="dxa" w:w="80"/>
              <w:right w:type="dxa" w:w="120"/>
            </w:tcMar>
          </w:tcPr>
          <w:p>
            <w:pPr>
              <w:spacing w:after="0" w:line="264"/>
            </w:pPr>
            <w:r>
              <w:rPr>
                <w:rFonts w:ascii="Arial" w:cs="Arial" w:eastAsia="Arial" w:hAnsi="Arial"/>
                <w:b/>
                <w:bCs/>
                <w:color w:val="14201C"/>
                <w:sz w:val="18"/>
                <w:szCs w:val="18"/>
              </w:rPr>
              <w:t xml:space="preserve">recon.case_recon</w:t>
            </w:r>
          </w:p>
        </w:tc>
        <w:tc>
          <w:tcPr>
            <w:tcW w:type="dxa" w:w="5580"/>
            <w:tcMar>
              <w:top w:type="dxa" w:w="80"/>
              <w:left w:type="dxa" w:w="120"/>
              <w:bottom w:type="dxa" w:w="80"/>
              <w:right w:type="dxa" w:w="120"/>
            </w:tcMar>
          </w:tcPr>
          <w:p>
            <w:pPr>
              <w:spacing w:after="0" w:line="264"/>
            </w:pPr>
            <w:r>
              <w:rPr>
                <w:rFonts w:ascii="Arial" w:cs="Arial" w:eastAsia="Arial" w:hAnsi="Arial"/>
                <w:color w:val="14201C"/>
                <w:sz w:val="18"/>
                <w:szCs w:val="18"/>
              </w:rPr>
              <w:t xml:space="preserve">One reconciliation run: declared, rebuilt, gap, explained, residual.</w:t>
            </w:r>
          </w:p>
        </w:tc>
        <w:tc>
          <w:tcPr>
            <w:tcW w:type="dxa" w:w="2000"/>
            <w:tcMar>
              <w:top w:type="dxa" w:w="80"/>
              <w:left w:type="dxa" w:w="120"/>
              <w:bottom w:type="dxa" w:w="80"/>
              <w:right w:type="dxa" w:w="120"/>
            </w:tcMar>
          </w:tcPr>
          <w:p>
            <w:pPr>
              <w:spacing w:after="0" w:line="264"/>
            </w:pPr>
            <w:r>
              <w:rPr>
                <w:rFonts w:ascii="Arial" w:cs="Arial" w:eastAsia="Arial" w:hAnsi="Arial"/>
                <w:color w:val="14201C"/>
                <w:sz w:val="18"/>
                <w:szCs w:val="18"/>
              </w:rPr>
              <w:t xml:space="preserve">case_id</w:t>
            </w:r>
          </w:p>
        </w:tc>
      </w:tr>
      <w:tr>
        <w:tc>
          <w:tcPr>
            <w:tcW w:type="dxa" w:w="2500"/>
            <w:tcMar>
              <w:top w:type="dxa" w:w="80"/>
              <w:left w:type="dxa" w:w="120"/>
              <w:bottom w:type="dxa" w:w="80"/>
              <w:right w:type="dxa" w:w="120"/>
            </w:tcMar>
          </w:tcPr>
          <w:p>
            <w:pPr>
              <w:spacing w:after="0" w:line="264"/>
            </w:pPr>
            <w:r>
              <w:rPr>
                <w:rFonts w:ascii="Arial" w:cs="Arial" w:eastAsia="Arial" w:hAnsi="Arial"/>
                <w:b/>
                <w:bCs/>
                <w:color w:val="14201C"/>
                <w:sz w:val="18"/>
                <w:szCs w:val="18"/>
              </w:rPr>
              <w:t xml:space="preserve">recon.bridge_line</w:t>
            </w:r>
          </w:p>
        </w:tc>
        <w:tc>
          <w:tcPr>
            <w:tcW w:type="dxa" w:w="5580"/>
            <w:tcMar>
              <w:top w:type="dxa" w:w="80"/>
              <w:left w:type="dxa" w:w="120"/>
              <w:bottom w:type="dxa" w:w="80"/>
              <w:right w:type="dxa" w:w="120"/>
            </w:tcMar>
          </w:tcPr>
          <w:p>
            <w:pPr>
              <w:spacing w:after="0" w:line="264"/>
            </w:pPr>
            <w:r>
              <w:rPr>
                <w:rFonts w:ascii="Arial" w:cs="Arial" w:eastAsia="Arial" w:hAnsi="Arial"/>
                <w:color w:val="14201C"/>
                <w:sz w:val="18"/>
                <w:szCs w:val="18"/>
              </w:rPr>
              <w:t xml:space="preserve">One row per bridge movement, with the rule that authorised it.</w:t>
            </w:r>
          </w:p>
        </w:tc>
        <w:tc>
          <w:tcPr>
            <w:tcW w:type="dxa" w:w="2000"/>
            <w:tcMar>
              <w:top w:type="dxa" w:w="80"/>
              <w:left w:type="dxa" w:w="120"/>
              <w:bottom w:type="dxa" w:w="80"/>
              <w:right w:type="dxa" w:w="120"/>
            </w:tcMar>
          </w:tcPr>
          <w:p>
            <w:pPr>
              <w:spacing w:after="0" w:line="264"/>
            </w:pPr>
            <w:r>
              <w:rPr>
                <w:rFonts w:ascii="Arial" w:cs="Arial" w:eastAsia="Arial" w:hAnsi="Arial"/>
                <w:color w:val="14201C"/>
                <w:sz w:val="18"/>
                <w:szCs w:val="18"/>
              </w:rPr>
              <w:t xml:space="preserve">case_recon_id</w:t>
            </w:r>
          </w:p>
        </w:tc>
      </w:tr>
      <w:tr>
        <w:tc>
          <w:tcPr>
            <w:tcW w:type="dxa" w:w="2500"/>
            <w:tcMar>
              <w:top w:type="dxa" w:w="80"/>
              <w:left w:type="dxa" w:w="120"/>
              <w:bottom w:type="dxa" w:w="80"/>
              <w:right w:type="dxa" w:w="120"/>
            </w:tcMar>
          </w:tcPr>
          <w:p>
            <w:pPr>
              <w:spacing w:after="0" w:line="264"/>
            </w:pPr>
            <w:r>
              <w:rPr>
                <w:rFonts w:ascii="Arial" w:cs="Arial" w:eastAsia="Arial" w:hAnsi="Arial"/>
                <w:b/>
                <w:bCs/>
                <w:color w:val="14201C"/>
                <w:sz w:val="18"/>
                <w:szCs w:val="18"/>
              </w:rPr>
              <w:t xml:space="preserve">recon.taxpayer_response</w:t>
            </w:r>
          </w:p>
        </w:tc>
        <w:tc>
          <w:tcPr>
            <w:tcW w:type="dxa" w:w="5580"/>
            <w:tcMar>
              <w:top w:type="dxa" w:w="80"/>
              <w:left w:type="dxa" w:w="120"/>
              <w:bottom w:type="dxa" w:w="80"/>
              <w:right w:type="dxa" w:w="120"/>
            </w:tcMar>
          </w:tcPr>
          <w:p>
            <w:pPr>
              <w:spacing w:after="0" w:line="264"/>
            </w:pPr>
            <w:r>
              <w:rPr>
                <w:rFonts w:ascii="Arial" w:cs="Arial" w:eastAsia="Arial" w:hAnsi="Arial"/>
                <w:color w:val="14201C"/>
                <w:sz w:val="18"/>
                <w:szCs w:val="18"/>
              </w:rPr>
              <w:t xml:space="preserve">Auditor-confirmed evidence folded in as a bridge line.</w:t>
            </w:r>
          </w:p>
        </w:tc>
        <w:tc>
          <w:tcPr>
            <w:tcW w:type="dxa" w:w="2000"/>
            <w:tcMar>
              <w:top w:type="dxa" w:w="80"/>
              <w:left w:type="dxa" w:w="120"/>
              <w:bottom w:type="dxa" w:w="80"/>
              <w:right w:type="dxa" w:w="120"/>
            </w:tcMar>
          </w:tcPr>
          <w:p>
            <w:pPr>
              <w:spacing w:after="0" w:line="264"/>
            </w:pPr>
            <w:r>
              <w:rPr>
                <w:rFonts w:ascii="Arial" w:cs="Arial" w:eastAsia="Arial" w:hAnsi="Arial"/>
                <w:color w:val="14201C"/>
                <w:sz w:val="18"/>
                <w:szCs w:val="18"/>
              </w:rPr>
              <w:t xml:space="preserve">case_id</w:t>
            </w:r>
          </w:p>
        </w:tc>
      </w:tr>
    </w:tbl>
    <w:p>
      <w:pPr>
        <w:spacing w:after="80"/>
      </w:pPr>
    </w:p>
    <w:p>
      <w:pPr>
        <w:spacing w:after="120" w:line="276"/>
      </w:pPr>
      <w:r>
        <w:rPr>
          <w:rFonts w:ascii="Arial" w:cs="Arial" w:eastAsia="Arial" w:hAnsi="Arial"/>
          <w:color w:val="14201C"/>
          <w:sz w:val="20"/>
          <w:szCs w:val="20"/>
        </w:rPr>
        <w:t xml:space="preserve">The joins that matter are not only the foreign keys but the selection predicates the engine applies: the return is picked by taxpayer, period and current-version flag; the box by code and direction together, since code alone is ambiguous; the evidence by taxpayer, direction and a cleared-or-reported status; and the VAT itself by summing tax subtotals where the category is standard-rated at 15%. That last predicate is why only the standard-rated box is reconciled — the exclusion is explicit, not accidental.</w:t>
      </w:r>
    </w:p>
    <w:p>
      <w:pPr>
        <w:spacing w:after="120" w:line="276"/>
      </w:pPr>
      <w:r>
        <w:rPr>
          <w:rFonts w:ascii="Arial" w:cs="Arial" w:eastAsia="Arial" w:hAnsi="Arial"/>
          <w:color w:val="14201C"/>
          <w:sz w:val="20"/>
          <w:szCs w:val="20"/>
        </w:rPr>
        <w:t xml:space="preserve">Cross-schema links use business keys rather than foreign keys, so a reconciliation run references a case by its case identifier.</w:t>
      </w:r>
    </w:p>
    <w:p>
      <w:pPr>
        <w:pStyle w:val="Heading2"/>
        <w:spacing w:after="140" w:before="280"/>
      </w:pPr>
      <w:r>
        <w:rPr>
          <w:rFonts w:ascii="Arial" w:cs="Arial" w:eastAsia="Arial" w:hAnsi="Arial"/>
          <w:b/>
          <w:bCs/>
          <w:color w:val="0A4C40"/>
          <w:sz w:val="24"/>
          <w:szCs w:val="24"/>
        </w:rPr>
        <w:t xml:space="preserve">3.5 The model boundary</w:t>
      </w:r>
    </w:p>
    <w:p>
      <w:pPr>
        <w:spacing w:after="120" w:line="276"/>
      </w:pPr>
      <w:r>
        <w:rPr>
          <w:rFonts w:ascii="Arial" w:cs="Arial" w:eastAsia="Arial" w:hAnsi="Arial"/>
          <w:color w:val="14201C"/>
          <w:sz w:val="20"/>
          <w:szCs w:val="20"/>
        </w:rPr>
        <w:t xml:space="preserve">All model access is funnelled through a single service module; nothing else imports the SDK. The guarantee is structural rather than a matter of prompt discipline:</w:t>
      </w:r>
    </w:p>
    <w:p>
      <w:pPr>
        <w:pStyle w:val="ListParagraph"/>
        <w:numPr>
          <w:ilvl w:val="0"/>
          <w:numId w:val="3"/>
        </w:numPr>
        <w:spacing w:after="90" w:line="276"/>
      </w:pPr>
      <w:r>
        <w:rPr>
          <w:rFonts w:ascii="Arial" w:cs="Arial" w:eastAsia="Arial" w:hAnsi="Arial"/>
          <w:color w:val="14201C"/>
          <w:sz w:val="20"/>
          <w:szCs w:val="20"/>
        </w:rPr>
        <w:t xml:space="preserve">The model emits no digits at all. Figures appear only as placeholder tokens, which the engine substitutes with its own exact values before display.</w:t>
      </w:r>
    </w:p>
    <w:p>
      <w:pPr>
        <w:pStyle w:val="ListParagraph"/>
        <w:numPr>
          <w:ilvl w:val="0"/>
          <w:numId w:val="3"/>
        </w:numPr>
        <w:spacing w:after="90" w:line="276"/>
      </w:pPr>
      <w:r>
        <w:rPr>
          <w:rFonts w:ascii="Arial" w:cs="Arial" w:eastAsia="Arial" w:hAnsi="Arial"/>
          <w:color w:val="14201C"/>
          <w:sz w:val="20"/>
          <w:szCs w:val="20"/>
        </w:rPr>
        <w:t xml:space="preserve">Every drafted sentence passes a claim check and a conclusion check before it is shown. The claim check rejects any numeric literal that is not a rule code or the statutory rate. The conclusion check catches the subtler failure — a wrong verdict, such as finding language on a supported case, which would pass every figure test.</w:t>
      </w:r>
    </w:p>
    <w:p>
      <w:pPr>
        <w:pStyle w:val="ListParagraph"/>
        <w:numPr>
          <w:ilvl w:val="0"/>
          <w:numId w:val="3"/>
        </w:numPr>
        <w:spacing w:after="90" w:line="276"/>
      </w:pPr>
      <w:r>
        <w:rPr>
          <w:rFonts w:ascii="Arial" w:cs="Arial" w:eastAsia="Arial" w:hAnsi="Arial"/>
          <w:color w:val="14201C"/>
          <w:sz w:val="20"/>
          <w:szCs w:val="20"/>
        </w:rPr>
        <w:t xml:space="preserve">On any failure, refusal, missing credential or API error, the interface degrades to a deterministic draft with a badge stating which. It never shows unverified prose and never returns an error to the auditor.</w:t>
      </w:r>
    </w:p>
    <w:p>
      <w:pPr>
        <w:pStyle w:val="ListParagraph"/>
        <w:numPr>
          <w:ilvl w:val="0"/>
          <w:numId w:val="3"/>
        </w:numPr>
        <w:spacing w:after="90" w:line="276"/>
      </w:pPr>
      <w:r>
        <w:rPr>
          <w:rFonts w:ascii="Arial" w:cs="Arial" w:eastAsia="Arial" w:hAnsi="Arial"/>
          <w:color w:val="14201C"/>
          <w:sz w:val="20"/>
          <w:szCs w:val="20"/>
        </w:rPr>
        <w:t xml:space="preserve">The hosted model is called only while the data is synthetic. The taxpayer name is pseudonymised before egress and restored for display. Production swaps an in-tenant model behind the same interface with no call-site change.</w:t>
      </w:r>
    </w:p>
    <w:p>
      <w:pPr>
        <w:pStyle w:val="Heading2"/>
        <w:spacing w:after="140" w:before="280"/>
      </w:pPr>
      <w:r>
        <w:rPr>
          <w:rFonts w:ascii="Arial" w:cs="Arial" w:eastAsia="Arial" w:hAnsi="Arial"/>
          <w:b/>
          <w:bCs/>
          <w:color w:val="0A4C40"/>
          <w:sz w:val="24"/>
          <w:szCs w:val="24"/>
        </w:rPr>
        <w:t xml:space="preserve">3.6 Verification</w:t>
      </w:r>
    </w:p>
    <w:p>
      <w:pPr>
        <w:spacing w:after="120" w:line="276"/>
      </w:pPr>
      <w:r>
        <w:rPr>
          <w:rFonts w:ascii="Arial" w:cs="Arial" w:eastAsia="Arial" w:hAnsi="Arial"/>
          <w:color w:val="14201C"/>
          <w:sz w:val="20"/>
          <w:szCs w:val="20"/>
        </w:rPr>
        <w:t xml:space="preserve">The system carries 49 tests. Beyond the usual coverage, three kinds of guard are worth naming because they protect properties rather than behaviour: that a line is admitted at most once; that a rule's Python predicate and its SQL translation select the same rows; and that no agent claim contains a digit.</w:t>
      </w:r>
    </w:p>
    <w:p>
      <w:pPr>
        <w:spacing w:after="120" w:line="276"/>
      </w:pPr>
      <w:r>
        <w:rPr>
          <w:rFonts w:ascii="Arial" w:cs="Arial" w:eastAsia="Arial" w:hAnsi="Arial"/>
          <w:color w:val="14201C"/>
          <w:sz w:val="20"/>
          <w:szCs w:val="20"/>
        </w:rPr>
        <w:t xml:space="preserve">The engine rewrite was proved behaviour-preserving by diffing its output against the previous implementation across every case and both what-if variants — declared figures, residuals, states, bands, materiality and every priority score identical.</w:t>
      </w:r>
    </w:p>
    <w:p>
      <w:pPr>
        <w:spacing w:after="120" w:line="276"/>
      </w:pPr>
      <w:r>
        <w:rPr>
          <w:rFonts w:ascii="Arial" w:cs="Arial" w:eastAsia="Arial" w:hAnsi="Arial"/>
          <w:color w:val="14201C"/>
          <w:sz w:val="20"/>
          <w:szCs w:val="20"/>
        </w:rPr>
        <w:t xml:space="preserve">A standalone build of the workbench runs the whole system in a single HTML file with no backend, for demonstrations where nothing can be installed. Its JavaScript port of the engine is validated field by field against the Python implementation on every build: 6,564 comparisons, including each drill-down invoice row and every agent adjudication.</w:t>
      </w:r>
    </w:p>
    <w:p>
      <w:r>
        <w:br w:type="page"/>
      </w:r>
    </w:p>
    <w:p>
      <w:pPr>
        <w:pStyle w:val="Heading1"/>
        <w:spacing w:after="180" w:before="360"/>
      </w:pPr>
      <w:r>
        <w:rPr>
          <w:rFonts w:ascii="Arial" w:cs="Arial" w:eastAsia="Arial" w:hAnsi="Arial"/>
          <w:b/>
          <w:bCs/>
          <w:color w:val="0E6B57"/>
          <w:sz w:val="32"/>
          <w:szCs w:val="32"/>
        </w:rPr>
        <w:t xml:space="preserve">4. The agent layer</w:t>
      </w:r>
    </w:p>
    <w:p>
      <w:pPr>
        <w:pStyle w:val="Heading2"/>
        <w:spacing w:after="140" w:before="280"/>
      </w:pPr>
      <w:r>
        <w:rPr>
          <w:rFonts w:ascii="Arial" w:cs="Arial" w:eastAsia="Arial" w:hAnsi="Arial"/>
          <w:b/>
          <w:bCs/>
          <w:color w:val="0A4C40"/>
          <w:sz w:val="24"/>
          <w:szCs w:val="24"/>
        </w:rPr>
        <w:t xml:space="preserve">4.1 The principle</w:t>
      </w:r>
    </w:p>
    <w:p>
      <w:pPr>
        <w:spacing w:after="120" w:line="276"/>
      </w:pPr>
      <w:r>
        <w:rPr>
          <w:rFonts w:ascii="Arial" w:cs="Arial" w:eastAsia="Arial" w:hAnsi="Arial"/>
          <w:color w:val="14201C"/>
          <w:sz w:val="20"/>
          <w:szCs w:val="20"/>
        </w:rPr>
        <w:t xml:space="preserve">Investigation is where a language model is most useful and most dangerous. It is useful because working out why a return differs is genuinely interpretive work. It is dangerous because a model asked to explain a discrepancy will produce a fluent, plausible answer whether or not one exists.</w:t>
      </w:r>
    </w:p>
    <w:p>
      <w:pPr>
        <w:pBdr>
          <w:left w:val="single" w:color="0E6B57" w:sz="18" w:space="12"/>
        </w:pBdr>
        <w:spacing w:after="200" w:before="140" w:line="276"/>
        <w:ind w:left="240"/>
      </w:pPr>
      <w:r>
        <w:rPr>
          <w:rFonts w:ascii="Arial" w:cs="Arial" w:eastAsia="Arial" w:hAnsi="Arial"/>
          <w:i/>
          <w:iCs/>
          <w:color w:val="14201C"/>
          <w:sz w:val="20"/>
          <w:szCs w:val="20"/>
        </w:rPr>
        <w:t xml:space="preserve">Agents hypothesise; the engine adjudicates. An agent never states a figure. It returns a typed, executable question, and a deterministic adjudicator answers it against the reconciliation and supplies the amount.</w:t>
      </w:r>
    </w:p>
    <w:p>
      <w:pPr>
        <w:spacing w:after="120" w:line="276"/>
      </w:pPr>
      <w:r>
        <w:rPr>
          <w:rFonts w:ascii="Arial" w:cs="Arial" w:eastAsia="Arial" w:hAnsi="Arial"/>
          <w:color w:val="14201C"/>
          <w:sz w:val="20"/>
          <w:szCs w:val="20"/>
        </w:rPr>
        <w:t xml:space="preserve">A useful discovery while building this: hypothesis generation is pattern work, not language work. "Is the declared figure the expected one times ten?" needs arithmetic, not eloquence. So the evidence agents run deterministically and need no model at all — which is why the investigation also works offline. A model can later enrich the wording, or take on the agents that genuinely need judgement, without changing the contract.</w:t>
      </w:r>
    </w:p>
    <w:p>
      <w:pPr>
        <w:pStyle w:val="Heading2"/>
        <w:spacing w:after="140" w:before="280"/>
      </w:pPr>
      <w:r>
        <w:rPr>
          <w:rFonts w:ascii="Arial" w:cs="Arial" w:eastAsia="Arial" w:hAnsi="Arial"/>
          <w:b/>
          <w:bCs/>
          <w:color w:val="0A4C40"/>
          <w:sz w:val="24"/>
          <w:szCs w:val="24"/>
        </w:rPr>
        <w:t xml:space="preserve">4.2 What an agent may say</w:t>
      </w:r>
    </w:p>
    <w:p>
      <w:pPr>
        <w:spacing w:after="120" w:line="276"/>
      </w:pPr>
      <w:r>
        <w:rPr>
          <w:rFonts w:ascii="Arial" w:cs="Arial" w:eastAsia="Arial" w:hAnsi="Arial"/>
          <w:color w:val="14201C"/>
          <w:sz w:val="20"/>
          <w:szCs w:val="20"/>
        </w:rPr>
        <w:t xml:space="preserve">An agent returns a hypothesis with an identifier, the proposing agent, a claim written in language only, a reason code, a typed test, evidence references and a confidence. The adjudicator returns a status, an amount, the arithmetic behind it and an explanation. Because the explanation is engine-authored, it may contain real digits — the constraint applies to what the agent writes, not to what the engine computes.</w:t>
      </w:r>
    </w:p>
    <w:p>
      <w:pPr>
        <w:spacing w:after="120" w:line="276"/>
      </w:pPr>
      <w:r>
        <w:rPr>
          <w:rFonts w:ascii="Arial" w:cs="Arial" w:eastAsia="Arial" w:hAnsi="Arial"/>
          <w:color w:val="14201C"/>
          <w:sz w:val="20"/>
          <w:szCs w:val="20"/>
        </w:rPr>
        <w:t xml:space="preserve">The tests available today are all near-exact by design, so a confirmation is a fact rather than an opinion:</w:t>
      </w:r>
    </w:p>
    <w:p>
      <w:pPr>
        <w:spacing w:after="60"/>
      </w:pPr>
    </w:p>
    <w:tbl>
      <w:tblPr>
        <w:tblW w:type="dxa" w:w="10080"/>
        <w:tblBorders>
          <w:top w:val="single" w:color="DCE6E0" w:sz="2"/>
          <w:left w:val="single" w:color="DCE6E0" w:sz="2"/>
          <w:bottom w:val="single" w:color="DCE6E0" w:sz="2"/>
          <w:right w:val="single" w:color="DCE6E0" w:sz="2"/>
          <w:insideH w:val="single" w:color="DCE6E0" w:sz="2"/>
          <w:insideV w:val="single" w:color="DCE6E0" w:sz="2"/>
        </w:tblBorders>
      </w:tblPr>
      <w:tblGrid>
        <w:gridCol w:w="2600"/>
        <w:gridCol w:w="7480"/>
      </w:tblGrid>
      <w:tr>
        <w:trPr>
          <w:tblHeader/>
        </w:trPr>
        <w:tc>
          <w:tcPr>
            <w:tcW w:type="dxa" w:w="2600"/>
            <w:shd w:fill="0E6B57" w:color="auto" w:val="clear"/>
            <w:tcMar>
              <w:top w:type="dxa" w:w="80"/>
              <w:left w:type="dxa" w:w="120"/>
              <w:bottom w:type="dxa" w:w="80"/>
              <w:right w:type="dxa" w:w="120"/>
            </w:tcMar>
          </w:tcPr>
          <w:p>
            <w:pPr>
              <w:spacing w:after="0" w:line="264"/>
            </w:pPr>
            <w:r>
              <w:rPr>
                <w:rFonts w:ascii="Arial" w:cs="Arial" w:eastAsia="Arial" w:hAnsi="Arial"/>
                <w:b/>
                <w:bCs/>
                <w:color w:val="FFFFFF"/>
                <w:sz w:val="18"/>
                <w:szCs w:val="18"/>
              </w:rPr>
              <w:t xml:space="preserve">Test</w:t>
            </w:r>
          </w:p>
        </w:tc>
        <w:tc>
          <w:tcPr>
            <w:tcW w:type="dxa" w:w="7480"/>
            <w:shd w:fill="0E6B57" w:color="auto" w:val="clear"/>
            <w:tcMar>
              <w:top w:type="dxa" w:w="80"/>
              <w:left w:type="dxa" w:w="120"/>
              <w:bottom w:type="dxa" w:w="80"/>
              <w:right w:type="dxa" w:w="120"/>
            </w:tcMar>
          </w:tcPr>
          <w:p>
            <w:pPr>
              <w:spacing w:after="0" w:line="264"/>
            </w:pPr>
            <w:r>
              <w:rPr>
                <w:rFonts w:ascii="Arial" w:cs="Arial" w:eastAsia="Arial" w:hAnsi="Arial"/>
                <w:b/>
                <w:bCs/>
                <w:color w:val="FFFFFF"/>
                <w:sz w:val="18"/>
                <w:szCs w:val="18"/>
              </w:rPr>
              <w:t xml:space="preserve">The question it settles</w:t>
            </w:r>
          </w:p>
        </w:tc>
      </w:tr>
      <w:tr>
        <w:tc>
          <w:tcPr>
            <w:tcW w:type="dxa" w:w="2600"/>
            <w:tcMar>
              <w:top w:type="dxa" w:w="80"/>
              <w:left w:type="dxa" w:w="120"/>
              <w:bottom w:type="dxa" w:w="80"/>
              <w:right w:type="dxa" w:w="120"/>
            </w:tcMar>
          </w:tcPr>
          <w:p>
            <w:pPr>
              <w:spacing w:after="0" w:line="264"/>
            </w:pPr>
            <w:r>
              <w:rPr>
                <w:rFonts w:ascii="Arial" w:cs="Arial" w:eastAsia="Arial" w:hAnsi="Arial"/>
                <w:b/>
                <w:bCs/>
                <w:color w:val="14201C"/>
                <w:sz w:val="18"/>
                <w:szCs w:val="18"/>
              </w:rPr>
              <w:t xml:space="preserve">Decimal shift</w:t>
            </w:r>
          </w:p>
        </w:tc>
        <w:tc>
          <w:tcPr>
            <w:tcW w:type="dxa" w:w="7480"/>
            <w:tcMar>
              <w:top w:type="dxa" w:w="80"/>
              <w:left w:type="dxa" w:w="120"/>
              <w:bottom w:type="dxa" w:w="80"/>
              <w:right w:type="dxa" w:w="120"/>
            </w:tcMar>
          </w:tcPr>
          <w:p>
            <w:pPr>
              <w:spacing w:after="0" w:line="264"/>
            </w:pPr>
            <w:r>
              <w:rPr>
                <w:rFonts w:ascii="Arial" w:cs="Arial" w:eastAsia="Arial" w:hAnsi="Arial"/>
                <w:color w:val="14201C"/>
                <w:sz w:val="18"/>
                <w:szCs w:val="18"/>
              </w:rPr>
              <w:t xml:space="preserve">Is the declared figure the expected one with the decimal point moved?</w:t>
            </w:r>
          </w:p>
        </w:tc>
      </w:tr>
      <w:tr>
        <w:tc>
          <w:tcPr>
            <w:tcW w:type="dxa" w:w="2600"/>
            <w:tcMar>
              <w:top w:type="dxa" w:w="80"/>
              <w:left w:type="dxa" w:w="120"/>
              <w:bottom w:type="dxa" w:w="80"/>
              <w:right w:type="dxa" w:w="120"/>
            </w:tcMar>
          </w:tcPr>
          <w:p>
            <w:pPr>
              <w:spacing w:after="0" w:line="264"/>
            </w:pPr>
            <w:r>
              <w:rPr>
                <w:rFonts w:ascii="Arial" w:cs="Arial" w:eastAsia="Arial" w:hAnsi="Arial"/>
                <w:b/>
                <w:bCs/>
                <w:color w:val="14201C"/>
                <w:sz w:val="18"/>
                <w:szCs w:val="18"/>
              </w:rPr>
              <w:t xml:space="preserve">Digit transposition</w:t>
            </w:r>
          </w:p>
        </w:tc>
        <w:tc>
          <w:tcPr>
            <w:tcW w:type="dxa" w:w="7480"/>
            <w:tcMar>
              <w:top w:type="dxa" w:w="80"/>
              <w:left w:type="dxa" w:w="120"/>
              <w:bottom w:type="dxa" w:w="80"/>
              <w:right w:type="dxa" w:w="120"/>
            </w:tcMar>
          </w:tcPr>
          <w:p>
            <w:pPr>
              <w:spacing w:after="0" w:line="264"/>
            </w:pPr>
            <w:r>
              <w:rPr>
                <w:rFonts w:ascii="Arial" w:cs="Arial" w:eastAsia="Arial" w:hAnsi="Arial"/>
                <w:color w:val="14201C"/>
                <w:sz w:val="18"/>
                <w:szCs w:val="18"/>
              </w:rPr>
              <w:t xml:space="preserve">Do the declared and expected figures share the same digits in a different order?</w:t>
            </w:r>
          </w:p>
        </w:tc>
      </w:tr>
      <w:tr>
        <w:tc>
          <w:tcPr>
            <w:tcW w:type="dxa" w:w="2600"/>
            <w:tcMar>
              <w:top w:type="dxa" w:w="80"/>
              <w:left w:type="dxa" w:w="120"/>
              <w:bottom w:type="dxa" w:w="80"/>
              <w:right w:type="dxa" w:w="120"/>
            </w:tcMar>
          </w:tcPr>
          <w:p>
            <w:pPr>
              <w:spacing w:after="0" w:line="264"/>
            </w:pPr>
            <w:r>
              <w:rPr>
                <w:rFonts w:ascii="Arial" w:cs="Arial" w:eastAsia="Arial" w:hAnsi="Arial"/>
                <w:b/>
                <w:bCs/>
                <w:color w:val="14201C"/>
                <w:sz w:val="18"/>
                <w:szCs w:val="18"/>
              </w:rPr>
              <w:t xml:space="preserve">Single document</w:t>
            </w:r>
          </w:p>
        </w:tc>
        <w:tc>
          <w:tcPr>
            <w:tcW w:type="dxa" w:w="7480"/>
            <w:tcMar>
              <w:top w:type="dxa" w:w="80"/>
              <w:left w:type="dxa" w:w="120"/>
              <w:bottom w:type="dxa" w:w="80"/>
              <w:right w:type="dxa" w:w="120"/>
            </w:tcMar>
          </w:tcPr>
          <w:p>
            <w:pPr>
              <w:spacing w:after="0" w:line="264"/>
            </w:pPr>
            <w:r>
              <w:rPr>
                <w:rFonts w:ascii="Arial" w:cs="Arial" w:eastAsia="Arial" w:hAnsi="Arial"/>
                <w:color w:val="14201C"/>
                <w:sz w:val="18"/>
                <w:szCs w:val="18"/>
              </w:rPr>
              <w:t xml:space="preserve">Is the difference exactly one document's VAT?</w:t>
            </w:r>
          </w:p>
        </w:tc>
      </w:tr>
      <w:tr>
        <w:tc>
          <w:tcPr>
            <w:tcW w:type="dxa" w:w="2600"/>
            <w:tcMar>
              <w:top w:type="dxa" w:w="80"/>
              <w:left w:type="dxa" w:w="120"/>
              <w:bottom w:type="dxa" w:w="80"/>
              <w:right w:type="dxa" w:w="120"/>
            </w:tcMar>
          </w:tcPr>
          <w:p>
            <w:pPr>
              <w:spacing w:after="0" w:line="264"/>
            </w:pPr>
            <w:r>
              <w:rPr>
                <w:rFonts w:ascii="Arial" w:cs="Arial" w:eastAsia="Arial" w:hAnsi="Arial"/>
                <w:b/>
                <w:bCs/>
                <w:color w:val="14201C"/>
                <w:sz w:val="18"/>
                <w:szCs w:val="18"/>
              </w:rPr>
              <w:t xml:space="preserve">Paired offset</w:t>
            </w:r>
          </w:p>
        </w:tc>
        <w:tc>
          <w:tcPr>
            <w:tcW w:type="dxa" w:w="7480"/>
            <w:tcMar>
              <w:top w:type="dxa" w:w="80"/>
              <w:left w:type="dxa" w:w="120"/>
              <w:bottom w:type="dxa" w:w="80"/>
              <w:right w:type="dxa" w:w="120"/>
            </w:tcMar>
          </w:tcPr>
          <w:p>
            <w:pPr>
              <w:spacing w:after="0" w:line="264"/>
            </w:pPr>
            <w:r>
              <w:rPr>
                <w:rFonts w:ascii="Arial" w:cs="Arial" w:eastAsia="Arial" w:hAnsi="Arial"/>
                <w:color w:val="14201C"/>
                <w:sz w:val="18"/>
                <w:szCs w:val="18"/>
              </w:rPr>
              <w:t xml:space="preserve">Is one box's shortfall equal to another's excess, indicating a misposting?</w:t>
            </w:r>
          </w:p>
        </w:tc>
      </w:tr>
      <w:tr>
        <w:tc>
          <w:tcPr>
            <w:tcW w:type="dxa" w:w="2600"/>
            <w:tcMar>
              <w:top w:type="dxa" w:w="80"/>
              <w:left w:type="dxa" w:w="120"/>
              <w:bottom w:type="dxa" w:w="80"/>
              <w:right w:type="dxa" w:w="120"/>
            </w:tcMar>
          </w:tcPr>
          <w:p>
            <w:pPr>
              <w:spacing w:after="0" w:line="264"/>
            </w:pPr>
            <w:r>
              <w:rPr>
                <w:rFonts w:ascii="Arial" w:cs="Arial" w:eastAsia="Arial" w:hAnsi="Arial"/>
                <w:b/>
                <w:bCs/>
                <w:color w:val="14201C"/>
                <w:sz w:val="18"/>
                <w:szCs w:val="18"/>
              </w:rPr>
              <w:t xml:space="preserve">Period shift</w:t>
            </w:r>
          </w:p>
        </w:tc>
        <w:tc>
          <w:tcPr>
            <w:tcW w:type="dxa" w:w="7480"/>
            <w:tcMar>
              <w:top w:type="dxa" w:w="80"/>
              <w:left w:type="dxa" w:w="120"/>
              <w:bottom w:type="dxa" w:w="80"/>
              <w:right w:type="dxa" w:w="120"/>
            </w:tcMar>
          </w:tcPr>
          <w:p>
            <w:pPr>
              <w:spacing w:after="0" w:line="264"/>
            </w:pPr>
            <w:r>
              <w:rPr>
                <w:rFonts w:ascii="Arial" w:cs="Arial" w:eastAsia="Arial" w:hAnsi="Arial"/>
                <w:color w:val="14201C"/>
                <w:sz w:val="18"/>
                <w:szCs w:val="18"/>
              </w:rPr>
              <w:t xml:space="preserve">Does the difference equal the supplies whose tax point falls in an adjacent period?</w:t>
            </w:r>
          </w:p>
        </w:tc>
      </w:tr>
      <w:tr>
        <w:tc>
          <w:tcPr>
            <w:tcW w:type="dxa" w:w="2600"/>
            <w:tcMar>
              <w:top w:type="dxa" w:w="80"/>
              <w:left w:type="dxa" w:w="120"/>
              <w:bottom w:type="dxa" w:w="80"/>
              <w:right w:type="dxa" w:w="120"/>
            </w:tcMar>
          </w:tcPr>
          <w:p>
            <w:pPr>
              <w:spacing w:after="0" w:line="264"/>
            </w:pPr>
            <w:r>
              <w:rPr>
                <w:rFonts w:ascii="Arial" w:cs="Arial" w:eastAsia="Arial" w:hAnsi="Arial"/>
                <w:b/>
                <w:bCs/>
                <w:color w:val="14201C"/>
                <w:sz w:val="18"/>
                <w:szCs w:val="18"/>
              </w:rPr>
              <w:t xml:space="preserve">Rate misapplication</w:t>
            </w:r>
          </w:p>
        </w:tc>
        <w:tc>
          <w:tcPr>
            <w:tcW w:type="dxa" w:w="7480"/>
            <w:tcMar>
              <w:top w:type="dxa" w:w="80"/>
              <w:left w:type="dxa" w:w="120"/>
              <w:bottom w:type="dxa" w:w="80"/>
              <w:right w:type="dxa" w:w="120"/>
            </w:tcMar>
          </w:tcPr>
          <w:p>
            <w:pPr>
              <w:spacing w:after="0" w:line="264"/>
            </w:pPr>
            <w:r>
              <w:rPr>
                <w:rFonts w:ascii="Arial" w:cs="Arial" w:eastAsia="Arial" w:hAnsi="Arial"/>
                <w:color w:val="14201C"/>
                <w:sz w:val="18"/>
                <w:szCs w:val="18"/>
              </w:rPr>
              <w:t xml:space="preserve">Does the difference equal the taxable base at one rate rather than another?</w:t>
            </w:r>
          </w:p>
        </w:tc>
      </w:tr>
      <w:tr>
        <w:tc>
          <w:tcPr>
            <w:tcW w:type="dxa" w:w="2600"/>
            <w:tcMar>
              <w:top w:type="dxa" w:w="80"/>
              <w:left w:type="dxa" w:w="120"/>
              <w:bottom w:type="dxa" w:w="80"/>
              <w:right w:type="dxa" w:w="120"/>
            </w:tcMar>
          </w:tcPr>
          <w:p>
            <w:pPr>
              <w:spacing w:after="0" w:line="264"/>
            </w:pPr>
            <w:r>
              <w:rPr>
                <w:rFonts w:ascii="Arial" w:cs="Arial" w:eastAsia="Arial" w:hAnsi="Arial"/>
                <w:b/>
                <w:bCs/>
                <w:color w:val="14201C"/>
                <w:sz w:val="18"/>
                <w:szCs w:val="18"/>
              </w:rPr>
              <w:t xml:space="preserve">Recurrence</w:t>
            </w:r>
          </w:p>
        </w:tc>
        <w:tc>
          <w:tcPr>
            <w:tcW w:type="dxa" w:w="7480"/>
            <w:tcMar>
              <w:top w:type="dxa" w:w="80"/>
              <w:left w:type="dxa" w:w="120"/>
              <w:bottom w:type="dxa" w:w="80"/>
              <w:right w:type="dxa" w:w="120"/>
            </w:tcMar>
          </w:tcPr>
          <w:p>
            <w:pPr>
              <w:spacing w:after="0" w:line="264"/>
            </w:pPr>
            <w:r>
              <w:rPr>
                <w:rFonts w:ascii="Arial" w:cs="Arial" w:eastAsia="Arial" w:hAnsi="Arial"/>
                <w:color w:val="14201C"/>
                <w:sz w:val="18"/>
                <w:szCs w:val="18"/>
              </w:rPr>
              <w:t xml:space="preserve">Has this taxpayer been closed on a recorded root cause before?</w:t>
            </w:r>
          </w:p>
        </w:tc>
      </w:tr>
      <w:tr>
        <w:tc>
          <w:tcPr>
            <w:tcW w:type="dxa" w:w="2600"/>
            <w:tcMar>
              <w:top w:type="dxa" w:w="80"/>
              <w:left w:type="dxa" w:w="120"/>
              <w:bottom w:type="dxa" w:w="80"/>
              <w:right w:type="dxa" w:w="120"/>
            </w:tcMar>
          </w:tcPr>
          <w:p>
            <w:pPr>
              <w:spacing w:after="0" w:line="264"/>
            </w:pPr>
            <w:r>
              <w:rPr>
                <w:rFonts w:ascii="Arial" w:cs="Arial" w:eastAsia="Arial" w:hAnsi="Arial"/>
                <w:b/>
                <w:bCs/>
                <w:color w:val="14201C"/>
                <w:sz w:val="18"/>
                <w:szCs w:val="18"/>
              </w:rPr>
              <w:t xml:space="preserve">Historical magnitude</w:t>
            </w:r>
          </w:p>
        </w:tc>
        <w:tc>
          <w:tcPr>
            <w:tcW w:type="dxa" w:w="7480"/>
            <w:tcMar>
              <w:top w:type="dxa" w:w="80"/>
              <w:left w:type="dxa" w:w="120"/>
              <w:bottom w:type="dxa" w:w="80"/>
              <w:right w:type="dxa" w:w="120"/>
            </w:tcMar>
          </w:tcPr>
          <w:p>
            <w:pPr>
              <w:spacing w:after="0" w:line="264"/>
            </w:pPr>
            <w:r>
              <w:rPr>
                <w:rFonts w:ascii="Arial" w:cs="Arial" w:eastAsia="Arial" w:hAnsi="Arial"/>
                <w:color w:val="14201C"/>
                <w:sz w:val="18"/>
                <w:szCs w:val="18"/>
              </w:rPr>
              <w:t xml:space="preserve">Is the declaration out of character for this taxpayer's own filing history?</w:t>
            </w:r>
          </w:p>
        </w:tc>
      </w:tr>
    </w:tbl>
    <w:p>
      <w:pPr>
        <w:pStyle w:val="Heading2"/>
        <w:spacing w:after="140" w:before="280"/>
      </w:pPr>
      <w:r>
        <w:rPr>
          <w:rFonts w:ascii="Arial" w:cs="Arial" w:eastAsia="Arial" w:hAnsi="Arial"/>
          <w:b/>
          <w:bCs/>
          <w:color w:val="0A4C40"/>
          <w:sz w:val="24"/>
          <w:szCs w:val="24"/>
        </w:rPr>
        <w:t xml:space="preserve">4.3 The roster</w:t>
      </w:r>
    </w:p>
    <w:p>
      <w:pPr>
        <w:spacing w:after="120" w:line="276"/>
      </w:pPr>
      <w:r>
        <w:rPr>
          <w:rFonts w:ascii="Arial" w:cs="Arial" w:eastAsia="Arial" w:hAnsi="Arial"/>
          <w:color w:val="14201C"/>
          <w:sz w:val="20"/>
          <w:szCs w:val="20"/>
        </w:rPr>
        <w:t xml:space="preserve">Thirteen agents across three tiers. Two of them are deliberately not models: the adjudicator, because a verdict on a figure must be deterministic, and the case lead, because routing must be auditable.</w:t>
      </w:r>
    </w:p>
    <w:p>
      <w:pPr>
        <w:spacing w:after="60"/>
      </w:pPr>
    </w:p>
    <w:tbl>
      <w:tblPr>
        <w:tblW w:type="dxa" w:w="10080"/>
        <w:tblBorders>
          <w:top w:val="single" w:color="DCE6E0" w:sz="2"/>
          <w:left w:val="single" w:color="DCE6E0" w:sz="2"/>
          <w:bottom w:val="single" w:color="DCE6E0" w:sz="2"/>
          <w:right w:val="single" w:color="DCE6E0" w:sz="2"/>
          <w:insideH w:val="single" w:color="DCE6E0" w:sz="2"/>
          <w:insideV w:val="single" w:color="DCE6E0" w:sz="2"/>
        </w:tblBorders>
      </w:tblPr>
      <w:tblGrid>
        <w:gridCol w:w="2300"/>
        <w:gridCol w:w="1200"/>
        <w:gridCol w:w="5180"/>
        <w:gridCol w:w="1400"/>
      </w:tblGrid>
      <w:tr>
        <w:trPr>
          <w:tblHeader/>
        </w:trPr>
        <w:tc>
          <w:tcPr>
            <w:tcW w:type="dxa" w:w="2300"/>
            <w:shd w:fill="0E6B57" w:color="auto" w:val="clear"/>
            <w:tcMar>
              <w:top w:type="dxa" w:w="80"/>
              <w:left w:type="dxa" w:w="120"/>
              <w:bottom w:type="dxa" w:w="80"/>
              <w:right w:type="dxa" w:w="120"/>
            </w:tcMar>
          </w:tcPr>
          <w:p>
            <w:pPr>
              <w:spacing w:after="0" w:line="264"/>
            </w:pPr>
            <w:r>
              <w:rPr>
                <w:rFonts w:ascii="Arial" w:cs="Arial" w:eastAsia="Arial" w:hAnsi="Arial"/>
                <w:b/>
                <w:bCs/>
                <w:color w:val="FFFFFF"/>
                <w:sz w:val="18"/>
                <w:szCs w:val="18"/>
              </w:rPr>
              <w:t xml:space="preserve">Agent</w:t>
            </w:r>
          </w:p>
        </w:tc>
        <w:tc>
          <w:tcPr>
            <w:tcW w:type="dxa" w:w="1200"/>
            <w:shd w:fill="0E6B57" w:color="auto" w:val="clear"/>
            <w:tcMar>
              <w:top w:type="dxa" w:w="80"/>
              <w:left w:type="dxa" w:w="120"/>
              <w:bottom w:type="dxa" w:w="80"/>
              <w:right w:type="dxa" w:w="120"/>
            </w:tcMar>
          </w:tcPr>
          <w:p>
            <w:pPr>
              <w:spacing w:after="0" w:line="264"/>
            </w:pPr>
            <w:r>
              <w:rPr>
                <w:rFonts w:ascii="Arial" w:cs="Arial" w:eastAsia="Arial" w:hAnsi="Arial"/>
                <w:b/>
                <w:bCs/>
                <w:color w:val="FFFFFF"/>
                <w:sz w:val="18"/>
                <w:szCs w:val="18"/>
              </w:rPr>
              <w:t xml:space="preserve">Tier</w:t>
            </w:r>
          </w:p>
        </w:tc>
        <w:tc>
          <w:tcPr>
            <w:tcW w:type="dxa" w:w="5180"/>
            <w:shd w:fill="0E6B57" w:color="auto" w:val="clear"/>
            <w:tcMar>
              <w:top w:type="dxa" w:w="80"/>
              <w:left w:type="dxa" w:w="120"/>
              <w:bottom w:type="dxa" w:w="80"/>
              <w:right w:type="dxa" w:w="120"/>
            </w:tcMar>
          </w:tcPr>
          <w:p>
            <w:pPr>
              <w:spacing w:after="0" w:line="264"/>
            </w:pPr>
            <w:r>
              <w:rPr>
                <w:rFonts w:ascii="Arial" w:cs="Arial" w:eastAsia="Arial" w:hAnsi="Arial"/>
                <w:b/>
                <w:bCs/>
                <w:color w:val="FFFFFF"/>
                <w:sz w:val="18"/>
                <w:szCs w:val="18"/>
              </w:rPr>
              <w:t xml:space="preserve">Role</w:t>
            </w:r>
          </w:p>
        </w:tc>
        <w:tc>
          <w:tcPr>
            <w:tcW w:type="dxa" w:w="1400"/>
            <w:shd w:fill="0E6B57" w:color="auto" w:val="clear"/>
            <w:tcMar>
              <w:top w:type="dxa" w:w="80"/>
              <w:left w:type="dxa" w:w="120"/>
              <w:bottom w:type="dxa" w:w="80"/>
              <w:right w:type="dxa" w:w="120"/>
            </w:tcMar>
          </w:tcPr>
          <w:p>
            <w:pPr>
              <w:spacing w:after="0" w:line="264"/>
            </w:pPr>
            <w:r>
              <w:rPr>
                <w:rFonts w:ascii="Arial" w:cs="Arial" w:eastAsia="Arial" w:hAnsi="Arial"/>
                <w:b/>
                <w:bCs/>
                <w:color w:val="FFFFFF"/>
                <w:sz w:val="18"/>
                <w:szCs w:val="18"/>
              </w:rPr>
              <w:t xml:space="preserve">State</w:t>
            </w:r>
          </w:p>
        </w:tc>
      </w:tr>
      <w:tr>
        <w:tc>
          <w:tcPr>
            <w:tcW w:type="dxa" w:w="2300"/>
            <w:tcMar>
              <w:top w:type="dxa" w:w="80"/>
              <w:left w:type="dxa" w:w="120"/>
              <w:bottom w:type="dxa" w:w="80"/>
              <w:right w:type="dxa" w:w="120"/>
            </w:tcMar>
          </w:tcPr>
          <w:p>
            <w:pPr>
              <w:spacing w:after="0" w:line="264"/>
            </w:pPr>
            <w:r>
              <w:rPr>
                <w:rFonts w:ascii="Arial" w:cs="Arial" w:eastAsia="Arial" w:hAnsi="Arial"/>
                <w:b/>
                <w:bCs/>
                <w:color w:val="14201C"/>
                <w:sz w:val="18"/>
                <w:szCs w:val="18"/>
              </w:rPr>
              <w:t xml:space="preserve">Reconstruction Analyst</w:t>
            </w:r>
          </w:p>
        </w:tc>
        <w:tc>
          <w:tcPr>
            <w:tcW w:type="dxa" w:w="1200"/>
            <w:tcMar>
              <w:top w:type="dxa" w:w="80"/>
              <w:left w:type="dxa" w:w="120"/>
              <w:bottom w:type="dxa" w:w="80"/>
              <w:right w:type="dxa" w:w="120"/>
            </w:tcMar>
          </w:tcPr>
          <w:p>
            <w:pPr>
              <w:spacing w:after="0" w:line="264"/>
            </w:pPr>
            <w:r>
              <w:rPr>
                <w:rFonts w:ascii="Arial" w:cs="Arial" w:eastAsia="Arial" w:hAnsi="Arial"/>
                <w:color w:val="14201C"/>
                <w:sz w:val="18"/>
                <w:szCs w:val="18"/>
              </w:rPr>
              <w:t xml:space="preserve">Evidence</w:t>
            </w:r>
          </w:p>
        </w:tc>
        <w:tc>
          <w:tcPr>
            <w:tcW w:type="dxa" w:w="5180"/>
            <w:tcMar>
              <w:top w:type="dxa" w:w="80"/>
              <w:left w:type="dxa" w:w="120"/>
              <w:bottom w:type="dxa" w:w="80"/>
              <w:right w:type="dxa" w:w="120"/>
            </w:tcMar>
          </w:tcPr>
          <w:p>
            <w:pPr>
              <w:spacing w:after="0" w:line="264"/>
            </w:pPr>
            <w:r>
              <w:rPr>
                <w:rFonts w:ascii="Arial" w:cs="Arial" w:eastAsia="Arial" w:hAnsi="Arial"/>
                <w:color w:val="14201C"/>
                <w:sz w:val="18"/>
                <w:szCs w:val="18"/>
              </w:rPr>
              <w:t xml:space="preserve">Structural causes read from the box differences and the decision log.</w:t>
            </w:r>
          </w:p>
        </w:tc>
        <w:tc>
          <w:tcPr>
            <w:tcW w:type="dxa" w:w="1400"/>
            <w:tcMar>
              <w:top w:type="dxa" w:w="80"/>
              <w:left w:type="dxa" w:w="120"/>
              <w:bottom w:type="dxa" w:w="80"/>
              <w:right w:type="dxa" w:w="120"/>
            </w:tcMar>
          </w:tcPr>
          <w:p>
            <w:pPr>
              <w:spacing w:after="0" w:line="264"/>
            </w:pPr>
            <w:r>
              <w:rPr>
                <w:rFonts w:ascii="Arial" w:cs="Arial" w:eastAsia="Arial" w:hAnsi="Arial"/>
                <w:color w:val="14201C"/>
                <w:sz w:val="18"/>
                <w:szCs w:val="18"/>
              </w:rPr>
              <w:t xml:space="preserve">Built</w:t>
            </w:r>
          </w:p>
        </w:tc>
      </w:tr>
      <w:tr>
        <w:tc>
          <w:tcPr>
            <w:tcW w:type="dxa" w:w="2300"/>
            <w:tcMar>
              <w:top w:type="dxa" w:w="80"/>
              <w:left w:type="dxa" w:w="120"/>
              <w:bottom w:type="dxa" w:w="80"/>
              <w:right w:type="dxa" w:w="120"/>
            </w:tcMar>
          </w:tcPr>
          <w:p>
            <w:pPr>
              <w:spacing w:after="0" w:line="264"/>
            </w:pPr>
            <w:r>
              <w:rPr>
                <w:rFonts w:ascii="Arial" w:cs="Arial" w:eastAsia="Arial" w:hAnsi="Arial"/>
                <w:b/>
                <w:bCs/>
                <w:color w:val="14201C"/>
                <w:sz w:val="18"/>
                <w:szCs w:val="18"/>
              </w:rPr>
              <w:t xml:space="preserve">Data-Entry Forensics</w:t>
            </w:r>
          </w:p>
        </w:tc>
        <w:tc>
          <w:tcPr>
            <w:tcW w:type="dxa" w:w="1200"/>
            <w:tcMar>
              <w:top w:type="dxa" w:w="80"/>
              <w:left w:type="dxa" w:w="120"/>
              <w:bottom w:type="dxa" w:w="80"/>
              <w:right w:type="dxa" w:w="120"/>
            </w:tcMar>
          </w:tcPr>
          <w:p>
            <w:pPr>
              <w:spacing w:after="0" w:line="264"/>
            </w:pPr>
            <w:r>
              <w:rPr>
                <w:rFonts w:ascii="Arial" w:cs="Arial" w:eastAsia="Arial" w:hAnsi="Arial"/>
                <w:color w:val="14201C"/>
                <w:sz w:val="18"/>
                <w:szCs w:val="18"/>
              </w:rPr>
              <w:t xml:space="preserve">Evidence</w:t>
            </w:r>
          </w:p>
        </w:tc>
        <w:tc>
          <w:tcPr>
            <w:tcW w:type="dxa" w:w="5180"/>
            <w:tcMar>
              <w:top w:type="dxa" w:w="80"/>
              <w:left w:type="dxa" w:w="120"/>
              <w:bottom w:type="dxa" w:w="80"/>
              <w:right w:type="dxa" w:w="120"/>
            </w:tcMar>
          </w:tcPr>
          <w:p>
            <w:pPr>
              <w:spacing w:after="0" w:line="264"/>
            </w:pPr>
            <w:r>
              <w:rPr>
                <w:rFonts w:ascii="Arial" w:cs="Arial" w:eastAsia="Arial" w:hAnsi="Arial"/>
                <w:color w:val="14201C"/>
                <w:sz w:val="18"/>
                <w:szCs w:val="18"/>
              </w:rPr>
              <w:t xml:space="preserve">Keying errors: decimal slips, transpositions, out-of-character figures.</w:t>
            </w:r>
          </w:p>
        </w:tc>
        <w:tc>
          <w:tcPr>
            <w:tcW w:type="dxa" w:w="1400"/>
            <w:tcMar>
              <w:top w:type="dxa" w:w="80"/>
              <w:left w:type="dxa" w:w="120"/>
              <w:bottom w:type="dxa" w:w="80"/>
              <w:right w:type="dxa" w:w="120"/>
            </w:tcMar>
          </w:tcPr>
          <w:p>
            <w:pPr>
              <w:spacing w:after="0" w:line="264"/>
            </w:pPr>
            <w:r>
              <w:rPr>
                <w:rFonts w:ascii="Arial" w:cs="Arial" w:eastAsia="Arial" w:hAnsi="Arial"/>
                <w:color w:val="14201C"/>
                <w:sz w:val="18"/>
                <w:szCs w:val="18"/>
              </w:rPr>
              <w:t xml:space="preserve">Built</w:t>
            </w:r>
          </w:p>
        </w:tc>
      </w:tr>
      <w:tr>
        <w:tc>
          <w:tcPr>
            <w:tcW w:type="dxa" w:w="2300"/>
            <w:tcMar>
              <w:top w:type="dxa" w:w="80"/>
              <w:left w:type="dxa" w:w="120"/>
              <w:bottom w:type="dxa" w:w="80"/>
              <w:right w:type="dxa" w:w="120"/>
            </w:tcMar>
          </w:tcPr>
          <w:p>
            <w:pPr>
              <w:spacing w:after="0" w:line="264"/>
            </w:pPr>
            <w:r>
              <w:rPr>
                <w:rFonts w:ascii="Arial" w:cs="Arial" w:eastAsia="Arial" w:hAnsi="Arial"/>
                <w:b/>
                <w:bCs/>
                <w:color w:val="14201C"/>
                <w:sz w:val="18"/>
                <w:szCs w:val="18"/>
              </w:rPr>
              <w:t xml:space="preserve">Historical Pattern</w:t>
            </w:r>
          </w:p>
        </w:tc>
        <w:tc>
          <w:tcPr>
            <w:tcW w:type="dxa" w:w="1200"/>
            <w:tcMar>
              <w:top w:type="dxa" w:w="80"/>
              <w:left w:type="dxa" w:w="120"/>
              <w:bottom w:type="dxa" w:w="80"/>
              <w:right w:type="dxa" w:w="120"/>
            </w:tcMar>
          </w:tcPr>
          <w:p>
            <w:pPr>
              <w:spacing w:after="0" w:line="264"/>
            </w:pPr>
            <w:r>
              <w:rPr>
                <w:rFonts w:ascii="Arial" w:cs="Arial" w:eastAsia="Arial" w:hAnsi="Arial"/>
                <w:color w:val="14201C"/>
                <w:sz w:val="18"/>
                <w:szCs w:val="18"/>
              </w:rPr>
              <w:t xml:space="preserve">Evidence</w:t>
            </w:r>
          </w:p>
        </w:tc>
        <w:tc>
          <w:tcPr>
            <w:tcW w:type="dxa" w:w="5180"/>
            <w:tcMar>
              <w:top w:type="dxa" w:w="80"/>
              <w:left w:type="dxa" w:w="120"/>
              <w:bottom w:type="dxa" w:w="80"/>
              <w:right w:type="dxa" w:w="120"/>
            </w:tcMar>
          </w:tcPr>
          <w:p>
            <w:pPr>
              <w:spacing w:after="0" w:line="264"/>
            </w:pPr>
            <w:r>
              <w:rPr>
                <w:rFonts w:ascii="Arial" w:cs="Arial" w:eastAsia="Arial" w:hAnsi="Arial"/>
                <w:color w:val="14201C"/>
                <w:sz w:val="18"/>
                <w:szCs w:val="18"/>
              </w:rPr>
              <w:t xml:space="preserve">This taxpayer's own prior periods, cases and root causes.</w:t>
            </w:r>
          </w:p>
        </w:tc>
        <w:tc>
          <w:tcPr>
            <w:tcW w:type="dxa" w:w="1400"/>
            <w:tcMar>
              <w:top w:type="dxa" w:w="80"/>
              <w:left w:type="dxa" w:w="120"/>
              <w:bottom w:type="dxa" w:w="80"/>
              <w:right w:type="dxa" w:w="120"/>
            </w:tcMar>
          </w:tcPr>
          <w:p>
            <w:pPr>
              <w:spacing w:after="0" w:line="264"/>
            </w:pPr>
            <w:r>
              <w:rPr>
                <w:rFonts w:ascii="Arial" w:cs="Arial" w:eastAsia="Arial" w:hAnsi="Arial"/>
                <w:color w:val="14201C"/>
                <w:sz w:val="18"/>
                <w:szCs w:val="18"/>
              </w:rPr>
              <w:t xml:space="preserve">Built</w:t>
            </w:r>
          </w:p>
        </w:tc>
      </w:tr>
      <w:tr>
        <w:tc>
          <w:tcPr>
            <w:tcW w:type="dxa" w:w="2300"/>
            <w:tcMar>
              <w:top w:type="dxa" w:w="80"/>
              <w:left w:type="dxa" w:w="120"/>
              <w:bottom w:type="dxa" w:w="80"/>
              <w:right w:type="dxa" w:w="120"/>
            </w:tcMar>
          </w:tcPr>
          <w:p>
            <w:pPr>
              <w:spacing w:after="0" w:line="264"/>
            </w:pPr>
            <w:r>
              <w:rPr>
                <w:rFonts w:ascii="Arial" w:cs="Arial" w:eastAsia="Arial" w:hAnsi="Arial"/>
                <w:b/>
                <w:bCs/>
                <w:color w:val="14201C"/>
                <w:sz w:val="18"/>
                <w:szCs w:val="18"/>
              </w:rPr>
              <w:t xml:space="preserve">Peer / Sector Benchmark</w:t>
            </w:r>
          </w:p>
        </w:tc>
        <w:tc>
          <w:tcPr>
            <w:tcW w:type="dxa" w:w="1200"/>
            <w:tcMar>
              <w:top w:type="dxa" w:w="80"/>
              <w:left w:type="dxa" w:w="120"/>
              <w:bottom w:type="dxa" w:w="80"/>
              <w:right w:type="dxa" w:w="120"/>
            </w:tcMar>
          </w:tcPr>
          <w:p>
            <w:pPr>
              <w:spacing w:after="0" w:line="264"/>
            </w:pPr>
            <w:r>
              <w:rPr>
                <w:rFonts w:ascii="Arial" w:cs="Arial" w:eastAsia="Arial" w:hAnsi="Arial"/>
                <w:color w:val="14201C"/>
                <w:sz w:val="18"/>
                <w:szCs w:val="18"/>
              </w:rPr>
              <w:t xml:space="preserve">Evidence</w:t>
            </w:r>
          </w:p>
        </w:tc>
        <w:tc>
          <w:tcPr>
            <w:tcW w:type="dxa" w:w="5180"/>
            <w:tcMar>
              <w:top w:type="dxa" w:w="80"/>
              <w:left w:type="dxa" w:w="120"/>
              <w:bottom w:type="dxa" w:w="80"/>
              <w:right w:type="dxa" w:w="120"/>
            </w:tcMar>
          </w:tcPr>
          <w:p>
            <w:pPr>
              <w:spacing w:after="0" w:line="264"/>
            </w:pPr>
            <w:r>
              <w:rPr>
                <w:rFonts w:ascii="Arial" w:cs="Arial" w:eastAsia="Arial" w:hAnsi="Arial"/>
                <w:color w:val="14201C"/>
                <w:sz w:val="18"/>
                <w:szCs w:val="18"/>
              </w:rPr>
              <w:t xml:space="preserve">Ratios against the sector cohort — separates "odd for them" from "normal here".</w:t>
            </w:r>
          </w:p>
        </w:tc>
        <w:tc>
          <w:tcPr>
            <w:tcW w:type="dxa" w:w="1400"/>
            <w:tcMar>
              <w:top w:type="dxa" w:w="80"/>
              <w:left w:type="dxa" w:w="120"/>
              <w:bottom w:type="dxa" w:w="80"/>
              <w:right w:type="dxa" w:w="120"/>
            </w:tcMar>
          </w:tcPr>
          <w:p>
            <w:pPr>
              <w:spacing w:after="0" w:line="264"/>
            </w:pPr>
            <w:r>
              <w:rPr>
                <w:rFonts w:ascii="Arial" w:cs="Arial" w:eastAsia="Arial" w:hAnsi="Arial"/>
                <w:color w:val="14201C"/>
                <w:sz w:val="18"/>
                <w:szCs w:val="18"/>
              </w:rPr>
              <w:t xml:space="preserve">Designed</w:t>
            </w:r>
          </w:p>
        </w:tc>
      </w:tr>
      <w:tr>
        <w:tc>
          <w:tcPr>
            <w:tcW w:type="dxa" w:w="2300"/>
            <w:tcMar>
              <w:top w:type="dxa" w:w="80"/>
              <w:left w:type="dxa" w:w="120"/>
              <w:bottom w:type="dxa" w:w="80"/>
              <w:right w:type="dxa" w:w="120"/>
            </w:tcMar>
          </w:tcPr>
          <w:p>
            <w:pPr>
              <w:spacing w:after="0" w:line="264"/>
            </w:pPr>
            <w:r>
              <w:rPr>
                <w:rFonts w:ascii="Arial" w:cs="Arial" w:eastAsia="Arial" w:hAnsi="Arial"/>
                <w:b/>
                <w:bCs/>
                <w:color w:val="14201C"/>
                <w:sz w:val="18"/>
                <w:szCs w:val="18"/>
              </w:rPr>
              <w:t xml:space="preserve">Counterparty &amp; Network</w:t>
            </w:r>
          </w:p>
        </w:tc>
        <w:tc>
          <w:tcPr>
            <w:tcW w:type="dxa" w:w="1200"/>
            <w:tcMar>
              <w:top w:type="dxa" w:w="80"/>
              <w:left w:type="dxa" w:w="120"/>
              <w:bottom w:type="dxa" w:w="80"/>
              <w:right w:type="dxa" w:w="120"/>
            </w:tcMar>
          </w:tcPr>
          <w:p>
            <w:pPr>
              <w:spacing w:after="0" w:line="264"/>
            </w:pPr>
            <w:r>
              <w:rPr>
                <w:rFonts w:ascii="Arial" w:cs="Arial" w:eastAsia="Arial" w:hAnsi="Arial"/>
                <w:color w:val="14201C"/>
                <w:sz w:val="18"/>
                <w:szCs w:val="18"/>
              </w:rPr>
              <w:t xml:space="preserve">Evidence</w:t>
            </w:r>
          </w:p>
        </w:tc>
        <w:tc>
          <w:tcPr>
            <w:tcW w:type="dxa" w:w="5180"/>
            <w:tcMar>
              <w:top w:type="dxa" w:w="80"/>
              <w:left w:type="dxa" w:w="120"/>
              <w:bottom w:type="dxa" w:w="80"/>
              <w:right w:type="dxa" w:w="120"/>
            </w:tcMar>
          </w:tcPr>
          <w:p>
            <w:pPr>
              <w:spacing w:after="0" w:line="264"/>
            </w:pPr>
            <w:r>
              <w:rPr>
                <w:rFonts w:ascii="Arial" w:cs="Arial" w:eastAsia="Arial" w:hAnsi="Arial"/>
                <w:color w:val="14201C"/>
                <w:sz w:val="18"/>
                <w:szCs w:val="18"/>
              </w:rPr>
              <w:t xml:space="preserve">Supplier-buyer symmetry, circular notes, related-party concentration.</w:t>
            </w:r>
          </w:p>
        </w:tc>
        <w:tc>
          <w:tcPr>
            <w:tcW w:type="dxa" w:w="1400"/>
            <w:tcMar>
              <w:top w:type="dxa" w:w="80"/>
              <w:left w:type="dxa" w:w="120"/>
              <w:bottom w:type="dxa" w:w="80"/>
              <w:right w:type="dxa" w:w="120"/>
            </w:tcMar>
          </w:tcPr>
          <w:p>
            <w:pPr>
              <w:spacing w:after="0" w:line="264"/>
            </w:pPr>
            <w:r>
              <w:rPr>
                <w:rFonts w:ascii="Arial" w:cs="Arial" w:eastAsia="Arial" w:hAnsi="Arial"/>
                <w:color w:val="14201C"/>
                <w:sz w:val="18"/>
                <w:szCs w:val="18"/>
              </w:rPr>
              <w:t xml:space="preserve">Designed</w:t>
            </w:r>
          </w:p>
        </w:tc>
      </w:tr>
      <w:tr>
        <w:tc>
          <w:tcPr>
            <w:tcW w:type="dxa" w:w="2300"/>
            <w:tcMar>
              <w:top w:type="dxa" w:w="80"/>
              <w:left w:type="dxa" w:w="120"/>
              <w:bottom w:type="dxa" w:w="80"/>
              <w:right w:type="dxa" w:w="120"/>
            </w:tcMar>
          </w:tcPr>
          <w:p>
            <w:pPr>
              <w:spacing w:after="0" w:line="264"/>
            </w:pPr>
            <w:r>
              <w:rPr>
                <w:rFonts w:ascii="Arial" w:cs="Arial" w:eastAsia="Arial" w:hAnsi="Arial"/>
                <w:b/>
                <w:bCs/>
                <w:color w:val="14201C"/>
                <w:sz w:val="18"/>
                <w:szCs w:val="18"/>
              </w:rPr>
              <w:t xml:space="preserve">Legal</w:t>
            </w:r>
          </w:p>
        </w:tc>
        <w:tc>
          <w:tcPr>
            <w:tcW w:type="dxa" w:w="1200"/>
            <w:tcMar>
              <w:top w:type="dxa" w:w="80"/>
              <w:left w:type="dxa" w:w="120"/>
              <w:bottom w:type="dxa" w:w="80"/>
              <w:right w:type="dxa" w:w="120"/>
            </w:tcMar>
          </w:tcPr>
          <w:p>
            <w:pPr>
              <w:spacing w:after="0" w:line="264"/>
            </w:pPr>
            <w:r>
              <w:rPr>
                <w:rFonts w:ascii="Arial" w:cs="Arial" w:eastAsia="Arial" w:hAnsi="Arial"/>
                <w:color w:val="14201C"/>
                <w:sz w:val="18"/>
                <w:szCs w:val="18"/>
              </w:rPr>
              <w:t xml:space="preserve">Knowledge</w:t>
            </w:r>
          </w:p>
        </w:tc>
        <w:tc>
          <w:tcPr>
            <w:tcW w:type="dxa" w:w="5180"/>
            <w:tcMar>
              <w:top w:type="dxa" w:w="80"/>
              <w:left w:type="dxa" w:w="120"/>
              <w:bottom w:type="dxa" w:w="80"/>
              <w:right w:type="dxa" w:w="120"/>
            </w:tcMar>
          </w:tcPr>
          <w:p>
            <w:pPr>
              <w:spacing w:after="0" w:line="264"/>
            </w:pPr>
            <w:r>
              <w:rPr>
                <w:rFonts w:ascii="Arial" w:cs="Arial" w:eastAsia="Arial" w:hAnsi="Arial"/>
                <w:color w:val="14201C"/>
                <w:sz w:val="18"/>
                <w:szCs w:val="18"/>
              </w:rPr>
              <w:t xml:space="preserve">VAT Law and Implementing Regulations: lawfulness, assessment basis, limitation period.</w:t>
            </w:r>
          </w:p>
        </w:tc>
        <w:tc>
          <w:tcPr>
            <w:tcW w:type="dxa" w:w="1400"/>
            <w:tcMar>
              <w:top w:type="dxa" w:w="80"/>
              <w:left w:type="dxa" w:w="120"/>
              <w:bottom w:type="dxa" w:w="80"/>
              <w:right w:type="dxa" w:w="120"/>
            </w:tcMar>
          </w:tcPr>
          <w:p>
            <w:pPr>
              <w:spacing w:after="0" w:line="264"/>
            </w:pPr>
            <w:r>
              <w:rPr>
                <w:rFonts w:ascii="Arial" w:cs="Arial" w:eastAsia="Arial" w:hAnsi="Arial"/>
                <w:color w:val="14201C"/>
                <w:sz w:val="18"/>
                <w:szCs w:val="18"/>
              </w:rPr>
              <w:t xml:space="preserve">Awaiting corpus</w:t>
            </w:r>
          </w:p>
        </w:tc>
      </w:tr>
      <w:tr>
        <w:tc>
          <w:tcPr>
            <w:tcW w:type="dxa" w:w="2300"/>
            <w:tcMar>
              <w:top w:type="dxa" w:w="80"/>
              <w:left w:type="dxa" w:w="120"/>
              <w:bottom w:type="dxa" w:w="80"/>
              <w:right w:type="dxa" w:w="120"/>
            </w:tcMar>
          </w:tcPr>
          <w:p>
            <w:pPr>
              <w:spacing w:after="0" w:line="264"/>
            </w:pPr>
            <w:r>
              <w:rPr>
                <w:rFonts w:ascii="Arial" w:cs="Arial" w:eastAsia="Arial" w:hAnsi="Arial"/>
                <w:b/>
                <w:bCs/>
                <w:color w:val="14201C"/>
                <w:sz w:val="18"/>
                <w:szCs w:val="18"/>
              </w:rPr>
              <w:t xml:space="preserve">Policy &amp; Guidance</w:t>
            </w:r>
          </w:p>
        </w:tc>
        <w:tc>
          <w:tcPr>
            <w:tcW w:type="dxa" w:w="1200"/>
            <w:tcMar>
              <w:top w:type="dxa" w:w="80"/>
              <w:left w:type="dxa" w:w="120"/>
              <w:bottom w:type="dxa" w:w="80"/>
              <w:right w:type="dxa" w:w="120"/>
            </w:tcMar>
          </w:tcPr>
          <w:p>
            <w:pPr>
              <w:spacing w:after="0" w:line="264"/>
            </w:pPr>
            <w:r>
              <w:rPr>
                <w:rFonts w:ascii="Arial" w:cs="Arial" w:eastAsia="Arial" w:hAnsi="Arial"/>
                <w:color w:val="14201C"/>
                <w:sz w:val="18"/>
                <w:szCs w:val="18"/>
              </w:rPr>
              <w:t xml:space="preserve">Knowledge</w:t>
            </w:r>
          </w:p>
        </w:tc>
        <w:tc>
          <w:tcPr>
            <w:tcW w:type="dxa" w:w="5180"/>
            <w:tcMar>
              <w:top w:type="dxa" w:w="80"/>
              <w:left w:type="dxa" w:w="120"/>
              <w:bottom w:type="dxa" w:w="80"/>
              <w:right w:type="dxa" w:w="120"/>
            </w:tcMar>
          </w:tcPr>
          <w:p>
            <w:pPr>
              <w:spacing w:after="0" w:line="264"/>
            </w:pPr>
            <w:r>
              <w:rPr>
                <w:rFonts w:ascii="Arial" w:cs="Arial" w:eastAsia="Arial" w:hAnsi="Arial"/>
                <w:color w:val="14201C"/>
                <w:sz w:val="18"/>
                <w:szCs w:val="18"/>
              </w:rPr>
              <w:t xml:space="preserve">ZATCA guidelines, circulars and e-invoicing resolutions.</w:t>
            </w:r>
          </w:p>
        </w:tc>
        <w:tc>
          <w:tcPr>
            <w:tcW w:type="dxa" w:w="1400"/>
            <w:tcMar>
              <w:top w:type="dxa" w:w="80"/>
              <w:left w:type="dxa" w:w="120"/>
              <w:bottom w:type="dxa" w:w="80"/>
              <w:right w:type="dxa" w:w="120"/>
            </w:tcMar>
          </w:tcPr>
          <w:p>
            <w:pPr>
              <w:spacing w:after="0" w:line="264"/>
            </w:pPr>
            <w:r>
              <w:rPr>
                <w:rFonts w:ascii="Arial" w:cs="Arial" w:eastAsia="Arial" w:hAnsi="Arial"/>
                <w:color w:val="14201C"/>
                <w:sz w:val="18"/>
                <w:szCs w:val="18"/>
              </w:rPr>
              <w:t xml:space="preserve">Awaiting corpus</w:t>
            </w:r>
          </w:p>
        </w:tc>
      </w:tr>
      <w:tr>
        <w:tc>
          <w:tcPr>
            <w:tcW w:type="dxa" w:w="2300"/>
            <w:tcMar>
              <w:top w:type="dxa" w:w="80"/>
              <w:left w:type="dxa" w:w="120"/>
              <w:bottom w:type="dxa" w:w="80"/>
              <w:right w:type="dxa" w:w="120"/>
            </w:tcMar>
          </w:tcPr>
          <w:p>
            <w:pPr>
              <w:spacing w:after="0" w:line="264"/>
            </w:pPr>
            <w:r>
              <w:rPr>
                <w:rFonts w:ascii="Arial" w:cs="Arial" w:eastAsia="Arial" w:hAnsi="Arial"/>
                <w:b/>
                <w:bCs/>
                <w:color w:val="14201C"/>
                <w:sz w:val="18"/>
                <w:szCs w:val="18"/>
              </w:rPr>
              <w:t xml:space="preserve">Precedent</w:t>
            </w:r>
          </w:p>
        </w:tc>
        <w:tc>
          <w:tcPr>
            <w:tcW w:type="dxa" w:w="1200"/>
            <w:tcMar>
              <w:top w:type="dxa" w:w="80"/>
              <w:left w:type="dxa" w:w="120"/>
              <w:bottom w:type="dxa" w:w="80"/>
              <w:right w:type="dxa" w:w="120"/>
            </w:tcMar>
          </w:tcPr>
          <w:p>
            <w:pPr>
              <w:spacing w:after="0" w:line="264"/>
            </w:pPr>
            <w:r>
              <w:rPr>
                <w:rFonts w:ascii="Arial" w:cs="Arial" w:eastAsia="Arial" w:hAnsi="Arial"/>
                <w:color w:val="14201C"/>
                <w:sz w:val="18"/>
                <w:szCs w:val="18"/>
              </w:rPr>
              <w:t xml:space="preserve">Knowledge</w:t>
            </w:r>
          </w:p>
        </w:tc>
        <w:tc>
          <w:tcPr>
            <w:tcW w:type="dxa" w:w="5180"/>
            <w:tcMar>
              <w:top w:type="dxa" w:w="80"/>
              <w:left w:type="dxa" w:w="120"/>
              <w:bottom w:type="dxa" w:w="80"/>
              <w:right w:type="dxa" w:w="120"/>
            </w:tcMar>
          </w:tcPr>
          <w:p>
            <w:pPr>
              <w:spacing w:after="0" w:line="264"/>
            </w:pPr>
            <w:r>
              <w:rPr>
                <w:rFonts w:ascii="Arial" w:cs="Arial" w:eastAsia="Arial" w:hAnsi="Arial"/>
                <w:color w:val="14201C"/>
                <w:sz w:val="18"/>
                <w:szCs w:val="18"/>
              </w:rPr>
              <w:t xml:space="preserve">How comparable fact patterns were treated before; drives consistency.</w:t>
            </w:r>
          </w:p>
        </w:tc>
        <w:tc>
          <w:tcPr>
            <w:tcW w:type="dxa" w:w="1400"/>
            <w:tcMar>
              <w:top w:type="dxa" w:w="80"/>
              <w:left w:type="dxa" w:w="120"/>
              <w:bottom w:type="dxa" w:w="80"/>
              <w:right w:type="dxa" w:w="120"/>
            </w:tcMar>
          </w:tcPr>
          <w:p>
            <w:pPr>
              <w:spacing w:after="0" w:line="264"/>
            </w:pPr>
            <w:r>
              <w:rPr>
                <w:rFonts w:ascii="Arial" w:cs="Arial" w:eastAsia="Arial" w:hAnsi="Arial"/>
                <w:color w:val="14201C"/>
                <w:sz w:val="18"/>
                <w:szCs w:val="18"/>
              </w:rPr>
              <w:t xml:space="preserve">Awaiting corpus</w:t>
            </w:r>
          </w:p>
        </w:tc>
      </w:tr>
      <w:tr>
        <w:tc>
          <w:tcPr>
            <w:tcW w:type="dxa" w:w="2300"/>
            <w:tcMar>
              <w:top w:type="dxa" w:w="80"/>
              <w:left w:type="dxa" w:w="120"/>
              <w:bottom w:type="dxa" w:w="80"/>
              <w:right w:type="dxa" w:w="120"/>
            </w:tcMar>
          </w:tcPr>
          <w:p>
            <w:pPr>
              <w:spacing w:after="0" w:line="264"/>
            </w:pPr>
            <w:r>
              <w:rPr>
                <w:rFonts w:ascii="Arial" w:cs="Arial" w:eastAsia="Arial" w:hAnsi="Arial"/>
                <w:b/>
                <w:bCs/>
                <w:color w:val="14201C"/>
                <w:sz w:val="18"/>
                <w:szCs w:val="18"/>
              </w:rPr>
              <w:t xml:space="preserve">Adjudicator</w:t>
            </w:r>
          </w:p>
        </w:tc>
        <w:tc>
          <w:tcPr>
            <w:tcW w:type="dxa" w:w="1200"/>
            <w:tcMar>
              <w:top w:type="dxa" w:w="80"/>
              <w:left w:type="dxa" w:w="120"/>
              <w:bottom w:type="dxa" w:w="80"/>
              <w:right w:type="dxa" w:w="120"/>
            </w:tcMar>
          </w:tcPr>
          <w:p>
            <w:pPr>
              <w:spacing w:after="0" w:line="264"/>
            </w:pPr>
            <w:r>
              <w:rPr>
                <w:rFonts w:ascii="Arial" w:cs="Arial" w:eastAsia="Arial" w:hAnsi="Arial"/>
                <w:color w:val="14201C"/>
                <w:sz w:val="18"/>
                <w:szCs w:val="18"/>
              </w:rPr>
              <w:t xml:space="preserve">Control</w:t>
            </w:r>
          </w:p>
        </w:tc>
        <w:tc>
          <w:tcPr>
            <w:tcW w:type="dxa" w:w="5180"/>
            <w:tcMar>
              <w:top w:type="dxa" w:w="80"/>
              <w:left w:type="dxa" w:w="120"/>
              <w:bottom w:type="dxa" w:w="80"/>
              <w:right w:type="dxa" w:w="120"/>
            </w:tcMar>
          </w:tcPr>
          <w:p>
            <w:pPr>
              <w:spacing w:after="0" w:line="264"/>
            </w:pPr>
            <w:r>
              <w:rPr>
                <w:rFonts w:ascii="Arial" w:cs="Arial" w:eastAsia="Arial" w:hAnsi="Arial"/>
                <w:color w:val="14201C"/>
                <w:sz w:val="18"/>
                <w:szCs w:val="18"/>
              </w:rPr>
              <w:t xml:space="preserve">Settles every hypothesis against engine data. Deterministic by design.</w:t>
            </w:r>
          </w:p>
        </w:tc>
        <w:tc>
          <w:tcPr>
            <w:tcW w:type="dxa" w:w="1400"/>
            <w:tcMar>
              <w:top w:type="dxa" w:w="80"/>
              <w:left w:type="dxa" w:w="120"/>
              <w:bottom w:type="dxa" w:w="80"/>
              <w:right w:type="dxa" w:w="120"/>
            </w:tcMar>
          </w:tcPr>
          <w:p>
            <w:pPr>
              <w:spacing w:after="0" w:line="264"/>
            </w:pPr>
            <w:r>
              <w:rPr>
                <w:rFonts w:ascii="Arial" w:cs="Arial" w:eastAsia="Arial" w:hAnsi="Arial"/>
                <w:color w:val="14201C"/>
                <w:sz w:val="18"/>
                <w:szCs w:val="18"/>
              </w:rPr>
              <w:t xml:space="preserve">Built</w:t>
            </w:r>
          </w:p>
        </w:tc>
      </w:tr>
      <w:tr>
        <w:tc>
          <w:tcPr>
            <w:tcW w:type="dxa" w:w="2300"/>
            <w:tcMar>
              <w:top w:type="dxa" w:w="80"/>
              <w:left w:type="dxa" w:w="120"/>
              <w:bottom w:type="dxa" w:w="80"/>
              <w:right w:type="dxa" w:w="120"/>
            </w:tcMar>
          </w:tcPr>
          <w:p>
            <w:pPr>
              <w:spacing w:after="0" w:line="264"/>
            </w:pPr>
            <w:r>
              <w:rPr>
                <w:rFonts w:ascii="Arial" w:cs="Arial" w:eastAsia="Arial" w:hAnsi="Arial"/>
                <w:b/>
                <w:bCs/>
                <w:color w:val="14201C"/>
                <w:sz w:val="18"/>
                <w:szCs w:val="18"/>
              </w:rPr>
              <w:t xml:space="preserve">Challenger</w:t>
            </w:r>
          </w:p>
        </w:tc>
        <w:tc>
          <w:tcPr>
            <w:tcW w:type="dxa" w:w="1200"/>
            <w:tcMar>
              <w:top w:type="dxa" w:w="80"/>
              <w:left w:type="dxa" w:w="120"/>
              <w:bottom w:type="dxa" w:w="80"/>
              <w:right w:type="dxa" w:w="120"/>
            </w:tcMar>
          </w:tcPr>
          <w:p>
            <w:pPr>
              <w:spacing w:after="0" w:line="264"/>
            </w:pPr>
            <w:r>
              <w:rPr>
                <w:rFonts w:ascii="Arial" w:cs="Arial" w:eastAsia="Arial" w:hAnsi="Arial"/>
                <w:color w:val="14201C"/>
                <w:sz w:val="18"/>
                <w:szCs w:val="18"/>
              </w:rPr>
              <w:t xml:space="preserve">Control</w:t>
            </w:r>
          </w:p>
        </w:tc>
        <w:tc>
          <w:tcPr>
            <w:tcW w:type="dxa" w:w="5180"/>
            <w:tcMar>
              <w:top w:type="dxa" w:w="80"/>
              <w:left w:type="dxa" w:w="120"/>
              <w:bottom w:type="dxa" w:w="80"/>
              <w:right w:type="dxa" w:w="120"/>
            </w:tcMar>
          </w:tcPr>
          <w:p>
            <w:pPr>
              <w:spacing w:after="0" w:line="264"/>
            </w:pPr>
            <w:r>
              <w:rPr>
                <w:rFonts w:ascii="Arial" w:cs="Arial" w:eastAsia="Arial" w:hAnsi="Arial"/>
                <w:color w:val="14201C"/>
                <w:sz w:val="18"/>
                <w:szCs w:val="18"/>
              </w:rPr>
              <w:t xml:space="preserve">Attacks the leading hypothesis so the loop cannot converge too early.</w:t>
            </w:r>
          </w:p>
        </w:tc>
        <w:tc>
          <w:tcPr>
            <w:tcW w:type="dxa" w:w="1400"/>
            <w:tcMar>
              <w:top w:type="dxa" w:w="80"/>
              <w:left w:type="dxa" w:w="120"/>
              <w:bottom w:type="dxa" w:w="80"/>
              <w:right w:type="dxa" w:w="120"/>
            </w:tcMar>
          </w:tcPr>
          <w:p>
            <w:pPr>
              <w:spacing w:after="0" w:line="264"/>
            </w:pPr>
            <w:r>
              <w:rPr>
                <w:rFonts w:ascii="Arial" w:cs="Arial" w:eastAsia="Arial" w:hAnsi="Arial"/>
                <w:color w:val="14201C"/>
                <w:sz w:val="18"/>
                <w:szCs w:val="18"/>
              </w:rPr>
              <w:t xml:space="preserve">Built</w:t>
            </w:r>
          </w:p>
        </w:tc>
      </w:tr>
      <w:tr>
        <w:tc>
          <w:tcPr>
            <w:tcW w:type="dxa" w:w="2300"/>
            <w:tcMar>
              <w:top w:type="dxa" w:w="80"/>
              <w:left w:type="dxa" w:w="120"/>
              <w:bottom w:type="dxa" w:w="80"/>
              <w:right w:type="dxa" w:w="120"/>
            </w:tcMar>
          </w:tcPr>
          <w:p>
            <w:pPr>
              <w:spacing w:after="0" w:line="264"/>
            </w:pPr>
            <w:r>
              <w:rPr>
                <w:rFonts w:ascii="Arial" w:cs="Arial" w:eastAsia="Arial" w:hAnsi="Arial"/>
                <w:b/>
                <w:bCs/>
                <w:color w:val="14201C"/>
                <w:sz w:val="18"/>
                <w:szCs w:val="18"/>
              </w:rPr>
              <w:t xml:space="preserve">Case Lead</w:t>
            </w:r>
          </w:p>
        </w:tc>
        <w:tc>
          <w:tcPr>
            <w:tcW w:type="dxa" w:w="1200"/>
            <w:tcMar>
              <w:top w:type="dxa" w:w="80"/>
              <w:left w:type="dxa" w:w="120"/>
              <w:bottom w:type="dxa" w:w="80"/>
              <w:right w:type="dxa" w:w="120"/>
            </w:tcMar>
          </w:tcPr>
          <w:p>
            <w:pPr>
              <w:spacing w:after="0" w:line="264"/>
            </w:pPr>
            <w:r>
              <w:rPr>
                <w:rFonts w:ascii="Arial" w:cs="Arial" w:eastAsia="Arial" w:hAnsi="Arial"/>
                <w:color w:val="14201C"/>
                <w:sz w:val="18"/>
                <w:szCs w:val="18"/>
              </w:rPr>
              <w:t xml:space="preserve">Control</w:t>
            </w:r>
          </w:p>
        </w:tc>
        <w:tc>
          <w:tcPr>
            <w:tcW w:type="dxa" w:w="5180"/>
            <w:tcMar>
              <w:top w:type="dxa" w:w="80"/>
              <w:left w:type="dxa" w:w="120"/>
              <w:bottom w:type="dxa" w:w="80"/>
              <w:right w:type="dxa" w:w="120"/>
            </w:tcMar>
          </w:tcPr>
          <w:p>
            <w:pPr>
              <w:spacing w:after="0" w:line="264"/>
            </w:pPr>
            <w:r>
              <w:rPr>
                <w:rFonts w:ascii="Arial" w:cs="Arial" w:eastAsia="Arial" w:hAnsi="Arial"/>
                <w:color w:val="14201C"/>
                <w:sz w:val="18"/>
                <w:szCs w:val="18"/>
              </w:rPr>
              <w:t xml:space="preserve">Bounded state machine: routes the rounds and decides when to stop.</w:t>
            </w:r>
          </w:p>
        </w:tc>
        <w:tc>
          <w:tcPr>
            <w:tcW w:type="dxa" w:w="1400"/>
            <w:tcMar>
              <w:top w:type="dxa" w:w="80"/>
              <w:left w:type="dxa" w:w="120"/>
              <w:bottom w:type="dxa" w:w="80"/>
              <w:right w:type="dxa" w:w="120"/>
            </w:tcMar>
          </w:tcPr>
          <w:p>
            <w:pPr>
              <w:spacing w:after="0" w:line="264"/>
            </w:pPr>
            <w:r>
              <w:rPr>
                <w:rFonts w:ascii="Arial" w:cs="Arial" w:eastAsia="Arial" w:hAnsi="Arial"/>
                <w:color w:val="14201C"/>
                <w:sz w:val="18"/>
                <w:szCs w:val="18"/>
              </w:rPr>
              <w:t xml:space="preserve">Built</w:t>
            </w:r>
          </w:p>
        </w:tc>
      </w:tr>
      <w:tr>
        <w:tc>
          <w:tcPr>
            <w:tcW w:type="dxa" w:w="2300"/>
            <w:tcMar>
              <w:top w:type="dxa" w:w="80"/>
              <w:left w:type="dxa" w:w="120"/>
              <w:bottom w:type="dxa" w:w="80"/>
              <w:right w:type="dxa" w:w="120"/>
            </w:tcMar>
          </w:tcPr>
          <w:p>
            <w:pPr>
              <w:spacing w:after="0" w:line="264"/>
            </w:pPr>
            <w:r>
              <w:rPr>
                <w:rFonts w:ascii="Arial" w:cs="Arial" w:eastAsia="Arial" w:hAnsi="Arial"/>
                <w:b/>
                <w:bCs/>
                <w:color w:val="14201C"/>
                <w:sz w:val="18"/>
                <w:szCs w:val="18"/>
              </w:rPr>
              <w:t xml:space="preserve">Next Best Action</w:t>
            </w:r>
          </w:p>
        </w:tc>
        <w:tc>
          <w:tcPr>
            <w:tcW w:type="dxa" w:w="1200"/>
            <w:tcMar>
              <w:top w:type="dxa" w:w="80"/>
              <w:left w:type="dxa" w:w="120"/>
              <w:bottom w:type="dxa" w:w="80"/>
              <w:right w:type="dxa" w:w="120"/>
            </w:tcMar>
          </w:tcPr>
          <w:p>
            <w:pPr>
              <w:spacing w:after="0" w:line="264"/>
            </w:pPr>
            <w:r>
              <w:rPr>
                <w:rFonts w:ascii="Arial" w:cs="Arial" w:eastAsia="Arial" w:hAnsi="Arial"/>
                <w:color w:val="14201C"/>
                <w:sz w:val="18"/>
                <w:szCs w:val="18"/>
              </w:rPr>
              <w:t xml:space="preserve">Control</w:t>
            </w:r>
          </w:p>
        </w:tc>
        <w:tc>
          <w:tcPr>
            <w:tcW w:type="dxa" w:w="5180"/>
            <w:tcMar>
              <w:top w:type="dxa" w:w="80"/>
              <w:left w:type="dxa" w:w="120"/>
              <w:bottom w:type="dxa" w:w="80"/>
              <w:right w:type="dxa" w:w="120"/>
            </w:tcMar>
          </w:tcPr>
          <w:p>
            <w:pPr>
              <w:spacing w:after="0" w:line="264"/>
            </w:pPr>
            <w:r>
              <w:rPr>
                <w:rFonts w:ascii="Arial" w:cs="Arial" w:eastAsia="Arial" w:hAnsi="Arial"/>
                <w:color w:val="14201C"/>
                <w:sz w:val="18"/>
                <w:szCs w:val="18"/>
              </w:rPr>
              <w:t xml:space="preserve">Turns the adjudicated cause into the minimal evidence request.</w:t>
            </w:r>
          </w:p>
        </w:tc>
        <w:tc>
          <w:tcPr>
            <w:tcW w:type="dxa" w:w="1400"/>
            <w:tcMar>
              <w:top w:type="dxa" w:w="80"/>
              <w:left w:type="dxa" w:w="120"/>
              <w:bottom w:type="dxa" w:w="80"/>
              <w:right w:type="dxa" w:w="120"/>
            </w:tcMar>
          </w:tcPr>
          <w:p>
            <w:pPr>
              <w:spacing w:after="0" w:line="264"/>
            </w:pPr>
            <w:r>
              <w:rPr>
                <w:rFonts w:ascii="Arial" w:cs="Arial" w:eastAsia="Arial" w:hAnsi="Arial"/>
                <w:color w:val="14201C"/>
                <w:sz w:val="18"/>
                <w:szCs w:val="18"/>
              </w:rPr>
              <w:t xml:space="preserve">Built</w:t>
            </w:r>
          </w:p>
        </w:tc>
      </w:tr>
      <w:tr>
        <w:tc>
          <w:tcPr>
            <w:tcW w:type="dxa" w:w="2300"/>
            <w:tcMar>
              <w:top w:type="dxa" w:w="80"/>
              <w:left w:type="dxa" w:w="120"/>
              <w:bottom w:type="dxa" w:w="80"/>
              <w:right w:type="dxa" w:w="120"/>
            </w:tcMar>
          </w:tcPr>
          <w:p>
            <w:pPr>
              <w:spacing w:after="0" w:line="264"/>
            </w:pPr>
            <w:r>
              <w:rPr>
                <w:rFonts w:ascii="Arial" w:cs="Arial" w:eastAsia="Arial" w:hAnsi="Arial"/>
                <w:b/>
                <w:bCs/>
                <w:color w:val="14201C"/>
                <w:sz w:val="18"/>
                <w:szCs w:val="18"/>
              </w:rPr>
              <w:t xml:space="preserve">Report Drafter</w:t>
            </w:r>
          </w:p>
        </w:tc>
        <w:tc>
          <w:tcPr>
            <w:tcW w:type="dxa" w:w="1200"/>
            <w:tcMar>
              <w:top w:type="dxa" w:w="80"/>
              <w:left w:type="dxa" w:w="120"/>
              <w:bottom w:type="dxa" w:w="80"/>
              <w:right w:type="dxa" w:w="120"/>
            </w:tcMar>
          </w:tcPr>
          <w:p>
            <w:pPr>
              <w:spacing w:after="0" w:line="264"/>
            </w:pPr>
            <w:r>
              <w:rPr>
                <w:rFonts w:ascii="Arial" w:cs="Arial" w:eastAsia="Arial" w:hAnsi="Arial"/>
                <w:color w:val="14201C"/>
                <w:sz w:val="18"/>
                <w:szCs w:val="18"/>
              </w:rPr>
              <w:t xml:space="preserve">Control</w:t>
            </w:r>
          </w:p>
        </w:tc>
        <w:tc>
          <w:tcPr>
            <w:tcW w:type="dxa" w:w="5180"/>
            <w:tcMar>
              <w:top w:type="dxa" w:w="80"/>
              <w:left w:type="dxa" w:w="120"/>
              <w:bottom w:type="dxa" w:w="80"/>
              <w:right w:type="dxa" w:w="120"/>
            </w:tcMar>
          </w:tcPr>
          <w:p>
            <w:pPr>
              <w:spacing w:after="0" w:line="264"/>
            </w:pPr>
            <w:r>
              <w:rPr>
                <w:rFonts w:ascii="Arial" w:cs="Arial" w:eastAsia="Arial" w:hAnsi="Arial"/>
                <w:color w:val="14201C"/>
                <w:sz w:val="18"/>
                <w:szCs w:val="18"/>
              </w:rPr>
              <w:t xml:space="preserve">Drafts the auditor report from the adjudicated record.</w:t>
            </w:r>
          </w:p>
        </w:tc>
        <w:tc>
          <w:tcPr>
            <w:tcW w:type="dxa" w:w="1400"/>
            <w:tcMar>
              <w:top w:type="dxa" w:w="80"/>
              <w:left w:type="dxa" w:w="120"/>
              <w:bottom w:type="dxa" w:w="80"/>
              <w:right w:type="dxa" w:w="120"/>
            </w:tcMar>
          </w:tcPr>
          <w:p>
            <w:pPr>
              <w:spacing w:after="0" w:line="264"/>
            </w:pPr>
            <w:r>
              <w:rPr>
                <w:rFonts w:ascii="Arial" w:cs="Arial" w:eastAsia="Arial" w:hAnsi="Arial"/>
                <w:color w:val="14201C"/>
                <w:sz w:val="18"/>
                <w:szCs w:val="18"/>
              </w:rPr>
              <w:t xml:space="preserve">Built</w:t>
            </w:r>
          </w:p>
        </w:tc>
      </w:tr>
    </w:tbl>
    <w:p>
      <w:pPr>
        <w:pStyle w:val="Heading2"/>
        <w:spacing w:after="140" w:before="280"/>
      </w:pPr>
      <w:r>
        <w:rPr>
          <w:rFonts w:ascii="Arial" w:cs="Arial" w:eastAsia="Arial" w:hAnsi="Arial"/>
          <w:b/>
          <w:bCs/>
          <w:color w:val="0A4C40"/>
          <w:sz w:val="24"/>
          <w:szCs w:val="24"/>
        </w:rPr>
        <w:t xml:space="preserve">4.4 How they communicate</w:t>
      </w:r>
    </w:p>
    <w:p>
      <w:pPr>
        <w:spacing w:after="120" w:line="276"/>
      </w:pPr>
      <w:r>
        <w:rPr>
          <w:rFonts w:ascii="Arial" w:cs="Arial" w:eastAsia="Arial" w:hAnsi="Arial"/>
          <w:color w:val="14201C"/>
          <w:sz w:val="20"/>
          <w:szCs w:val="20"/>
        </w:rPr>
        <w:t xml:space="preserve">They do not converse. Free-form agent chat is unauditable, unbounded in cost and impossible to defend to a regulator. Instead the agents read and append typed entries — fact, hypothesis, adjudication, objection, conclusion — on a shared append-only case file, in five bounded rounds:</w:t>
      </w:r>
    </w:p>
    <w:p>
      <w:pPr>
        <w:spacing w:after="60"/>
      </w:pPr>
    </w:p>
    <w:tbl>
      <w:tblPr>
        <w:tblW w:type="dxa" w:w="10080"/>
        <w:tblBorders>
          <w:top w:val="single" w:color="DCE6E0" w:sz="2"/>
          <w:left w:val="single" w:color="DCE6E0" w:sz="2"/>
          <w:bottom w:val="single" w:color="DCE6E0" w:sz="2"/>
          <w:right w:val="single" w:color="DCE6E0" w:sz="2"/>
          <w:insideH w:val="single" w:color="DCE6E0" w:sz="2"/>
          <w:insideV w:val="single" w:color="DCE6E0" w:sz="2"/>
        </w:tblBorders>
      </w:tblPr>
      <w:tblGrid>
        <w:gridCol w:w="900"/>
        <w:gridCol w:w="3180"/>
        <w:gridCol w:w="6000"/>
      </w:tblGrid>
      <w:tr>
        <w:trPr>
          <w:tblHeader/>
        </w:trPr>
        <w:tc>
          <w:tcPr>
            <w:tcW w:type="dxa" w:w="900"/>
            <w:shd w:fill="0E6B57" w:color="auto" w:val="clear"/>
            <w:tcMar>
              <w:top w:type="dxa" w:w="80"/>
              <w:left w:type="dxa" w:w="120"/>
              <w:bottom w:type="dxa" w:w="80"/>
              <w:right w:type="dxa" w:w="120"/>
            </w:tcMar>
          </w:tcPr>
          <w:p>
            <w:pPr>
              <w:spacing w:after="0" w:line="264"/>
            </w:pPr>
            <w:r>
              <w:rPr>
                <w:rFonts w:ascii="Arial" w:cs="Arial" w:eastAsia="Arial" w:hAnsi="Arial"/>
                <w:b/>
                <w:bCs/>
                <w:color w:val="FFFFFF"/>
                <w:sz w:val="18"/>
                <w:szCs w:val="18"/>
              </w:rPr>
              <w:t xml:space="preserve">Round</w:t>
            </w:r>
          </w:p>
        </w:tc>
        <w:tc>
          <w:tcPr>
            <w:tcW w:type="dxa" w:w="3180"/>
            <w:shd w:fill="0E6B57" w:color="auto" w:val="clear"/>
            <w:tcMar>
              <w:top w:type="dxa" w:w="80"/>
              <w:left w:type="dxa" w:w="120"/>
              <w:bottom w:type="dxa" w:w="80"/>
              <w:right w:type="dxa" w:w="120"/>
            </w:tcMar>
          </w:tcPr>
          <w:p>
            <w:pPr>
              <w:spacing w:after="0" w:line="264"/>
            </w:pPr>
            <w:r>
              <w:rPr>
                <w:rFonts w:ascii="Arial" w:cs="Arial" w:eastAsia="Arial" w:hAnsi="Arial"/>
                <w:b/>
                <w:bCs/>
                <w:color w:val="FFFFFF"/>
                <w:sz w:val="18"/>
                <w:szCs w:val="18"/>
              </w:rPr>
              <w:t xml:space="preserve">Who</w:t>
            </w:r>
          </w:p>
        </w:tc>
        <w:tc>
          <w:tcPr>
            <w:tcW w:type="dxa" w:w="6000"/>
            <w:shd w:fill="0E6B57" w:color="auto" w:val="clear"/>
            <w:tcMar>
              <w:top w:type="dxa" w:w="80"/>
              <w:left w:type="dxa" w:w="120"/>
              <w:bottom w:type="dxa" w:w="80"/>
              <w:right w:type="dxa" w:w="120"/>
            </w:tcMar>
          </w:tcPr>
          <w:p>
            <w:pPr>
              <w:spacing w:after="0" w:line="264"/>
            </w:pPr>
            <w:r>
              <w:rPr>
                <w:rFonts w:ascii="Arial" w:cs="Arial" w:eastAsia="Arial" w:hAnsi="Arial"/>
                <w:b/>
                <w:bCs/>
                <w:color w:val="FFFFFF"/>
                <w:sz w:val="18"/>
                <w:szCs w:val="18"/>
              </w:rPr>
              <w:t xml:space="preserve">What is produced</w:t>
            </w:r>
          </w:p>
        </w:tc>
      </w:tr>
      <w:tr>
        <w:tc>
          <w:tcPr>
            <w:tcW w:type="dxa" w:w="900"/>
            <w:tcMar>
              <w:top w:type="dxa" w:w="80"/>
              <w:left w:type="dxa" w:w="120"/>
              <w:bottom w:type="dxa" w:w="80"/>
              <w:right w:type="dxa" w:w="120"/>
            </w:tcMar>
          </w:tcPr>
          <w:p>
            <w:pPr>
              <w:spacing w:after="0" w:line="264"/>
            </w:pPr>
            <w:r>
              <w:rPr>
                <w:rFonts w:ascii="Arial" w:cs="Arial" w:eastAsia="Arial" w:hAnsi="Arial"/>
                <w:b/>
                <w:bCs/>
                <w:color w:val="14201C"/>
                <w:sz w:val="18"/>
                <w:szCs w:val="18"/>
              </w:rPr>
              <w:t xml:space="preserve">0</w:t>
            </w:r>
          </w:p>
        </w:tc>
        <w:tc>
          <w:tcPr>
            <w:tcW w:type="dxa" w:w="3180"/>
            <w:tcMar>
              <w:top w:type="dxa" w:w="80"/>
              <w:left w:type="dxa" w:w="120"/>
              <w:bottom w:type="dxa" w:w="80"/>
              <w:right w:type="dxa" w:w="120"/>
            </w:tcMar>
          </w:tcPr>
          <w:p>
            <w:pPr>
              <w:spacing w:after="0" w:line="264"/>
            </w:pPr>
            <w:r>
              <w:rPr>
                <w:rFonts w:ascii="Arial" w:cs="Arial" w:eastAsia="Arial" w:hAnsi="Arial"/>
                <w:color w:val="14201C"/>
                <w:sz w:val="18"/>
                <w:szCs w:val="18"/>
              </w:rPr>
              <w:t xml:space="preserve">Engine</w:t>
            </w:r>
          </w:p>
        </w:tc>
        <w:tc>
          <w:tcPr>
            <w:tcW w:type="dxa" w:w="6000"/>
            <w:tcMar>
              <w:top w:type="dxa" w:w="80"/>
              <w:left w:type="dxa" w:w="120"/>
              <w:bottom w:type="dxa" w:w="80"/>
              <w:right w:type="dxa" w:w="120"/>
            </w:tcMar>
          </w:tcPr>
          <w:p>
            <w:pPr>
              <w:spacing w:after="0" w:line="264"/>
            </w:pPr>
            <w:r>
              <w:rPr>
                <w:rFonts w:ascii="Arial" w:cs="Arial" w:eastAsia="Arial" w:hAnsi="Arial"/>
                <w:color w:val="14201C"/>
                <w:sz w:val="18"/>
                <w:szCs w:val="18"/>
              </w:rPr>
              <w:t xml:space="preserve">The facts: box differences and the decision-log summary.</w:t>
            </w:r>
          </w:p>
        </w:tc>
      </w:tr>
      <w:tr>
        <w:tc>
          <w:tcPr>
            <w:tcW w:type="dxa" w:w="900"/>
            <w:tcMar>
              <w:top w:type="dxa" w:w="80"/>
              <w:left w:type="dxa" w:w="120"/>
              <w:bottom w:type="dxa" w:w="80"/>
              <w:right w:type="dxa" w:w="120"/>
            </w:tcMar>
          </w:tcPr>
          <w:p>
            <w:pPr>
              <w:spacing w:after="0" w:line="264"/>
            </w:pPr>
            <w:r>
              <w:rPr>
                <w:rFonts w:ascii="Arial" w:cs="Arial" w:eastAsia="Arial" w:hAnsi="Arial"/>
                <w:b/>
                <w:bCs/>
                <w:color w:val="14201C"/>
                <w:sz w:val="18"/>
                <w:szCs w:val="18"/>
              </w:rPr>
              <w:t xml:space="preserve">1</w:t>
            </w:r>
          </w:p>
        </w:tc>
        <w:tc>
          <w:tcPr>
            <w:tcW w:type="dxa" w:w="3180"/>
            <w:tcMar>
              <w:top w:type="dxa" w:w="80"/>
              <w:left w:type="dxa" w:w="120"/>
              <w:bottom w:type="dxa" w:w="80"/>
              <w:right w:type="dxa" w:w="120"/>
            </w:tcMar>
          </w:tcPr>
          <w:p>
            <w:pPr>
              <w:spacing w:after="0" w:line="264"/>
            </w:pPr>
            <w:r>
              <w:rPr>
                <w:rFonts w:ascii="Arial" w:cs="Arial" w:eastAsia="Arial" w:hAnsi="Arial"/>
                <w:color w:val="14201C"/>
                <w:sz w:val="18"/>
                <w:szCs w:val="18"/>
              </w:rPr>
              <w:t xml:space="preserve">Evidence agents, in parallel</w:t>
            </w:r>
          </w:p>
        </w:tc>
        <w:tc>
          <w:tcPr>
            <w:tcW w:type="dxa" w:w="6000"/>
            <w:tcMar>
              <w:top w:type="dxa" w:w="80"/>
              <w:left w:type="dxa" w:w="120"/>
              <w:bottom w:type="dxa" w:w="80"/>
              <w:right w:type="dxa" w:w="120"/>
            </w:tcMar>
          </w:tcPr>
          <w:p>
            <w:pPr>
              <w:spacing w:after="0" w:line="264"/>
            </w:pPr>
            <w:r>
              <w:rPr>
                <w:rFonts w:ascii="Arial" w:cs="Arial" w:eastAsia="Arial" w:hAnsi="Arial"/>
                <w:color w:val="14201C"/>
                <w:sz w:val="18"/>
                <w:szCs w:val="18"/>
              </w:rPr>
              <w:t xml:space="preserve">Hypotheses, each carrying an executable test.</w:t>
            </w:r>
          </w:p>
        </w:tc>
      </w:tr>
      <w:tr>
        <w:tc>
          <w:tcPr>
            <w:tcW w:type="dxa" w:w="900"/>
            <w:tcMar>
              <w:top w:type="dxa" w:w="80"/>
              <w:left w:type="dxa" w:w="120"/>
              <w:bottom w:type="dxa" w:w="80"/>
              <w:right w:type="dxa" w:w="120"/>
            </w:tcMar>
          </w:tcPr>
          <w:p>
            <w:pPr>
              <w:spacing w:after="0" w:line="264"/>
            </w:pPr>
            <w:r>
              <w:rPr>
                <w:rFonts w:ascii="Arial" w:cs="Arial" w:eastAsia="Arial" w:hAnsi="Arial"/>
                <w:b/>
                <w:bCs/>
                <w:color w:val="14201C"/>
                <w:sz w:val="18"/>
                <w:szCs w:val="18"/>
              </w:rPr>
              <w:t xml:space="preserve">2</w:t>
            </w:r>
          </w:p>
        </w:tc>
        <w:tc>
          <w:tcPr>
            <w:tcW w:type="dxa" w:w="3180"/>
            <w:tcMar>
              <w:top w:type="dxa" w:w="80"/>
              <w:left w:type="dxa" w:w="120"/>
              <w:bottom w:type="dxa" w:w="80"/>
              <w:right w:type="dxa" w:w="120"/>
            </w:tcMar>
          </w:tcPr>
          <w:p>
            <w:pPr>
              <w:spacing w:after="0" w:line="264"/>
            </w:pPr>
            <w:r>
              <w:rPr>
                <w:rFonts w:ascii="Arial" w:cs="Arial" w:eastAsia="Arial" w:hAnsi="Arial"/>
                <w:color w:val="14201C"/>
                <w:sz w:val="18"/>
                <w:szCs w:val="18"/>
              </w:rPr>
              <w:t xml:space="preserve">Adjudicator, then knowledge agents</w:t>
            </w:r>
          </w:p>
        </w:tc>
        <w:tc>
          <w:tcPr>
            <w:tcW w:type="dxa" w:w="6000"/>
            <w:tcMar>
              <w:top w:type="dxa" w:w="80"/>
              <w:left w:type="dxa" w:w="120"/>
              <w:bottom w:type="dxa" w:w="80"/>
              <w:right w:type="dxa" w:w="120"/>
            </w:tcMar>
          </w:tcPr>
          <w:p>
            <w:pPr>
              <w:spacing w:after="0" w:line="264"/>
            </w:pPr>
            <w:r>
              <w:rPr>
                <w:rFonts w:ascii="Arial" w:cs="Arial" w:eastAsia="Arial" w:hAnsi="Arial"/>
                <w:color w:val="14201C"/>
                <w:sz w:val="18"/>
                <w:szCs w:val="18"/>
              </w:rPr>
              <w:t xml:space="preserve">A verdict and amount for each; citations on the survivors.</w:t>
            </w:r>
          </w:p>
        </w:tc>
      </w:tr>
      <w:tr>
        <w:tc>
          <w:tcPr>
            <w:tcW w:type="dxa" w:w="900"/>
            <w:tcMar>
              <w:top w:type="dxa" w:w="80"/>
              <w:left w:type="dxa" w:w="120"/>
              <w:bottom w:type="dxa" w:w="80"/>
              <w:right w:type="dxa" w:w="120"/>
            </w:tcMar>
          </w:tcPr>
          <w:p>
            <w:pPr>
              <w:spacing w:after="0" w:line="264"/>
            </w:pPr>
            <w:r>
              <w:rPr>
                <w:rFonts w:ascii="Arial" w:cs="Arial" w:eastAsia="Arial" w:hAnsi="Arial"/>
                <w:b/>
                <w:bCs/>
                <w:color w:val="14201C"/>
                <w:sz w:val="18"/>
                <w:szCs w:val="18"/>
              </w:rPr>
              <w:t xml:space="preserve">3</w:t>
            </w:r>
          </w:p>
        </w:tc>
        <w:tc>
          <w:tcPr>
            <w:tcW w:type="dxa" w:w="3180"/>
            <w:tcMar>
              <w:top w:type="dxa" w:w="80"/>
              <w:left w:type="dxa" w:w="120"/>
              <w:bottom w:type="dxa" w:w="80"/>
              <w:right w:type="dxa" w:w="120"/>
            </w:tcMar>
          </w:tcPr>
          <w:p>
            <w:pPr>
              <w:spacing w:after="0" w:line="264"/>
            </w:pPr>
            <w:r>
              <w:rPr>
                <w:rFonts w:ascii="Arial" w:cs="Arial" w:eastAsia="Arial" w:hAnsi="Arial"/>
                <w:color w:val="14201C"/>
                <w:sz w:val="18"/>
                <w:szCs w:val="18"/>
              </w:rPr>
              <w:t xml:space="preserve">Challenger</w:t>
            </w:r>
          </w:p>
        </w:tc>
        <w:tc>
          <w:tcPr>
            <w:tcW w:type="dxa" w:w="6000"/>
            <w:tcMar>
              <w:top w:type="dxa" w:w="80"/>
              <w:left w:type="dxa" w:w="120"/>
              <w:bottom w:type="dxa" w:w="80"/>
              <w:right w:type="dxa" w:w="120"/>
            </w:tcMar>
          </w:tcPr>
          <w:p>
            <w:pPr>
              <w:spacing w:after="0" w:line="264"/>
            </w:pPr>
            <w:r>
              <w:rPr>
                <w:rFonts w:ascii="Arial" w:cs="Arial" w:eastAsia="Arial" w:hAnsi="Arial"/>
                <w:color w:val="14201C"/>
                <w:sz w:val="18"/>
                <w:szCs w:val="18"/>
              </w:rPr>
              <w:t xml:space="preserve">An objection against the leading hypothesis.</w:t>
            </w:r>
          </w:p>
        </w:tc>
      </w:tr>
      <w:tr>
        <w:tc>
          <w:tcPr>
            <w:tcW w:type="dxa" w:w="900"/>
            <w:tcMar>
              <w:top w:type="dxa" w:w="80"/>
              <w:left w:type="dxa" w:w="120"/>
              <w:bottom w:type="dxa" w:w="80"/>
              <w:right w:type="dxa" w:w="120"/>
            </w:tcMar>
          </w:tcPr>
          <w:p>
            <w:pPr>
              <w:spacing w:after="0" w:line="264"/>
            </w:pPr>
            <w:r>
              <w:rPr>
                <w:rFonts w:ascii="Arial" w:cs="Arial" w:eastAsia="Arial" w:hAnsi="Arial"/>
                <w:b/>
                <w:bCs/>
                <w:color w:val="14201C"/>
                <w:sz w:val="18"/>
                <w:szCs w:val="18"/>
              </w:rPr>
              <w:t xml:space="preserve">4</w:t>
            </w:r>
          </w:p>
        </w:tc>
        <w:tc>
          <w:tcPr>
            <w:tcW w:type="dxa" w:w="3180"/>
            <w:tcMar>
              <w:top w:type="dxa" w:w="80"/>
              <w:left w:type="dxa" w:w="120"/>
              <w:bottom w:type="dxa" w:w="80"/>
              <w:right w:type="dxa" w:w="120"/>
            </w:tcMar>
          </w:tcPr>
          <w:p>
            <w:pPr>
              <w:spacing w:after="0" w:line="264"/>
            </w:pPr>
            <w:r>
              <w:rPr>
                <w:rFonts w:ascii="Arial" w:cs="Arial" w:eastAsia="Arial" w:hAnsi="Arial"/>
                <w:color w:val="14201C"/>
                <w:sz w:val="18"/>
                <w:szCs w:val="18"/>
              </w:rPr>
              <w:t xml:space="preserve">Case Lead</w:t>
            </w:r>
          </w:p>
        </w:tc>
        <w:tc>
          <w:tcPr>
            <w:tcW w:type="dxa" w:w="6000"/>
            <w:tcMar>
              <w:top w:type="dxa" w:w="80"/>
              <w:left w:type="dxa" w:w="120"/>
              <w:bottom w:type="dxa" w:w="80"/>
              <w:right w:type="dxa" w:w="120"/>
            </w:tcMar>
          </w:tcPr>
          <w:p>
            <w:pPr>
              <w:spacing w:after="0" w:line="264"/>
            </w:pPr>
            <w:r>
              <w:rPr>
                <w:rFonts w:ascii="Arial" w:cs="Arial" w:eastAsia="Arial" w:hAnsi="Arial"/>
                <w:color w:val="14201C"/>
                <w:sz w:val="18"/>
                <w:szCs w:val="18"/>
              </w:rPr>
              <w:t xml:space="preserve">A ranked conclusion, the next best action, and what remains unexplained.</w:t>
            </w:r>
          </w:p>
        </w:tc>
      </w:tr>
    </w:tbl>
    <w:p>
      <w:pPr>
        <w:spacing w:after="80"/>
      </w:pPr>
    </w:p>
    <w:p>
      <w:pPr>
        <w:spacing w:after="120" w:line="276"/>
      </w:pPr>
      <w:r>
        <w:rPr>
          <w:rFonts w:ascii="Arial" w:cs="Arial" w:eastAsia="Arial" w:hAnsi="Arial"/>
          <w:color w:val="14201C"/>
          <w:sz w:val="20"/>
          <w:szCs w:val="20"/>
        </w:rPr>
        <w:t xml:space="preserve">Only the last two rounds are sequential, so cost stays bounded and most of the work parallelises. The loop stops when confirmed hypotheses account for the difference; otherwise it escalates the ranked list to the auditor rather than guessing.</w:t>
      </w:r>
    </w:p>
    <w:p>
      <w:pPr>
        <w:pStyle w:val="Heading2"/>
        <w:spacing w:after="140" w:before="280"/>
      </w:pPr>
      <w:r>
        <w:rPr>
          <w:rFonts w:ascii="Arial" w:cs="Arial" w:eastAsia="Arial" w:hAnsi="Arial"/>
          <w:b/>
          <w:bCs/>
          <w:color w:val="0A4C40"/>
          <w:sz w:val="24"/>
          <w:szCs w:val="24"/>
        </w:rPr>
        <w:t xml:space="preserve">4.5 A worked example</w:t>
      </w:r>
    </w:p>
    <w:p>
      <w:pPr>
        <w:spacing w:after="120" w:line="276"/>
      </w:pPr>
      <w:r>
        <w:rPr>
          <w:rFonts w:ascii="Arial" w:cs="Arial" w:eastAsia="Arial" w:hAnsi="Arial"/>
          <w:color w:val="14201C"/>
          <w:sz w:val="20"/>
          <w:szCs w:val="20"/>
        </w:rPr>
        <w:t xml:space="preserve">A taxpayer declares SAR 52,000 of output VAT where the e-invoices support SAR 520,000, against three prior quarters filed around half a million. Seven hypotheses are proposed. The adjudicator refutes the timing explanation, the single-document explanation and the rate explanation, because none of them matches. It confirms three.</w:t>
      </w:r>
    </w:p>
    <w:p>
      <w:pPr>
        <w:spacing w:after="120" w:line="276"/>
      </w:pPr>
      <w:r>
        <w:rPr>
          <w:rFonts w:ascii="Arial" w:cs="Arial" w:eastAsia="Arial" w:hAnsi="Arial"/>
          <w:color w:val="14201C"/>
          <w:sz w:val="20"/>
          <w:szCs w:val="20"/>
        </w:rPr>
        <w:t xml:space="preserve">The leading hypothesis is the decimal shift: declared × 10 equals the expected return exactly, accounting for the full SAR 468,000. Two other agents independently confirm the declaration is far below the taxpayer's own three-period average. The challenger records that no competing hypothesis survived and the leader accounts for the difference within materiality.</w:t>
      </w:r>
    </w:p>
    <w:p>
      <w:pPr>
        <w:spacing w:after="120" w:line="276"/>
      </w:pPr>
      <w:r>
        <w:rPr>
          <w:rFonts w:ascii="Arial" w:cs="Arial" w:eastAsia="Arial" w:hAnsi="Arial"/>
          <w:color w:val="14201C"/>
          <w:sz w:val="20"/>
          <w:szCs w:val="20"/>
        </w:rPr>
        <w:t xml:space="preserve">The auditor sees a keying error with the arithmetic shown, not an accusation of under-declaration — and the recommended action is to ask the taxpayer to confirm one box.</w:t>
      </w:r>
    </w:p>
    <w:p>
      <w:pPr>
        <w:pStyle w:val="Heading2"/>
        <w:spacing w:after="140" w:before="280"/>
      </w:pPr>
      <w:r>
        <w:rPr>
          <w:rFonts w:ascii="Arial" w:cs="Arial" w:eastAsia="Arial" w:hAnsi="Arial"/>
          <w:b/>
          <w:bCs/>
          <w:color w:val="0A4C40"/>
          <w:sz w:val="24"/>
          <w:szCs w:val="24"/>
        </w:rPr>
        <w:t xml:space="preserve">4.6 The safeguards that matter</w:t>
      </w:r>
    </w:p>
    <w:p>
      <w:pPr>
        <w:spacing w:after="120" w:line="276"/>
      </w:pPr>
      <w:r>
        <w:rPr>
          <w:rFonts w:ascii="Arial" w:cs="Arial" w:eastAsia="Arial" w:hAnsi="Arial"/>
          <w:color w:val="14201C"/>
          <w:sz w:val="20"/>
          <w:szCs w:val="20"/>
        </w:rPr>
        <w:t xml:space="preserve">Three behaviours were added after the demo data exposed failures in the first version, and each addresses a way this class of system misleads:</w:t>
      </w:r>
    </w:p>
    <w:p>
      <w:pPr>
        <w:pStyle w:val="ListParagraph"/>
        <w:numPr>
          <w:ilvl w:val="0"/>
          <w:numId w:val="3"/>
        </w:numPr>
        <w:spacing w:after="90" w:line="276"/>
      </w:pPr>
      <w:r>
        <w:rPr>
          <w:rFonts w:ascii="Arial" w:cs="Arial" w:eastAsia="Arial" w:hAnsi="Arial"/>
          <w:color w:val="14201C"/>
          <w:sz w:val="20"/>
          <w:szCs w:val="20"/>
        </w:rPr>
        <w:t xml:space="preserve">A supported case is not investigated at all. The first version reported that no pattern explained a difference of zero, which is nonsense dressed as diligence.</w:t>
      </w:r>
    </w:p>
    <w:p>
      <w:pPr>
        <w:pStyle w:val="ListParagraph"/>
        <w:numPr>
          <w:ilvl w:val="0"/>
          <w:numId w:val="3"/>
        </w:numPr>
        <w:spacing w:after="90" w:line="276"/>
      </w:pPr>
      <w:r>
        <w:rPr>
          <w:rFonts w:ascii="Arial" w:cs="Arial" w:eastAsia="Arial" w:hAnsi="Arial"/>
          <w:color w:val="14201C"/>
          <w:sz w:val="20"/>
          <w:szCs w:val="20"/>
        </w:rPr>
        <w:t xml:space="preserve">A confirmed test that accounts for no money is corroborating context, never the answer. A recurrence hit was initially ranked as the leading explanation while explaining nothing at all.</w:t>
      </w:r>
    </w:p>
    <w:p>
      <w:pPr>
        <w:pStyle w:val="ListParagraph"/>
        <w:numPr>
          <w:ilvl w:val="0"/>
          <w:numId w:val="3"/>
        </w:numPr>
        <w:spacing w:after="90" w:line="276"/>
      </w:pPr>
      <w:r>
        <w:rPr>
          <w:rFonts w:ascii="Arial" w:cs="Arial" w:eastAsia="Arial" w:hAnsi="Arial"/>
          <w:color w:val="14201C"/>
          <w:sz w:val="20"/>
          <w:szCs w:val="20"/>
        </w:rPr>
        <w:t xml:space="preserve">The challenger objects when the leading hypothesis leaves a material gap, so a partial explanation cannot be presented as a complete one.</w:t>
      </w:r>
    </w:p>
    <w:p>
      <w:pPr>
        <w:spacing w:after="200" w:line="276"/>
      </w:pPr>
      <w:r>
        <w:rPr>
          <w:rFonts w:ascii="Arial" w:cs="Arial" w:eastAsia="Arial" w:hAnsi="Arial"/>
          <w:color w:val="14201C"/>
          <w:sz w:val="20"/>
          <w:szCs w:val="20"/>
        </w:rPr>
        <w:t xml:space="preserve">The result is that the layer declines to explain things it cannot. On the headline case it reports plainly that no tested pattern accounts for the SAR 75,000 — because none does.</w:t>
      </w:r>
    </w:p>
    <w:p>
      <w:r>
        <w:br w:type="page"/>
      </w:r>
    </w:p>
    <w:p>
      <w:pPr>
        <w:pStyle w:val="Heading1"/>
        <w:spacing w:after="180" w:before="360"/>
      </w:pPr>
      <w:r>
        <w:rPr>
          <w:rFonts w:ascii="Arial" w:cs="Arial" w:eastAsia="Arial" w:hAnsi="Arial"/>
          <w:b/>
          <w:bCs/>
          <w:color w:val="0E6B57"/>
          <w:sz w:val="32"/>
          <w:szCs w:val="32"/>
        </w:rPr>
        <w:t xml:space="preserve">5. Challenges</w:t>
      </w:r>
    </w:p>
    <w:p>
      <w:pPr>
        <w:spacing w:after="120" w:line="276"/>
      </w:pPr>
      <w:r>
        <w:rPr>
          <w:rFonts w:ascii="Arial" w:cs="Arial" w:eastAsia="Arial" w:hAnsi="Arial"/>
          <w:color w:val="14201C"/>
          <w:sz w:val="20"/>
          <w:szCs w:val="20"/>
        </w:rPr>
        <w:t xml:space="preserve">These are grouped by what they block. Nothing here is presented as solved.</w:t>
      </w:r>
    </w:p>
    <w:p>
      <w:pPr>
        <w:pStyle w:val="Heading2"/>
        <w:spacing w:after="140" w:before="280"/>
      </w:pPr>
      <w:r>
        <w:rPr>
          <w:rFonts w:ascii="Arial" w:cs="Arial" w:eastAsia="Arial" w:hAnsi="Arial"/>
          <w:b/>
          <w:bCs/>
          <w:color w:val="0A4C40"/>
          <w:sz w:val="24"/>
          <w:szCs w:val="24"/>
        </w:rPr>
        <w:t xml:space="preserve">5.1 Populations the system cannot yet see</w:t>
      </w:r>
    </w:p>
    <w:p>
      <w:pPr>
        <w:spacing w:after="120" w:line="276"/>
      </w:pPr>
      <w:r>
        <w:rPr>
          <w:rFonts w:ascii="Arial" w:cs="Arial" w:eastAsia="Arial" w:hAnsi="Arial"/>
          <w:color w:val="14201C"/>
          <w:sz w:val="20"/>
          <w:szCs w:val="20"/>
        </w:rPr>
        <w:t xml:space="preserve">The largest gap is not a defect in the engine but an absence of data. Several categories of VAT carry no domestic e-invoice at all, so they cannot be reconstructed from FATOORA however good the pipeline is. Each needs a feed the proof of concept does not have.</w:t>
      </w:r>
    </w:p>
    <w:p>
      <w:pPr>
        <w:spacing w:after="60"/>
      </w:pPr>
    </w:p>
    <w:tbl>
      <w:tblPr>
        <w:tblW w:type="dxa" w:w="10080"/>
        <w:tblBorders>
          <w:top w:val="single" w:color="DCE6E0" w:sz="2"/>
          <w:left w:val="single" w:color="DCE6E0" w:sz="2"/>
          <w:bottom w:val="single" w:color="DCE6E0" w:sz="2"/>
          <w:right w:val="single" w:color="DCE6E0" w:sz="2"/>
          <w:insideH w:val="single" w:color="DCE6E0" w:sz="2"/>
          <w:insideV w:val="single" w:color="DCE6E0" w:sz="2"/>
        </w:tblBorders>
      </w:tblPr>
      <w:tblGrid>
        <w:gridCol w:w="3200"/>
        <w:gridCol w:w="1080"/>
        <w:gridCol w:w="5800"/>
      </w:tblGrid>
      <w:tr>
        <w:trPr>
          <w:tblHeader/>
        </w:trPr>
        <w:tc>
          <w:tcPr>
            <w:tcW w:type="dxa" w:w="3200"/>
            <w:shd w:fill="0E6B57" w:color="auto" w:val="clear"/>
            <w:tcMar>
              <w:top w:type="dxa" w:w="80"/>
              <w:left w:type="dxa" w:w="120"/>
              <w:bottom w:type="dxa" w:w="80"/>
              <w:right w:type="dxa" w:w="120"/>
            </w:tcMar>
          </w:tcPr>
          <w:p>
            <w:pPr>
              <w:spacing w:after="0" w:line="264"/>
            </w:pPr>
            <w:r>
              <w:rPr>
                <w:rFonts w:ascii="Arial" w:cs="Arial" w:eastAsia="Arial" w:hAnsi="Arial"/>
                <w:b/>
                <w:bCs/>
                <w:color w:val="FFFFFF"/>
                <w:sz w:val="18"/>
                <w:szCs w:val="18"/>
              </w:rPr>
              <w:t xml:space="preserve">Excluded population</w:t>
            </w:r>
          </w:p>
        </w:tc>
        <w:tc>
          <w:tcPr>
            <w:tcW w:type="dxa" w:w="1080"/>
            <w:shd w:fill="0E6B57" w:color="auto" w:val="clear"/>
            <w:tcMar>
              <w:top w:type="dxa" w:w="80"/>
              <w:left w:type="dxa" w:w="120"/>
              <w:bottom w:type="dxa" w:w="80"/>
              <w:right w:type="dxa" w:w="120"/>
            </w:tcMar>
          </w:tcPr>
          <w:p>
            <w:pPr>
              <w:spacing w:after="0" w:line="264"/>
            </w:pPr>
            <w:r>
              <w:rPr>
                <w:rFonts w:ascii="Arial" w:cs="Arial" w:eastAsia="Arial" w:hAnsi="Arial"/>
                <w:b/>
                <w:bCs/>
                <w:color w:val="FFFFFF"/>
                <w:sz w:val="18"/>
                <w:szCs w:val="18"/>
              </w:rPr>
              <w:t xml:space="preserve">Code</w:t>
            </w:r>
          </w:p>
        </w:tc>
        <w:tc>
          <w:tcPr>
            <w:tcW w:type="dxa" w:w="5800"/>
            <w:shd w:fill="0E6B57" w:color="auto" w:val="clear"/>
            <w:tcMar>
              <w:top w:type="dxa" w:w="80"/>
              <w:left w:type="dxa" w:w="120"/>
              <w:bottom w:type="dxa" w:w="80"/>
              <w:right w:type="dxa" w:w="120"/>
            </w:tcMar>
          </w:tcPr>
          <w:p>
            <w:pPr>
              <w:spacing w:after="0" w:line="264"/>
            </w:pPr>
            <w:r>
              <w:rPr>
                <w:rFonts w:ascii="Arial" w:cs="Arial" w:eastAsia="Arial" w:hAnsi="Arial"/>
                <w:b/>
                <w:bCs/>
                <w:color w:val="FFFFFF"/>
                <w:sz w:val="18"/>
                <w:szCs w:val="18"/>
              </w:rPr>
              <w:t xml:space="preserve">What it would need</w:t>
            </w:r>
          </w:p>
        </w:tc>
      </w:tr>
      <w:tr>
        <w:tc>
          <w:tcPr>
            <w:tcW w:type="dxa" w:w="3200"/>
            <w:tcMar>
              <w:top w:type="dxa" w:w="80"/>
              <w:left w:type="dxa" w:w="120"/>
              <w:bottom w:type="dxa" w:w="80"/>
              <w:right w:type="dxa" w:w="120"/>
            </w:tcMar>
          </w:tcPr>
          <w:p>
            <w:pPr>
              <w:spacing w:after="0" w:line="264"/>
            </w:pPr>
            <w:r>
              <w:rPr>
                <w:rFonts w:ascii="Arial" w:cs="Arial" w:eastAsia="Arial" w:hAnsi="Arial"/>
                <w:b/>
                <w:bCs/>
                <w:color w:val="14201C"/>
                <w:sz w:val="18"/>
                <w:szCs w:val="18"/>
              </w:rPr>
              <w:t xml:space="preserve">Imports of goods</w:t>
            </w:r>
          </w:p>
        </w:tc>
        <w:tc>
          <w:tcPr>
            <w:tcW w:type="dxa" w:w="1080"/>
            <w:tcMar>
              <w:top w:type="dxa" w:w="80"/>
              <w:left w:type="dxa" w:w="120"/>
              <w:bottom w:type="dxa" w:w="80"/>
              <w:right w:type="dxa" w:w="120"/>
            </w:tcMar>
          </w:tcPr>
          <w:p>
            <w:pPr>
              <w:spacing w:after="0" w:line="264"/>
            </w:pPr>
            <w:r>
              <w:rPr>
                <w:rFonts w:ascii="Arial" w:cs="Arial" w:eastAsia="Arial" w:hAnsi="Arial"/>
                <w:color w:val="14201C"/>
                <w:sz w:val="18"/>
                <w:szCs w:val="18"/>
              </w:rPr>
              <w:t xml:space="preserve">S04</w:t>
            </w:r>
          </w:p>
        </w:tc>
        <w:tc>
          <w:tcPr>
            <w:tcW w:type="dxa" w:w="5800"/>
            <w:tcMar>
              <w:top w:type="dxa" w:w="80"/>
              <w:left w:type="dxa" w:w="120"/>
              <w:bottom w:type="dxa" w:w="80"/>
              <w:right w:type="dxa" w:w="120"/>
            </w:tcMar>
          </w:tcPr>
          <w:p>
            <w:pPr>
              <w:spacing w:after="0" w:line="264"/>
            </w:pPr>
            <w:r>
              <w:rPr>
                <w:rFonts w:ascii="Arial" w:cs="Arial" w:eastAsia="Arial" w:hAnsi="Arial"/>
                <w:color w:val="14201C"/>
                <w:sz w:val="18"/>
                <w:szCs w:val="18"/>
              </w:rPr>
              <w:t xml:space="preserve">A customs declaration feed; import VAT is settled through customs.</w:t>
            </w:r>
          </w:p>
        </w:tc>
      </w:tr>
      <w:tr>
        <w:tc>
          <w:tcPr>
            <w:tcW w:type="dxa" w:w="3200"/>
            <w:tcMar>
              <w:top w:type="dxa" w:w="80"/>
              <w:left w:type="dxa" w:w="120"/>
              <w:bottom w:type="dxa" w:w="80"/>
              <w:right w:type="dxa" w:w="120"/>
            </w:tcMar>
          </w:tcPr>
          <w:p>
            <w:pPr>
              <w:spacing w:after="0" w:line="264"/>
            </w:pPr>
            <w:r>
              <w:rPr>
                <w:rFonts w:ascii="Arial" w:cs="Arial" w:eastAsia="Arial" w:hAnsi="Arial"/>
                <w:b/>
                <w:bCs/>
                <w:color w:val="14201C"/>
                <w:sz w:val="18"/>
                <w:szCs w:val="18"/>
              </w:rPr>
              <w:t xml:space="preserve">Reverse charge on services</w:t>
            </w:r>
          </w:p>
        </w:tc>
        <w:tc>
          <w:tcPr>
            <w:tcW w:type="dxa" w:w="1080"/>
            <w:tcMar>
              <w:top w:type="dxa" w:w="80"/>
              <w:left w:type="dxa" w:w="120"/>
              <w:bottom w:type="dxa" w:w="80"/>
              <w:right w:type="dxa" w:w="120"/>
            </w:tcMar>
          </w:tcPr>
          <w:p>
            <w:pPr>
              <w:spacing w:after="0" w:line="264"/>
            </w:pPr>
            <w:r>
              <w:rPr>
                <w:rFonts w:ascii="Arial" w:cs="Arial" w:eastAsia="Arial" w:hAnsi="Arial"/>
                <w:color w:val="14201C"/>
                <w:sz w:val="18"/>
                <w:szCs w:val="18"/>
              </w:rPr>
              <w:t xml:space="preserve">S05</w:t>
            </w:r>
          </w:p>
        </w:tc>
        <w:tc>
          <w:tcPr>
            <w:tcW w:type="dxa" w:w="5800"/>
            <w:tcMar>
              <w:top w:type="dxa" w:w="80"/>
              <w:left w:type="dxa" w:w="120"/>
              <w:bottom w:type="dxa" w:w="80"/>
              <w:right w:type="dxa" w:w="120"/>
            </w:tcMar>
          </w:tcPr>
          <w:p>
            <w:pPr>
              <w:spacing w:after="0" w:line="264"/>
            </w:pPr>
            <w:r>
              <w:rPr>
                <w:rFonts w:ascii="Arial" w:cs="Arial" w:eastAsia="Arial" w:hAnsi="Arial"/>
                <w:color w:val="14201C"/>
                <w:sz w:val="18"/>
                <w:szCs w:val="18"/>
              </w:rPr>
              <w:t xml:space="preserve">AP ledger and counterparty master; both legs are self-assessed.</w:t>
            </w:r>
          </w:p>
        </w:tc>
      </w:tr>
      <w:tr>
        <w:tc>
          <w:tcPr>
            <w:tcW w:type="dxa" w:w="3200"/>
            <w:tcMar>
              <w:top w:type="dxa" w:w="80"/>
              <w:left w:type="dxa" w:w="120"/>
              <w:bottom w:type="dxa" w:w="80"/>
              <w:right w:type="dxa" w:w="120"/>
            </w:tcMar>
          </w:tcPr>
          <w:p>
            <w:pPr>
              <w:spacing w:after="0" w:line="264"/>
            </w:pPr>
            <w:r>
              <w:rPr>
                <w:rFonts w:ascii="Arial" w:cs="Arial" w:eastAsia="Arial" w:hAnsi="Arial"/>
                <w:b/>
                <w:bCs/>
                <w:color w:val="14201C"/>
                <w:sz w:val="18"/>
                <w:szCs w:val="18"/>
              </w:rPr>
              <w:t xml:space="preserve">Exempt and zero-rated supplies</w:t>
            </w:r>
          </w:p>
        </w:tc>
        <w:tc>
          <w:tcPr>
            <w:tcW w:type="dxa" w:w="1080"/>
            <w:tcMar>
              <w:top w:type="dxa" w:w="80"/>
              <w:left w:type="dxa" w:w="120"/>
              <w:bottom w:type="dxa" w:w="80"/>
              <w:right w:type="dxa" w:w="120"/>
            </w:tcMar>
          </w:tcPr>
          <w:p>
            <w:pPr>
              <w:spacing w:after="0" w:line="264"/>
            </w:pPr>
            <w:r>
              <w:rPr>
                <w:rFonts w:ascii="Arial" w:cs="Arial" w:eastAsia="Arial" w:hAnsi="Arial"/>
                <w:color w:val="14201C"/>
                <w:sz w:val="18"/>
                <w:szCs w:val="18"/>
              </w:rPr>
              <w:t xml:space="preserve">S01/S02</w:t>
            </w:r>
          </w:p>
        </w:tc>
        <w:tc>
          <w:tcPr>
            <w:tcW w:type="dxa" w:w="5800"/>
            <w:tcMar>
              <w:top w:type="dxa" w:w="80"/>
              <w:left w:type="dxa" w:w="120"/>
              <w:bottom w:type="dxa" w:w="80"/>
              <w:right w:type="dxa" w:w="120"/>
            </w:tcMar>
          </w:tcPr>
          <w:p>
            <w:pPr>
              <w:spacing w:after="0" w:line="264"/>
            </w:pPr>
            <w:r>
              <w:rPr>
                <w:rFonts w:ascii="Arial" w:cs="Arial" w:eastAsia="Arial" w:hAnsi="Arial"/>
                <w:color w:val="14201C"/>
                <w:sz w:val="18"/>
                <w:szCs w:val="18"/>
              </w:rPr>
              <w:t xml:space="preserve">Reconstruction of the remaining boxes, plus proof-of-export evidence.</w:t>
            </w:r>
          </w:p>
        </w:tc>
      </w:tr>
      <w:tr>
        <w:tc>
          <w:tcPr>
            <w:tcW w:type="dxa" w:w="3200"/>
            <w:tcMar>
              <w:top w:type="dxa" w:w="80"/>
              <w:left w:type="dxa" w:w="120"/>
              <w:bottom w:type="dxa" w:w="80"/>
              <w:right w:type="dxa" w:w="120"/>
            </w:tcMar>
          </w:tcPr>
          <w:p>
            <w:pPr>
              <w:spacing w:after="0" w:line="264"/>
            </w:pPr>
            <w:r>
              <w:rPr>
                <w:rFonts w:ascii="Arial" w:cs="Arial" w:eastAsia="Arial" w:hAnsi="Arial"/>
                <w:b/>
                <w:bCs/>
                <w:color w:val="14201C"/>
                <w:sz w:val="18"/>
                <w:szCs w:val="18"/>
              </w:rPr>
              <w:t xml:space="preserve">VAT groups and branches</w:t>
            </w:r>
          </w:p>
        </w:tc>
        <w:tc>
          <w:tcPr>
            <w:tcW w:type="dxa" w:w="1080"/>
            <w:tcMar>
              <w:top w:type="dxa" w:w="80"/>
              <w:left w:type="dxa" w:w="120"/>
              <w:bottom w:type="dxa" w:w="80"/>
              <w:right w:type="dxa" w:w="120"/>
            </w:tcMar>
          </w:tcPr>
          <w:p>
            <w:pPr>
              <w:spacing w:after="0" w:line="264"/>
            </w:pPr>
            <w:r>
              <w:rPr>
                <w:rFonts w:ascii="Arial" w:cs="Arial" w:eastAsia="Arial" w:hAnsi="Arial"/>
                <w:color w:val="14201C"/>
                <w:sz w:val="18"/>
                <w:szCs w:val="18"/>
              </w:rPr>
              <w:t xml:space="preserve">S06</w:t>
            </w:r>
          </w:p>
        </w:tc>
        <w:tc>
          <w:tcPr>
            <w:tcW w:type="dxa" w:w="5800"/>
            <w:tcMar>
              <w:top w:type="dxa" w:w="80"/>
              <w:left w:type="dxa" w:w="120"/>
              <w:bottom w:type="dxa" w:w="80"/>
              <w:right w:type="dxa" w:w="120"/>
            </w:tcMar>
          </w:tcPr>
          <w:p>
            <w:pPr>
              <w:spacing w:after="0" w:line="264"/>
            </w:pPr>
            <w:r>
              <w:rPr>
                <w:rFonts w:ascii="Arial" w:cs="Arial" w:eastAsia="Arial" w:hAnsi="Arial"/>
                <w:color w:val="14201C"/>
                <w:sz w:val="18"/>
                <w:szCs w:val="18"/>
              </w:rPr>
              <w:t xml:space="preserve">Group membership and branch identity master data.</w:t>
            </w:r>
          </w:p>
        </w:tc>
      </w:tr>
      <w:tr>
        <w:tc>
          <w:tcPr>
            <w:tcW w:type="dxa" w:w="3200"/>
            <w:tcMar>
              <w:top w:type="dxa" w:w="80"/>
              <w:left w:type="dxa" w:w="120"/>
              <w:bottom w:type="dxa" w:w="80"/>
              <w:right w:type="dxa" w:w="120"/>
            </w:tcMar>
          </w:tcPr>
          <w:p>
            <w:pPr>
              <w:spacing w:after="0" w:line="264"/>
            </w:pPr>
            <w:r>
              <w:rPr>
                <w:rFonts w:ascii="Arial" w:cs="Arial" w:eastAsia="Arial" w:hAnsi="Arial"/>
                <w:b/>
                <w:bCs/>
                <w:color w:val="14201C"/>
                <w:sz w:val="18"/>
                <w:szCs w:val="18"/>
              </w:rPr>
              <w:t xml:space="preserve">Buyer-side input verification</w:t>
            </w:r>
          </w:p>
        </w:tc>
        <w:tc>
          <w:tcPr>
            <w:tcW w:type="dxa" w:w="1080"/>
            <w:tcMar>
              <w:top w:type="dxa" w:w="80"/>
              <w:left w:type="dxa" w:w="120"/>
              <w:bottom w:type="dxa" w:w="80"/>
              <w:right w:type="dxa" w:w="120"/>
            </w:tcMar>
          </w:tcPr>
          <w:p>
            <w:pPr>
              <w:spacing w:after="0" w:line="264"/>
            </w:pPr>
            <w:r>
              <w:rPr>
                <w:rFonts w:ascii="Arial" w:cs="Arial" w:eastAsia="Arial" w:hAnsi="Arial"/>
                <w:color w:val="14201C"/>
                <w:sz w:val="18"/>
                <w:szCs w:val="18"/>
              </w:rPr>
              <w:t xml:space="preserve">R08</w:t>
            </w:r>
          </w:p>
        </w:tc>
        <w:tc>
          <w:tcPr>
            <w:tcW w:type="dxa" w:w="5800"/>
            <w:tcMar>
              <w:top w:type="dxa" w:w="80"/>
              <w:left w:type="dxa" w:w="120"/>
              <w:bottom w:type="dxa" w:w="80"/>
              <w:right w:type="dxa" w:w="120"/>
            </w:tcMar>
          </w:tcPr>
          <w:p>
            <w:pPr>
              <w:spacing w:after="0" w:line="264"/>
            </w:pPr>
            <w:r>
              <w:rPr>
                <w:rFonts w:ascii="Arial" w:cs="Arial" w:eastAsia="Arial" w:hAnsi="Arial"/>
                <w:color w:val="14201C"/>
                <w:sz w:val="18"/>
                <w:szCs w:val="18"/>
              </w:rPr>
              <w:t xml:space="preserve">Buyer-keyed retrieval of suppliers' outward invoices.</w:t>
            </w:r>
          </w:p>
        </w:tc>
      </w:tr>
      <w:tr>
        <w:tc>
          <w:tcPr>
            <w:tcW w:type="dxa" w:w="3200"/>
            <w:tcMar>
              <w:top w:type="dxa" w:w="80"/>
              <w:left w:type="dxa" w:w="120"/>
              <w:bottom w:type="dxa" w:w="80"/>
              <w:right w:type="dxa" w:w="120"/>
            </w:tcMar>
          </w:tcPr>
          <w:p>
            <w:pPr>
              <w:spacing w:after="0" w:line="264"/>
            </w:pPr>
            <w:r>
              <w:rPr>
                <w:rFonts w:ascii="Arial" w:cs="Arial" w:eastAsia="Arial" w:hAnsi="Arial"/>
                <w:b/>
                <w:bCs/>
                <w:color w:val="14201C"/>
                <w:sz w:val="18"/>
                <w:szCs w:val="18"/>
              </w:rPr>
              <w:t xml:space="preserve">Cash-accounting taxpayers</w:t>
            </w:r>
          </w:p>
        </w:tc>
        <w:tc>
          <w:tcPr>
            <w:tcW w:type="dxa" w:w="1080"/>
            <w:tcMar>
              <w:top w:type="dxa" w:w="80"/>
              <w:left w:type="dxa" w:w="120"/>
              <w:bottom w:type="dxa" w:w="80"/>
              <w:right w:type="dxa" w:w="120"/>
            </w:tcMar>
          </w:tcPr>
          <w:p>
            <w:pPr>
              <w:spacing w:after="0" w:line="264"/>
            </w:pPr>
            <w:r>
              <w:rPr>
                <w:rFonts w:ascii="Arial" w:cs="Arial" w:eastAsia="Arial" w:hAnsi="Arial"/>
                <w:color w:val="14201C"/>
                <w:sz w:val="18"/>
                <w:szCs w:val="18"/>
              </w:rPr>
              <w:t xml:space="preserve">T05</w:t>
            </w:r>
          </w:p>
        </w:tc>
        <w:tc>
          <w:tcPr>
            <w:tcW w:type="dxa" w:w="5800"/>
            <w:tcMar>
              <w:top w:type="dxa" w:w="80"/>
              <w:left w:type="dxa" w:w="120"/>
              <w:bottom w:type="dxa" w:w="80"/>
              <w:right w:type="dxa" w:w="120"/>
            </w:tcMar>
          </w:tcPr>
          <w:p>
            <w:pPr>
              <w:spacing w:after="0" w:line="264"/>
            </w:pPr>
            <w:r>
              <w:rPr>
                <w:rFonts w:ascii="Arial" w:cs="Arial" w:eastAsia="Arial" w:hAnsi="Arial"/>
                <w:color w:val="14201C"/>
                <w:sz w:val="18"/>
                <w:szCs w:val="18"/>
              </w:rPr>
              <w:t xml:space="preserve">Payment-date data to move the tax point.</w:t>
            </w:r>
          </w:p>
        </w:tc>
      </w:tr>
      <w:tr>
        <w:tc>
          <w:tcPr>
            <w:tcW w:type="dxa" w:w="3200"/>
            <w:tcMar>
              <w:top w:type="dxa" w:w="80"/>
              <w:left w:type="dxa" w:w="120"/>
              <w:bottom w:type="dxa" w:w="80"/>
              <w:right w:type="dxa" w:w="120"/>
            </w:tcMar>
          </w:tcPr>
          <w:p>
            <w:pPr>
              <w:spacing w:after="0" w:line="264"/>
            </w:pPr>
            <w:r>
              <w:rPr>
                <w:rFonts w:ascii="Arial" w:cs="Arial" w:eastAsia="Arial" w:hAnsi="Arial"/>
                <w:b/>
                <w:bCs/>
                <w:color w:val="14201C"/>
                <w:sz w:val="18"/>
                <w:szCs w:val="18"/>
              </w:rPr>
              <w:t xml:space="preserve">Bad-debt relief</w:t>
            </w:r>
          </w:p>
        </w:tc>
        <w:tc>
          <w:tcPr>
            <w:tcW w:type="dxa" w:w="1080"/>
            <w:tcMar>
              <w:top w:type="dxa" w:w="80"/>
              <w:left w:type="dxa" w:w="120"/>
              <w:bottom w:type="dxa" w:w="80"/>
              <w:right w:type="dxa" w:w="120"/>
            </w:tcMar>
          </w:tcPr>
          <w:p>
            <w:pPr>
              <w:spacing w:after="0" w:line="264"/>
            </w:pPr>
            <w:r>
              <w:rPr>
                <w:rFonts w:ascii="Arial" w:cs="Arial" w:eastAsia="Arial" w:hAnsi="Arial"/>
                <w:color w:val="14201C"/>
                <w:sz w:val="18"/>
                <w:szCs w:val="18"/>
              </w:rPr>
              <w:t xml:space="preserve">A03</w:t>
            </w:r>
          </w:p>
        </w:tc>
        <w:tc>
          <w:tcPr>
            <w:tcW w:type="dxa" w:w="5800"/>
            <w:tcMar>
              <w:top w:type="dxa" w:w="80"/>
              <w:left w:type="dxa" w:w="120"/>
              <w:bottom w:type="dxa" w:w="80"/>
              <w:right w:type="dxa" w:w="120"/>
            </w:tcMar>
          </w:tcPr>
          <w:p>
            <w:pPr>
              <w:spacing w:after="0" w:line="264"/>
            </w:pPr>
            <w:r>
              <w:rPr>
                <w:rFonts w:ascii="Arial" w:cs="Arial" w:eastAsia="Arial" w:hAnsi="Arial"/>
                <w:color w:val="14201C"/>
                <w:sz w:val="18"/>
                <w:szCs w:val="18"/>
              </w:rPr>
              <w:t xml:space="preserve">Write-off and collection evidence.</w:t>
            </w:r>
          </w:p>
        </w:tc>
      </w:tr>
      <w:tr>
        <w:tc>
          <w:tcPr>
            <w:tcW w:type="dxa" w:w="3200"/>
            <w:tcMar>
              <w:top w:type="dxa" w:w="80"/>
              <w:left w:type="dxa" w:w="120"/>
              <w:bottom w:type="dxa" w:w="80"/>
              <w:right w:type="dxa" w:w="120"/>
            </w:tcMar>
          </w:tcPr>
          <w:p>
            <w:pPr>
              <w:spacing w:after="0" w:line="264"/>
            </w:pPr>
            <w:r>
              <w:rPr>
                <w:rFonts w:ascii="Arial" w:cs="Arial" w:eastAsia="Arial" w:hAnsi="Arial"/>
                <w:b/>
                <w:bCs/>
                <w:color w:val="14201C"/>
                <w:sz w:val="18"/>
                <w:szCs w:val="18"/>
              </w:rPr>
              <w:t xml:space="preserve">Partial exemption</w:t>
            </w:r>
          </w:p>
        </w:tc>
        <w:tc>
          <w:tcPr>
            <w:tcW w:type="dxa" w:w="1080"/>
            <w:tcMar>
              <w:top w:type="dxa" w:w="80"/>
              <w:left w:type="dxa" w:w="120"/>
              <w:bottom w:type="dxa" w:w="80"/>
              <w:right w:type="dxa" w:w="120"/>
            </w:tcMar>
          </w:tcPr>
          <w:p>
            <w:pPr>
              <w:spacing w:after="0" w:line="264"/>
            </w:pPr>
            <w:r>
              <w:rPr>
                <w:rFonts w:ascii="Arial" w:cs="Arial" w:eastAsia="Arial" w:hAnsi="Arial"/>
                <w:color w:val="14201C"/>
                <w:sz w:val="18"/>
                <w:szCs w:val="18"/>
              </w:rPr>
              <w:t xml:space="preserve">A02</w:t>
            </w:r>
          </w:p>
        </w:tc>
        <w:tc>
          <w:tcPr>
            <w:tcW w:type="dxa" w:w="5800"/>
            <w:tcMar>
              <w:top w:type="dxa" w:w="80"/>
              <w:left w:type="dxa" w:w="120"/>
              <w:bottom w:type="dxa" w:w="80"/>
              <w:right w:type="dxa" w:w="120"/>
            </w:tcMar>
          </w:tcPr>
          <w:p>
            <w:pPr>
              <w:spacing w:after="0" w:line="264"/>
            </w:pPr>
            <w:r>
              <w:rPr>
                <w:rFonts w:ascii="Arial" w:cs="Arial" w:eastAsia="Arial" w:hAnsi="Arial"/>
                <w:color w:val="14201C"/>
                <w:sz w:val="18"/>
                <w:szCs w:val="18"/>
              </w:rPr>
              <w:t xml:space="preserve">Recovery-ratio computation and blocked-input classification.</w:t>
            </w:r>
          </w:p>
        </w:tc>
      </w:tr>
    </w:tbl>
    <w:p>
      <w:pPr>
        <w:spacing w:after="80"/>
      </w:pPr>
    </w:p>
    <w:p>
      <w:pPr>
        <w:spacing w:after="120" w:line="276"/>
      </w:pPr>
      <w:r>
        <w:rPr>
          <w:rFonts w:ascii="Arial" w:cs="Arial" w:eastAsia="Arial" w:hAnsi="Arial"/>
          <w:color w:val="14201C"/>
          <w:sz w:val="20"/>
          <w:szCs w:val="20"/>
        </w:rPr>
        <w:t xml:space="preserve">Ten of the sixty-five rules — the entire reverse-charge and imports family — are written but cannot fire for this reason. Of the 65 rules, 4 are wired, 18 are reachable from the current data model but not yet implemented, and 43 depend on feeds or populations outside the current scope.</w:t>
      </w:r>
    </w:p>
    <w:p>
      <w:pPr>
        <w:pStyle w:val="Heading2"/>
        <w:spacing w:after="140" w:before="280"/>
      </w:pPr>
      <w:r>
        <w:rPr>
          <w:rFonts w:ascii="Arial" w:cs="Arial" w:eastAsia="Arial" w:hAnsi="Arial"/>
          <w:b/>
          <w:bCs/>
          <w:color w:val="0A4C40"/>
          <w:sz w:val="24"/>
          <w:szCs w:val="24"/>
        </w:rPr>
        <w:t xml:space="preserve">5.2 Modelling simplifications that need resolving</w:t>
      </w:r>
    </w:p>
    <w:p>
      <w:pPr>
        <w:pStyle w:val="ListParagraph"/>
        <w:numPr>
          <w:ilvl w:val="0"/>
          <w:numId w:val="3"/>
        </w:numPr>
        <w:spacing w:after="90" w:line="276"/>
      </w:pPr>
      <w:r>
        <w:rPr>
          <w:rFonts w:ascii="Arial" w:cs="Arial" w:eastAsia="Arial" w:hAnsi="Arial"/>
          <w:color w:val="14201C"/>
          <w:sz w:val="20"/>
          <w:szCs w:val="20"/>
        </w:rPr>
        <w:t xml:space="preserve">Tax point is approximated by the invoice issue date, with delivery date used only for the period-straddle test. A true rule — earliest of payment, invoice or contractual due date, with special cases for continuous supply and advance payments — is the first thing production would need, and it changes which period supplies fall in.</w:t>
      </w:r>
    </w:p>
    <w:p>
      <w:pPr>
        <w:pStyle w:val="ListParagraph"/>
        <w:numPr>
          <w:ilvl w:val="0"/>
          <w:numId w:val="3"/>
        </w:numPr>
        <w:spacing w:after="90" w:line="276"/>
      </w:pPr>
      <w:r>
        <w:rPr>
          <w:rFonts w:ascii="Arial" w:cs="Arial" w:eastAsia="Arial" w:hAnsi="Arial"/>
          <w:color w:val="14201C"/>
          <w:sz w:val="20"/>
          <w:szCs w:val="20"/>
        </w:rPr>
        <w:t xml:space="preserve">The system reconciles a single period and a single return version. Prior-period corrections, amended returns and late-arriving documents are all documented causes of difference and none is modelled. The version selector is recorded as an assumption only.</w:t>
      </w:r>
    </w:p>
    <w:p>
      <w:pPr>
        <w:pStyle w:val="ListParagraph"/>
        <w:numPr>
          <w:ilvl w:val="0"/>
          <w:numId w:val="3"/>
        </w:numPr>
        <w:spacing w:after="90" w:line="276"/>
      </w:pPr>
      <w:r>
        <w:rPr>
          <w:rFonts w:ascii="Arial" w:cs="Arial" w:eastAsia="Arial" w:hAnsi="Arial"/>
          <w:color w:val="14201C"/>
          <w:sz w:val="20"/>
          <w:szCs w:val="20"/>
        </w:rPr>
        <w:t xml:space="preserve">Reconciliation is document-level. High-volume retail taxpayers file from daily or store-level aggregates, which needs a batch tier the system does not have.</w:t>
      </w:r>
    </w:p>
    <w:p>
      <w:pPr>
        <w:pStyle w:val="ListParagraph"/>
        <w:numPr>
          <w:ilvl w:val="0"/>
          <w:numId w:val="3"/>
        </w:numPr>
        <w:spacing w:after="90" w:line="276"/>
      </w:pPr>
      <w:r>
        <w:rPr>
          <w:rFonts w:ascii="Arial" w:cs="Arial" w:eastAsia="Arial" w:hAnsi="Arial"/>
          <w:color w:val="14201C"/>
          <w:sz w:val="20"/>
          <w:szCs w:val="20"/>
        </w:rPr>
        <w:t xml:space="preserve">There is no rounding or currency tolerance model. All demo amounts are SAR and tax-exclusive, so line-level versus invoice-level rounding never bites.</w:t>
      </w:r>
    </w:p>
    <w:p>
      <w:pPr>
        <w:pStyle w:val="ListParagraph"/>
        <w:numPr>
          <w:ilvl w:val="0"/>
          <w:numId w:val="3"/>
        </w:numPr>
        <w:spacing w:after="90" w:line="276"/>
      </w:pPr>
      <w:r>
        <w:rPr>
          <w:rFonts w:ascii="Arial" w:cs="Arial" w:eastAsia="Arial" w:hAnsi="Arial"/>
          <w:color w:val="14201C"/>
          <w:sz w:val="20"/>
          <w:szCs w:val="20"/>
        </w:rPr>
        <w:t xml:space="preserve">The multi-period property is only half proved. Deferred supplies are shown leaving the period; showing them arriving in the next one needs a second seeded period.</w:t>
      </w:r>
    </w:p>
    <w:p>
      <w:pPr>
        <w:pStyle w:val="Heading2"/>
        <w:spacing w:after="140" w:before="280"/>
      </w:pPr>
      <w:r>
        <w:rPr>
          <w:rFonts w:ascii="Arial" w:cs="Arial" w:eastAsia="Arial" w:hAnsi="Arial"/>
          <w:b/>
          <w:bCs/>
          <w:color w:val="0A4C40"/>
          <w:sz w:val="24"/>
          <w:szCs w:val="24"/>
        </w:rPr>
        <w:t xml:space="preserve">5.3 Evidential and legal gaps</w:t>
      </w:r>
    </w:p>
    <w:p>
      <w:pPr>
        <w:spacing w:after="120" w:line="276"/>
      </w:pPr>
      <w:r>
        <w:rPr>
          <w:rFonts w:ascii="Arial" w:cs="Arial" w:eastAsia="Arial" w:hAnsi="Arial"/>
          <w:color w:val="14201C"/>
          <w:sz w:val="20"/>
          <w:szCs w:val="20"/>
        </w:rPr>
        <w:t xml:space="preserve">The rulebook records no statutory citation for most rules. Where the rule text names an anchor — the 2020 rate change, the real-estate transaction tax, the Phase-2 waves, the per-error correction cap — it is captured, but that covers 13 of 65. The remaining 52 are sound as detection logic and unsourced as legal propositions. They need review by a ZATCA subject-matter expert before any of this supports a real assessment.</w:t>
      </w:r>
    </w:p>
    <w:p>
      <w:pPr>
        <w:spacing w:after="120" w:line="276"/>
      </w:pPr>
      <w:r>
        <w:rPr>
          <w:rFonts w:ascii="Arial" w:cs="Arial" w:eastAsia="Arial" w:hAnsi="Arial"/>
          <w:color w:val="14201C"/>
          <w:sz w:val="20"/>
          <w:szCs w:val="20"/>
        </w:rPr>
        <w:t xml:space="preserve">The knowledge agents are designed and unbuilt for the same reason. A legal agent without an authoritative corpus is theatre: it would produce confident statements about Saudi VAT law with nothing behind them. The contract is ready — sources carry an authority level so that law outranks regulation outranks guidance, and any claim without a resolvable citation is dropped exactly as a fabricated figure would be — but the agents stay dormant until the corpus arrives.</w:t>
      </w:r>
    </w:p>
    <w:p>
      <w:pPr>
        <w:pStyle w:val="Heading2"/>
        <w:spacing w:after="140" w:before="280"/>
      </w:pPr>
      <w:r>
        <w:rPr>
          <w:rFonts w:ascii="Arial" w:cs="Arial" w:eastAsia="Arial" w:hAnsi="Arial"/>
          <w:b/>
          <w:bCs/>
          <w:color w:val="0A4C40"/>
          <w:sz w:val="24"/>
          <w:szCs w:val="24"/>
        </w:rPr>
        <w:t xml:space="preserve">5.4 Operating a multi-agent system responsibly</w:t>
      </w:r>
    </w:p>
    <w:p>
      <w:pPr>
        <w:pStyle w:val="ListParagraph"/>
        <w:numPr>
          <w:ilvl w:val="0"/>
          <w:numId w:val="3"/>
        </w:numPr>
        <w:spacing w:after="90" w:line="276"/>
      </w:pPr>
      <w:r>
        <w:rPr>
          <w:rFonts w:ascii="Arial" w:cs="Arial" w:eastAsia="Arial" w:hAnsi="Arial"/>
          <w:color w:val="14201C"/>
          <w:sz w:val="20"/>
          <w:szCs w:val="20"/>
        </w:rPr>
        <w:t xml:space="preserve">Confident wrong answers are the characteristic failure of this architecture. The hypothesise-and-adjudicate split and the challenger are the structural defences, but they bound the risk rather than remove it.</w:t>
      </w:r>
    </w:p>
    <w:p>
      <w:pPr>
        <w:pStyle w:val="ListParagraph"/>
        <w:numPr>
          <w:ilvl w:val="0"/>
          <w:numId w:val="3"/>
        </w:numPr>
        <w:spacing w:after="90" w:line="276"/>
      </w:pPr>
      <w:r>
        <w:rPr>
          <w:rFonts w:ascii="Arial" w:cs="Arial" w:eastAsia="Arial" w:hAnsi="Arial"/>
          <w:color w:val="14201C"/>
          <w:sz w:val="20"/>
          <w:szCs w:val="20"/>
        </w:rPr>
        <w:t xml:space="preserve">Cost and latency grow with the roster. Bounded rounds and parallel fan-out contain this; an unbounded conversational design would not.</w:t>
      </w:r>
    </w:p>
    <w:p>
      <w:pPr>
        <w:pStyle w:val="ListParagraph"/>
        <w:numPr>
          <w:ilvl w:val="0"/>
          <w:numId w:val="3"/>
        </w:numPr>
        <w:spacing w:after="90" w:line="276"/>
      </w:pPr>
      <w:r>
        <w:rPr>
          <w:rFonts w:ascii="Arial" w:cs="Arial" w:eastAsia="Arial" w:hAnsi="Arial"/>
          <w:color w:val="14201C"/>
          <w:sz w:val="20"/>
          <w:szCs w:val="20"/>
        </w:rPr>
        <w:t xml:space="preserve">Explainability is a regulatory requirement, not a feature. Every conclusion must trace to an adjudicated test over engine data, which is why the case file is typed and append-only rather than a transcript.</w:t>
      </w:r>
    </w:p>
    <w:p>
      <w:pPr>
        <w:pStyle w:val="ListParagraph"/>
        <w:numPr>
          <w:ilvl w:val="0"/>
          <w:numId w:val="3"/>
        </w:numPr>
        <w:spacing w:after="90" w:line="276"/>
      </w:pPr>
      <w:r>
        <w:rPr>
          <w:rFonts w:ascii="Arial" w:cs="Arial" w:eastAsia="Arial" w:hAnsi="Arial"/>
          <w:color w:val="14201C"/>
          <w:sz w:val="20"/>
          <w:szCs w:val="20"/>
        </w:rPr>
        <w:t xml:space="preserve">Auditor trust has to be earned case by case. A system that over-claims once will be switched off, which is the reasoning behind having the layer decline to explain differences it cannot account for.</w:t>
      </w:r>
    </w:p>
    <w:p>
      <w:pPr>
        <w:pStyle w:val="Heading2"/>
        <w:spacing w:after="140" w:before="280"/>
      </w:pPr>
      <w:r>
        <w:rPr>
          <w:rFonts w:ascii="Arial" w:cs="Arial" w:eastAsia="Arial" w:hAnsi="Arial"/>
          <w:b/>
          <w:bCs/>
          <w:color w:val="0A4C40"/>
          <w:sz w:val="24"/>
          <w:szCs w:val="24"/>
        </w:rPr>
        <w:t xml:space="preserve">5.5 Scale and deployment</w:t>
      </w:r>
    </w:p>
    <w:p>
      <w:pPr>
        <w:pStyle w:val="ListParagraph"/>
        <w:numPr>
          <w:ilvl w:val="0"/>
          <w:numId w:val="3"/>
        </w:numPr>
        <w:spacing w:after="90" w:line="276"/>
      </w:pPr>
      <w:r>
        <w:rPr>
          <w:rFonts w:ascii="Arial" w:cs="Arial" w:eastAsia="Arial" w:hAnsi="Arial"/>
          <w:color w:val="14201C"/>
          <w:sz w:val="20"/>
          <w:szCs w:val="20"/>
        </w:rPr>
        <w:t xml:space="preserve">The demo runs in Python over 179 invoices. National volumes are billions of lines, so the pipeline has to execute as set-based passes. The rule algebra was constrained to make that possible, and the equivalence is tested, but the batch implementation does not exist yet and the constraint limits how expressive a rule can be.</w:t>
      </w:r>
    </w:p>
    <w:p>
      <w:pPr>
        <w:pStyle w:val="ListParagraph"/>
        <w:numPr>
          <w:ilvl w:val="0"/>
          <w:numId w:val="3"/>
        </w:numPr>
        <w:spacing w:after="90" w:line="276"/>
      </w:pPr>
      <w:r>
        <w:rPr>
          <w:rFonts w:ascii="Arial" w:cs="Arial" w:eastAsia="Arial" w:hAnsi="Arial"/>
          <w:color w:val="14201C"/>
          <w:sz w:val="20"/>
          <w:szCs w:val="20"/>
        </w:rPr>
        <w:t xml:space="preserve">Data protection governs the model layer. The demo calls a hosted model only on synthetic data, with the taxpayer name pseudonymised. Production requires an in-tenant or self-hosted model behind the same interface; the boundary exists so this is a configuration change, but it must be made before real data is touched.</w:t>
      </w:r>
    </w:p>
    <w:p>
      <w:pPr>
        <w:pStyle w:val="ListParagraph"/>
        <w:numPr>
          <w:ilvl w:val="0"/>
          <w:numId w:val="3"/>
        </w:numPr>
        <w:spacing w:after="90" w:line="276"/>
      </w:pPr>
      <w:r>
        <w:rPr>
          <w:rFonts w:ascii="Arial" w:cs="Arial" w:eastAsia="Arial" w:hAnsi="Arial"/>
          <w:color w:val="14201C"/>
          <w:sz w:val="20"/>
          <w:szCs w:val="20"/>
        </w:rPr>
        <w:t xml:space="preserve">Case volume and the human bottleneck. The system's value is in reducing contact, not generating more cases. If prioritisation is mistuned it will simply produce a longer queue, which is why the queue is ranked by a blended score rather than by exposure.</w:t>
      </w:r>
    </w:p>
    <w:p>
      <w:pPr>
        <w:pStyle w:val="Heading2"/>
        <w:spacing w:after="140" w:before="280"/>
      </w:pPr>
      <w:r>
        <w:rPr>
          <w:rFonts w:ascii="Arial" w:cs="Arial" w:eastAsia="Arial" w:hAnsi="Arial"/>
          <w:b/>
          <w:bCs/>
          <w:color w:val="0A4C40"/>
          <w:sz w:val="24"/>
          <w:szCs w:val="24"/>
        </w:rPr>
        <w:t xml:space="preserve">5.6 Decisions needed</w:t>
      </w:r>
    </w:p>
    <w:p>
      <w:pPr>
        <w:spacing w:after="120" w:line="276"/>
      </w:pPr>
      <w:r>
        <w:rPr>
          <w:rFonts w:ascii="Arial" w:cs="Arial" w:eastAsia="Arial" w:hAnsi="Arial"/>
          <w:color w:val="14201C"/>
          <w:sz w:val="20"/>
          <w:szCs w:val="20"/>
        </w:rPr>
        <w:t xml:space="preserve">Four questions need answers from the business rather than from engineering:</w:t>
      </w:r>
    </w:p>
    <w:p>
      <w:pPr>
        <w:pStyle w:val="ListParagraph"/>
        <w:numPr>
          <w:ilvl w:val="0"/>
          <w:numId w:val="2"/>
        </w:numPr>
        <w:spacing w:after="90" w:line="276"/>
      </w:pPr>
      <w:r>
        <w:rPr>
          <w:rFonts w:ascii="Arial" w:cs="Arial" w:eastAsia="Arial" w:hAnsi="Arial"/>
          <w:color w:val="14201C"/>
          <w:sz w:val="20"/>
          <w:szCs w:val="20"/>
        </w:rPr>
        <w:t xml:space="preserve">Which populations come next — imports and reverse charge would be the highest-value addition, and they need a customs feed.</w:t>
      </w:r>
    </w:p>
    <w:p>
      <w:pPr>
        <w:pStyle w:val="ListParagraph"/>
        <w:numPr>
          <w:ilvl w:val="0"/>
          <w:numId w:val="2"/>
        </w:numPr>
        <w:spacing w:after="90" w:line="276"/>
      </w:pPr>
      <w:r>
        <w:rPr>
          <w:rFonts w:ascii="Arial" w:cs="Arial" w:eastAsia="Arial" w:hAnsi="Arial"/>
          <w:color w:val="14201C"/>
          <w:sz w:val="20"/>
          <w:szCs w:val="20"/>
        </w:rPr>
        <w:t xml:space="preserve">Who owns the legal review of the 52 uncited rules, and on what timetable.</w:t>
      </w:r>
    </w:p>
    <w:p>
      <w:pPr>
        <w:pStyle w:val="ListParagraph"/>
        <w:numPr>
          <w:ilvl w:val="0"/>
          <w:numId w:val="2"/>
        </w:numPr>
        <w:spacing w:after="90" w:line="276"/>
      </w:pPr>
      <w:r>
        <w:rPr>
          <w:rFonts w:ascii="Arial" w:cs="Arial" w:eastAsia="Arial" w:hAnsi="Arial"/>
          <w:color w:val="14201C"/>
          <w:sz w:val="20"/>
          <w:szCs w:val="20"/>
        </w:rPr>
        <w:t xml:space="preserve">Where the production model runs, and under what data-protection assessment.</w:t>
      </w:r>
    </w:p>
    <w:p>
      <w:pPr>
        <w:pStyle w:val="ListParagraph"/>
        <w:numPr>
          <w:ilvl w:val="0"/>
          <w:numId w:val="2"/>
        </w:numPr>
        <w:spacing w:after="90" w:line="276"/>
      </w:pPr>
      <w:r>
        <w:rPr>
          <w:rFonts w:ascii="Arial" w:cs="Arial" w:eastAsia="Arial" w:hAnsi="Arial"/>
          <w:color w:val="14201C"/>
          <w:sz w:val="20"/>
          <w:szCs w:val="20"/>
        </w:rPr>
        <w:t xml:space="preserve">What the acceptance bar is for an agent conclusion — how much of a difference must be adjudicated before a case may be actioned without a manual line review.</w:t>
      </w:r>
    </w:p>
    <w:p>
      <w:pPr>
        <w:spacing w:after="200"/>
      </w:pPr>
    </w:p>
    <w:p>
      <w:pPr>
        <w:pBdr>
          <w:bottom w:val="single" w:color="DCE6E0" w:sz="6"/>
        </w:pBdr>
        <w:spacing w:after="200"/>
      </w:pPr>
    </w:p>
    <w:p>
      <w:pPr>
        <w:spacing w:after="120" w:line="276"/>
      </w:pPr>
      <w:r>
        <w:rPr>
          <w:rFonts w:ascii="Arial" w:cs="Arial" w:eastAsia="Arial" w:hAnsi="Arial"/>
          <w:i/>
          <w:iCs/>
          <w:color w:val="5B6A63"/>
          <w:sz w:val="18"/>
          <w:szCs w:val="18"/>
        </w:rPr>
        <w:t xml:space="preserve">Prepared from the running proof of concept. Figures are taken from the system's own output and are reproducible from the repository.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00" w:hanging="240"/>
      </w:pPr>
    </w:lvl>
  </w:abstractNum>
  <w:abstractNum w:abstractNumId="3" w15:restartNumberingAfterBreak="0">
    <w:multiLevelType w:val="hybridMultilevel"/>
    <w:lvl w:ilvl="0" w15:tentative="1">
      <w:start w:val="1"/>
      <w:numFmt w:val="decimal"/>
      <w:lvlText w:val="%1."/>
      <w:lvlJc w:val="left"/>
      <w:pPr>
        <w:ind w:left="46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01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E-AUDIT — VAT Audit Agent: Solution Overview</dc:title>
  <dc:creator>E-AUDIT</dc:creator>
  <dc:description>Functional and technical solution, the agent layer, and challenges.</dc:description>
  <cp:lastModifiedBy>Un-named</cp:lastModifiedBy>
  <cp:revision>1</cp:revision>
  <dcterms:created xsi:type="dcterms:W3CDTF">2026-08-16T18:24:40.637Z</dcterms:created>
  <dcterms:modified xsi:type="dcterms:W3CDTF">2026-08-16T18:24:40.637Z</dcterms:modified>
</cp:coreProperties>
</file>

<file path=docProps/custom.xml><?xml version="1.0" encoding="utf-8"?>
<Properties xmlns="http://schemas.openxmlformats.org/officeDocument/2006/custom-properties" xmlns:vt="http://schemas.openxmlformats.org/officeDocument/2006/docPropsVTypes"/>
</file>