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04"/>
      </w:pPr>
      <w:r>
        <w:t xml:space="preserve">Quantile</w:t>
      </w:r>
      <w:r>
        <w:t xml:space="preserve"> </w:t>
      </w:r>
      <w:r>
        <w:t xml:space="preserve">forecasting</w:t>
      </w:r>
      <w:r>
        <w:t xml:space="preserve"> </w:t>
      </w:r>
      <w:r>
        <w:t xml:space="preserve">with</w:t>
      </w:r>
      <w:r>
        <w:t xml:space="preserve"> </w:t>
      </w:r>
      <w:r>
        <w:t xml:space="preserve">ensembles</w:t>
      </w:r>
      <w:r>
        <w:t xml:space="preserve"> </w:t>
      </w:r>
      <w:r>
        <w:t xml:space="preserve">and</w:t>
      </w:r>
      <w:r>
        <w:t xml:space="preserve"> </w:t>
      </w:r>
      <w:r>
        <w:t xml:space="preserve">combinations</w:t>
      </w:r>
      <w:r/>
    </w:p>
    <w:p>
      <w:pPr>
        <w:pStyle w:val="406"/>
      </w:pPr>
      <w:r>
        <w:t xml:space="preserve">Rob</w:t>
      </w:r>
      <w:r>
        <w:t xml:space="preserve"> </w:t>
      </w:r>
      <w:r>
        <w:t xml:space="preserve">J</w:t>
      </w:r>
      <w:r>
        <w:t xml:space="preserve"> </w:t>
      </w:r>
      <w:r>
        <w:t xml:space="preserve">Hyndman</w:t>
      </w:r>
      <w:r/>
    </w:p>
    <w:p>
      <w:pPr>
        <w:pStyle w:val="410"/>
      </w:pPr>
      <w:r/>
      <w:bookmarkStart w:id="20" w:name="forecasting-using-possible-futures"/>
      <w:r>
        <w:t xml:space="preserve">Forecasting using possible futures</w:t>
      </w:r>
      <w:bookmarkEnd w:id="20"/>
      <w:r/>
      <w:r/>
    </w:p>
    <w:p>
      <w:pPr>
        <w:pStyle w:val="402"/>
      </w:pPr>
      <w:r>
        <w:t xml:space="preserve">One way to think about forecasting is that we are describing the possible futures that might occur.</w:t>
      </w:r>
      <w:r/>
    </w:p>
    <w:p>
      <w:pPr>
        <w:pStyle w:val="401"/>
      </w:pPr>
      <w:r>
        <w:t xml:space="preserve">Suppose we are interested in forecasting the total sales in Australian cafés and we train an ETS model and an ARIMA model</w:t>
      </w:r>
      <w:r>
        <w:t xml:space="preserve"> </w:t>
      </w:r>
      <w:r>
        <w:t xml:space="preserve">(Hyndman and Athanasopoulos 2020)</w:t>
      </w:r>
      <w:r>
        <w:t xml:space="preserve"> </w:t>
      </w:r>
      <w:r>
        <w:t xml:space="preserve">on the data to the end of 2018. Then we can simulate sample paths from these models to obtain many possible</w:t>
      </w:r>
      <w:r>
        <w:t xml:space="preserve"> </w:t>
      </w:r>
      <w:r>
        <w:t xml:space="preserve">“</w:t>
      </w:r>
      <w:r>
        <w:t xml:space="preserve">futures</w:t>
      </w:r>
      <w:r>
        <w:t xml:space="preserve">”</w:t>
      </w:r>
      <w:r>
        <w:t xml:space="preserve">. Figure</w:t>
      </w:r>
      <w:r>
        <w:t xml:space="preserve"> </w:t>
      </w:r>
      <w:r>
        <w:t xml:space="preserve">1</w:t>
      </w:r>
      <w:r>
        <w:t xml:space="preserve"> </w:t>
      </w:r>
      <w:r>
        <w:t xml:space="preserve">shows the last four years of training data and 5 futures generated from each of the two fitted models.</w:t>
      </w:r>
      <w:r/>
    </w:p>
    <w:p>
      <w:pPr>
        <w:pStyle w:val="429"/>
      </w:pPr>
      <w:r>
        <mc:AlternateContent>
          <mc:Choice Requires="wpg">
            <w:drawing>
              <wp:inline xmlns:wp="http://schemas.openxmlformats.org/drawingml/2006/wordprocessingDrawing" distT="0" distB="0" distL="0" distR="0">
                <wp:extent cx="5334000" cy="3048000"/>
                <wp:effectExtent l="0" t="0" r="0" b="0"/>
                <wp:docPr id="1" name="Picture" descr="Future sample paths obtained using an ARIMA model and an ETS model for the Australian monthly café turnover." hidden="false" titl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descr="quantile_ensembles_files/figure-docx/samples-1.png" hidden="0"/>
                        <pic:cNvPicPr>
                          <a:picLocks noChangeAspect="1" noChangeArrowheads="1"/>
                        </pic:cNvPicPr>
                      </pic:nvPicPr>
                      <pic:blipFill>
                        <a:blip r:embed="rId8"/>
                        <a:stretch/>
                      </pic:blipFill>
                      <pic:spPr bwMode="auto">
                        <a:xfrm>
                          <a:off x="0" y="0"/>
                          <a:ext cx="5334000" cy="30480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20.0pt;height:240.0pt;" strokeweight="0.75pt">
                <v:path textboxrect="0,0,0,0"/>
                <v:imagedata r:id="rId8" o:title=""/>
              </v:shape>
            </w:pict>
          </mc:Fallback>
        </mc:AlternateContent>
      </w:r>
      <w:r/>
    </w:p>
    <w:p>
      <w:pPr>
        <w:pStyle w:val="427"/>
      </w:pPr>
      <w:r>
        <w:rPr>
          <w:b/>
        </w:rPr>
        <w:t xml:space="preserve">Figure 1: </w:t>
      </w:r>
      <w:r>
        <w:t xml:space="preserve">Future sample paths obtained using an ARIMA model and an ETS model for the Australian monthly café turnover.</w:t>
      </w:r>
      <w:r/>
    </w:p>
    <w:p>
      <w:pPr>
        <w:pStyle w:val="401"/>
      </w:pPr>
      <w:r>
        <w:t xml:space="preserve">If we repeat this procedure thousands of times for each model, we can obtain a very clear </w:t>
      </w:r>
      <w:r>
        <w:t xml:space="preserve">picture of the probability distribution for each future time period. The means of these sample paths are the traditional point forecasts. Traditional 95% prediction intervals are equivalent to finding the middle 95% of the futures at each forecast horizon.</w:t>
      </w:r>
      <w:r/>
    </w:p>
    <w:p>
      <w:pPr>
        <w:pStyle w:val="401"/>
      </w:pPr>
      <w:r>
        <w:t xml:space="preserve">Simulated future sample paths also allow us to answer many m</w:t>
      </w:r>
      <w:r>
        <w:t xml:space="preserve">ore interesting questions. For example, we may wish to find prediction intervals for the total turnover for the next 12 months. This is surprisingly difficult to handle analytically but trivial using simulations — we just need to add up the turnover for ea</w:t>
      </w:r>
      <w:r>
        <w:t xml:space="preserve">ch of the simulated sample paths, and then compute the relevant percentiles. We might also want to forecast the maximum turnover in any month over the next year. Again, that is a difficult problem analytically, but very easy using simulations. I expect tha</w:t>
      </w:r>
      <w:r>
        <w:t xml:space="preserve">t simulating future sample paths will play an increasingly important role in forecasting practice because it makes difficult problems relatively easy, and allows us to explore what the future might be like in ways that would otherwise be almost impossible.</w:t>
      </w:r>
      <w:r/>
    </w:p>
    <w:p>
      <w:pPr>
        <w:pStyle w:val="401"/>
      </w:pPr>
      <w:r>
        <w:t xml:space="preserve">Using simulations in forecasting requires a generative statistical model to be used. This is easy using an ARIMA or ETS model, but more difficult if something like a neural network or random forest has been used.</w:t>
      </w:r>
      <w:r/>
    </w:p>
    <w:p>
      <w:pPr>
        <w:pStyle w:val="410"/>
      </w:pPr>
      <w:r/>
      <w:bookmarkStart w:id="22" w:name="quantile-forecasting"/>
      <w:r>
        <w:t xml:space="preserve">Quantile forecasting</w:t>
      </w:r>
      <w:bookmarkEnd w:id="22"/>
      <w:r/>
      <w:r/>
    </w:p>
    <w:p>
      <w:pPr>
        <w:pStyle w:val="402"/>
      </w:pPr>
      <w:r>
        <w:t xml:space="preserve">Almost everyone needs probabilistic forecasts whether they realise it or not. Without some kind of probabilistic forecast or other measure of uncertainty, a point forecast is largely useless a</w:t>
      </w:r>
      <w:r>
        <w:t xml:space="preserve">s there is no way of knowing how wrong it is likely to be. A simple version of a probabilistic forecast is a prediction interval which is intended to cover the true value with a specified probability. Another type of probabilistic forecast is the notion of</w:t>
      </w:r>
      <w:r>
        <w:t xml:space="preserve"> </w:t>
      </w:r>
      <w:r>
        <w:t xml:space="preserve">“</w:t>
      </w:r>
      <w:r>
        <w:t xml:space="preserve">safety stock</w:t>
      </w:r>
      <w:r>
        <w:t xml:space="preserve">”</w:t>
      </w:r>
      <w:r>
        <w:t xml:space="preserve">, which is the additional stock to be ordered above the point forecast in order to meet demand with a specified probability.</w:t>
      </w:r>
      <w:r/>
    </w:p>
    <w:p>
      <w:pPr>
        <w:pStyle w:val="401"/>
      </w:pPr>
      <w:r>
        <w:t xml:space="preserve">A more sophisticated way of producing probabilistic forecasts is to generate quantile forecas</w:t>
      </w:r>
      <w:r>
        <w:t xml:space="preserve">ts. For example, a 90% quantile forecast is a value which should exceed the true observation 90% of the time, and be less than the true value 10% of the time. Median forecasts are equivalent to 50% quantile forecasts. Prediction intervals are often constru</w:t>
      </w:r>
      <w:r>
        <w:t xml:space="preserve">cted in this way — an 80% prediction interval can be based on the 10% and 90% quantile forecasts. Safety stock can also be computed from quantile forecasts — set the stock order to be the 95% quantile to ensure your probability of being out-of-stock is 5%.</w:t>
      </w:r>
      <w:r/>
    </w:p>
    <w:p>
      <w:pPr>
        <w:pStyle w:val="401"/>
      </w:pPr>
      <w:r>
        <w:t xml:space="preserve">Any statistical forecasting method can be used to produce quantile forecasts by simulation. We simply need to compute the quantiles at each time from the simulated sample paths. Figure</w:t>
      </w:r>
      <w:r>
        <w:t xml:space="preserve"> 2</w:t>
      </w:r>
      <w:r>
        <w:t xml:space="preserve"> </w:t>
      </w:r>
      <w:r>
        <w:t xml:space="preserve">shows the deciles for the ETS forecasts (i.e., the 10th, 20th,</w:t>
      </w:r>
      <w:r>
        <w:t xml:space="preserve"> </w:t>
      </w:r>
      <w:r>
        <w:t xml:space="preserve">, 90th percentiles).</w:t>
      </w:r>
      <w:r/>
    </w:p>
    <w:p>
      <w:pPr>
        <w:pStyle w:val="429"/>
      </w:pPr>
      <w:r>
        <mc:AlternateContent>
          <mc:Choice Requires="wpg">
            <w:drawing>
              <wp:inline xmlns:wp="http://schemas.openxmlformats.org/drawingml/2006/wordprocessingDrawing" distT="0" distB="0" distL="0" distR="0">
                <wp:extent cx="5334000" cy="3556000"/>
                <wp:effectExtent l="0" t="0" r="0" b="0"/>
                <wp:docPr id="2" name="Picture" descr="Blue: Deciles for the ETS forecasts for the Australian monthly café turnover. Black: Observed values." hidden="false" titl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descr="quantile_ensembles_files/figure-docx/quantiles-1.png" hidden="0"/>
                        <pic:cNvPicPr>
                          <a:picLocks noChangeAspect="1" noChangeArrowheads="1"/>
                        </pic:cNvPicPr>
                      </pic:nvPicPr>
                      <pic:blipFill>
                        <a:blip r:embed="rId9"/>
                        <a:stretch/>
                      </pic:blipFill>
                      <pic:spPr bwMode="auto">
                        <a:xfrm>
                          <a:off x="0" y="0"/>
                          <a:ext cx="5334000" cy="35560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20.0pt;height:280.0pt;" strokeweight="0.75pt">
                <v:path textboxrect="0,0,0,0"/>
                <v:imagedata r:id="rId9" o:title=""/>
              </v:shape>
            </w:pict>
          </mc:Fallback>
        </mc:AlternateContent>
      </w:r>
      <w:r/>
    </w:p>
    <w:p>
      <w:pPr>
        <w:pStyle w:val="427"/>
      </w:pPr>
      <w:r>
        <w:rPr>
          <w:b/>
        </w:rPr>
        <w:t xml:space="preserve">Figure 2: </w:t>
      </w:r>
      <w:r>
        <w:t xml:space="preserve">Blue: Deciles for the ETS forecasts for the Australian monthly café turnover. Black: Observed values.</w:t>
      </w:r>
      <w:r/>
    </w:p>
    <w:p>
      <w:pPr>
        <w:pStyle w:val="410"/>
      </w:pPr>
      <w:r/>
      <w:bookmarkStart w:id="24" w:name="evaluating-quantile-forecasts"/>
      <w:r>
        <w:t xml:space="preserve">Evaluating quantile forecasts</w:t>
      </w:r>
      <w:bookmarkEnd w:id="24"/>
      <w:r/>
      <w:r/>
    </w:p>
    <w:p>
      <w:pPr>
        <w:pStyle w:val="402"/>
      </w:pPr>
      <w:r>
        <w:t xml:space="preserve">Most business doing forecasting will be familiar with computing accuracy measures for point forecasts such as MAPE or RMSE values. With quantile forecasts, we need to use some alternative measures.</w:t>
      </w:r>
      <w:r/>
    </w:p>
    <w:p>
      <w:pPr>
        <w:pStyle w:val="401"/>
      </w:pPr>
      <w:r>
        <w:t xml:space="preserve">Quantile scores provides a measure of accuracy for each quantile of interest. Suppose we are interested in the quantile forecast with probability</w:t>
      </w:r>
      <w:r>
        <w:t xml:space="preserve"> </w:t>
      </w:r>
      <m:oMath>
        <m:r>
          <m:rPr/>
          <m:t>p</m:t>
        </m:r>
      </m:oMath>
      <w:r>
        <w:t xml:space="preserve"> </w:t>
      </w:r>
      <w:r>
        <w:t xml:space="preserve">at future time</w:t>
      </w:r>
      <w:r>
        <w:t xml:space="preserve"> </w:t>
      </w:r>
      <m:oMath>
        <m:r>
          <m:rPr/>
          <m:t>t</m:t>
        </m:r>
      </m:oMath>
      <w:r>
        <w:t xml:space="preserve">, and let this be denoted by</w:t>
      </w:r>
      <w:r>
        <w:t xml:space="preserve"> </w:t>
      </w:r>
      <m:oMath>
        <m:sSub>
          <m:sSubPr>
            <m:ctrlPr/>
          </m:sSubPr>
          <m:e>
            <m:r>
              <m:rPr/>
              <m:t>f</m:t>
            </m:r>
          </m:e>
          <m:sub>
            <m:r>
              <m:rPr/>
              <m:t>p</m:t>
            </m:r>
            <m:r>
              <m:rPr/>
              <m:t>,</m:t>
            </m:r>
            <m:r>
              <m:rPr/>
              <m:t>t</m:t>
            </m:r>
          </m:sub>
        </m:sSub>
      </m:oMath>
      <w:r>
        <w:t xml:space="preserve">. That is, we expect the observation at time</w:t>
      </w:r>
      <w:r>
        <w:t xml:space="preserve"> </w:t>
      </w:r>
      <m:oMath>
        <m:r>
          <m:rPr/>
          <m:t>t</m:t>
        </m:r>
      </m:oMath>
      <w:r>
        <w:t xml:space="preserve"> </w:t>
      </w:r>
      <w:r>
        <w:t xml:space="preserve">to be less than</w:t>
      </w:r>
      <w:r>
        <w:t xml:space="preserve"> </w:t>
      </w:r>
      <m:oMath>
        <m:sSub>
          <m:sSubPr>
            <m:ctrlPr/>
          </m:sSubPr>
          <m:e>
            <m:r>
              <m:rPr/>
              <m:t>f</m:t>
            </m:r>
          </m:e>
          <m:sub>
            <m:r>
              <m:rPr/>
              <m:t>p</m:t>
            </m:r>
            <m:r>
              <m:rPr/>
              <m:t>,</m:t>
            </m:r>
            <m:r>
              <m:rPr/>
              <m:t>t</m:t>
            </m:r>
          </m:sub>
        </m:sSub>
      </m:oMath>
      <w:r>
        <w:t xml:space="preserve"> </w:t>
      </w:r>
      <w:r>
        <w:t xml:space="preserve">with probability</w:t>
      </w:r>
      <w:r>
        <w:t xml:space="preserve"> </w:t>
      </w:r>
      <m:oMath>
        <m:r>
          <m:rPr/>
          <m:t>p</m:t>
        </m:r>
      </m:oMath>
      <w:r>
        <w:t xml:space="preserve">. For example, an estimate of the 95th percentile would be</w:t>
      </w:r>
      <w:r>
        <w:t xml:space="preserve"> </w:t>
      </w:r>
      <m:oMath>
        <m:sSub>
          <m:sSubPr>
            <m:ctrlPr/>
          </m:sSubPr>
          <m:e>
            <m:r>
              <m:rPr/>
              <m:t>f</m:t>
            </m:r>
          </m:e>
          <m:sub>
            <m:r>
              <m:rPr/>
              <m:t>0.95</m:t>
            </m:r>
            <m:r>
              <m:rPr/>
              <m:t>,</m:t>
            </m:r>
            <m:r>
              <m:rPr/>
              <m:t>t</m:t>
            </m:r>
          </m:sub>
        </m:sSub>
      </m:oMath>
      <w:r>
        <w:t xml:space="preserve">. If</w:t>
      </w:r>
      <w:r>
        <w:t xml:space="preserve"> </w:t>
      </w:r>
      <m:oMath>
        <m:sSub>
          <m:sSubPr>
            <m:ctrlPr/>
          </m:sSubPr>
          <m:e>
            <m:r>
              <m:rPr/>
              <m:t>y</m:t>
            </m:r>
          </m:e>
          <m:sub>
            <m:r>
              <m:rPr/>
              <m:t>t</m:t>
            </m:r>
          </m:sub>
        </m:sSub>
      </m:oMath>
      <w:r>
        <w:t xml:space="preserve"> </w:t>
      </w:r>
      <w:r>
        <w:t xml:space="preserve">denotes the observation at time</w:t>
      </w:r>
      <w:r>
        <w:t xml:space="preserve"> </w:t>
      </w:r>
      <m:oMath>
        <m:r>
          <m:rPr/>
          <m:t>t</m:t>
        </m:r>
      </m:oMath>
      <w:r>
        <w:t xml:space="preserve">, then the quantile score is</w:t>
      </w:r>
      <w:r/>
    </w:p>
    <w:p>
      <w:pPr>
        <w:pStyle w:val="401"/>
      </w:pPr>
      <w:r/>
      <m:oMathPara>
        <m:oMathParaPr>
          <m:jc m:val="center"/>
        </m:oMathParaPr>
        <m:oMath>
          <m:sSub>
            <m:sSubPr>
              <m:ctrlPr/>
            </m:sSubPr>
            <m:e>
              <m:r>
                <m:rPr/>
                <m:t>Q</m:t>
              </m:r>
            </m:e>
            <m:sub>
              <m:r>
                <m:rPr/>
                <m:t>p</m:t>
              </m:r>
              <m:r>
                <m:rPr/>
                <m:t>,</m:t>
              </m:r>
              <m:r>
                <m:rPr/>
                <m:t>t</m:t>
              </m:r>
            </m:sub>
          </m:sSub>
          <m:r>
            <m:rPr/>
            <m:t>=</m:t>
          </m:r>
          <m:d>
            <m:dPr>
              <m:begChr m:val="{"/>
              <m:endChr m:val=""/>
              <m:ctrlPr/>
            </m:dPr>
            <m:e>
              <m:m>
                <m:mPr>
                  <m:baseJc m:val="center"/>
                  <m:cGp/>
                  <m:cGpRule/>
                  <m:cSp/>
                  <m:mcs>
                    <m:mc>
                      <m:mcPr>
                        <m:mcJc m:val="left"/>
                        <m:count m:val="1"/>
                      </m:mcPr>
                    </m:mc>
                    <m:mc>
                      <m:mcPr>
                        <m:mcJc m:val="left"/>
                        <m:count m:val="1"/>
                      </m:mcPr>
                    </m:mc>
                  </m:mcs>
                  <m:plcHide m:val="on"/>
                  <m:rSp/>
                  <m:rSpRule/>
                  <m:ctrlPr/>
                </m:mPr>
                <m:mr>
                  <m:e>
                    <m:r>
                      <m:rPr/>
                      <m:t>2</m:t>
                    </m:r>
                    <m:r>
                      <m:rPr/>
                      <m:t>(</m:t>
                    </m:r>
                    <m:r>
                      <m:rPr/>
                      <m:t>1</m:t>
                    </m:r>
                    <m:r>
                      <m:rPr/>
                      <m:t>−</m:t>
                    </m:r>
                    <m:r>
                      <m:rPr/>
                      <m:t>p</m:t>
                    </m:r>
                    <m:r>
                      <m:rPr/>
                      <m:t>)</m:t>
                    </m:r>
                    <m:r>
                      <m:rPr/>
                      <m:t>(</m:t>
                    </m:r>
                    <m:sSub>
                      <m:sSubPr>
                        <m:ctrlPr/>
                      </m:sSubPr>
                      <m:e>
                        <m:r>
                          <m:rPr/>
                          <m:t>f</m:t>
                        </m:r>
                      </m:e>
                      <m:sub>
                        <m:r>
                          <m:rPr/>
                          <m:t>p</m:t>
                        </m:r>
                        <m:r>
                          <m:rPr/>
                          <m:t>,</m:t>
                        </m:r>
                        <m:r>
                          <m:rPr/>
                          <m:t>t</m:t>
                        </m:r>
                      </m:sub>
                    </m:sSub>
                    <m:r>
                      <m:rPr/>
                      <m:t>−</m:t>
                    </m:r>
                    <m:sSub>
                      <m:sSubPr>
                        <m:ctrlPr/>
                      </m:sSubPr>
                      <m:e>
                        <m:r>
                          <m:rPr/>
                          <m:t>y</m:t>
                        </m:r>
                      </m:e>
                      <m:sub>
                        <m:r>
                          <m:rPr/>
                          <m:t>t</m:t>
                        </m:r>
                      </m:sub>
                    </m:sSub>
                    <m:r>
                      <m:rPr/>
                      <m:t>)</m:t>
                    </m:r>
                    <m:r>
                      <m:rPr/>
                      <m:t>,</m:t>
                    </m:r>
                  </m:e>
                  <m:e>
                    <m:r>
                      <m:rPr>
                        <m:nor m:val="on"/>
                        <m:sty m:val="p"/>
                      </m:rPr>
                      <m:t>if </m:t>
                    </m:r>
                    <m:sSub>
                      <m:sSubPr>
                        <m:ctrlPr/>
                      </m:sSubPr>
                      <m:e>
                        <m:r>
                          <m:rPr/>
                          <m:t>y</m:t>
                        </m:r>
                      </m:e>
                      <m:sub>
                        <m:r>
                          <m:rPr/>
                          <m:t>t</m:t>
                        </m:r>
                      </m:sub>
                    </m:sSub>
                    <m:r>
                      <m:rPr/>
                      <m:t>&lt;</m:t>
                    </m:r>
                    <m:sSub>
                      <m:sSubPr>
                        <m:ctrlPr/>
                      </m:sSubPr>
                      <m:e>
                        <m:r>
                          <m:rPr/>
                          <m:t>f</m:t>
                        </m:r>
                      </m:e>
                      <m:sub>
                        <m:r>
                          <m:rPr/>
                          <m:t>p</m:t>
                        </m:r>
                        <m:r>
                          <m:rPr/>
                          <m:t>,</m:t>
                        </m:r>
                        <m:r>
                          <m:rPr/>
                          <m:t>t</m:t>
                        </m:r>
                      </m:sub>
                    </m:sSub>
                  </m:e>
                </m:mr>
                <m:mr>
                  <m:e>
                    <m:r>
                      <m:rPr/>
                      <m:t>2</m:t>
                    </m:r>
                    <m:r>
                      <m:rPr/>
                      <m:t>p</m:t>
                    </m:r>
                    <m:r>
                      <m:rPr/>
                      <m:t>(</m:t>
                    </m:r>
                    <m:sSub>
                      <m:sSubPr>
                        <m:ctrlPr/>
                      </m:sSubPr>
                      <m:e>
                        <m:r>
                          <m:rPr/>
                          <m:t>y</m:t>
                        </m:r>
                      </m:e>
                      <m:sub>
                        <m:r>
                          <m:rPr/>
                          <m:t>t</m:t>
                        </m:r>
                      </m:sub>
                    </m:sSub>
                    <m:r>
                      <m:rPr/>
                      <m:t>−</m:t>
                    </m:r>
                    <m:sSub>
                      <m:sSubPr>
                        <m:ctrlPr/>
                      </m:sSubPr>
                      <m:e>
                        <m:r>
                          <m:rPr/>
                          <m:t>f</m:t>
                        </m:r>
                      </m:e>
                      <m:sub>
                        <m:r>
                          <m:rPr/>
                          <m:t>p</m:t>
                        </m:r>
                        <m:r>
                          <m:rPr/>
                          <m:t>,</m:t>
                        </m:r>
                        <m:r>
                          <m:rPr/>
                          <m:t>t</m:t>
                        </m:r>
                      </m:sub>
                    </m:sSub>
                    <m:r>
                      <m:rPr/>
                      <m:t>)</m:t>
                    </m:r>
                    <m:r>
                      <m:rPr/>
                      <m:t>,</m:t>
                    </m:r>
                  </m:e>
                  <m:e>
                    <m:r>
                      <m:rPr>
                        <m:nor m:val="on"/>
                        <m:sty m:val="p"/>
                      </m:rPr>
                      <m:t>if </m:t>
                    </m:r>
                    <m:sSub>
                      <m:sSubPr>
                        <m:ctrlPr/>
                      </m:sSubPr>
                      <m:e>
                        <m:r>
                          <m:rPr/>
                          <m:t>y</m:t>
                        </m:r>
                      </m:e>
                      <m:sub>
                        <m:r>
                          <m:rPr/>
                          <m:t>t</m:t>
                        </m:r>
                      </m:sub>
                    </m:sSub>
                    <m:r>
                      <m:rPr/>
                      <m:t>≥</m:t>
                    </m:r>
                    <m:sSub>
                      <m:sSubPr>
                        <m:ctrlPr/>
                      </m:sSubPr>
                      <m:e>
                        <m:r>
                          <m:rPr/>
                          <m:t>f</m:t>
                        </m:r>
                      </m:e>
                      <m:sub>
                        <m:r>
                          <m:rPr/>
                          <m:t>p</m:t>
                        </m:r>
                        <m:r>
                          <m:rPr/>
                          <m:t>,</m:t>
                        </m:r>
                        <m:r>
                          <m:rPr/>
                          <m:t>t</m:t>
                        </m:r>
                      </m:sub>
                    </m:sSub>
                  </m:e>
                </m:mr>
              </m:m>
            </m:e>
          </m:d>
        </m:oMath>
      </m:oMathPara>
      <w:r/>
      <w:r/>
    </w:p>
    <w:p>
      <w:pPr>
        <w:pStyle w:val="402"/>
      </w:pPr>
      <w:r>
        <w:t xml:space="preserve">This is sometimes called the</w:t>
      </w:r>
      <w:r>
        <w:t xml:space="preserve"> </w:t>
      </w:r>
      <w:r>
        <w:t xml:space="preserve">“</w:t>
      </w:r>
      <w:r>
        <w:t xml:space="preserve">pinball loss function</w:t>
      </w:r>
      <w:r>
        <w:t xml:space="preserve">”</w:t>
      </w:r>
      <w:r>
        <w:t xml:space="preserve"> </w:t>
      </w:r>
      <w:r>
        <w:t xml:space="preserve">because a graph of it resembles the trajectory of a ball on a pinball table. The multiplier of 2 is often omitted, but including it makes the interpretation a little easier. A low value of</w:t>
      </w:r>
      <w:r>
        <w:t xml:space="preserve"> </w:t>
      </w:r>
      <m:oMath>
        <m:sSub>
          <m:sSubPr>
            <m:ctrlPr/>
          </m:sSubPr>
          <m:e>
            <m:r>
              <m:rPr/>
              <m:t>Q</m:t>
            </m:r>
          </m:e>
          <m:sub>
            <m:r>
              <m:rPr/>
              <m:t>p</m:t>
            </m:r>
          </m:sub>
        </m:sSub>
      </m:oMath>
      <w:r>
        <w:t xml:space="preserve"> </w:t>
      </w:r>
      <w:r>
        <w:t xml:space="preserve">indicates a better estimate of the quantile.</w:t>
      </w:r>
      <w:r/>
    </w:p>
    <w:p>
      <w:pPr>
        <w:pStyle w:val="401"/>
      </w:pPr>
      <w:r>
        <w:t xml:space="preserve">In Figure</w:t>
      </w:r>
      <w:r>
        <w:t xml:space="preserve"> </w:t>
      </w:r>
      <w:r>
        <w:t xml:space="preserve">2</w:t>
      </w:r>
      <w:r>
        <w:t xml:space="preserve">, the 90% quantile forecast for December 2019 is</w:t>
      </w:r>
      <w:r>
        <w:t xml:space="preserve"> </w:t>
      </w:r>
      <m:oMath>
        <m:sSub>
          <m:sSubPr>
            <m:ctrlPr/>
          </m:sSubPr>
          <m:e>
            <m:r>
              <m:rPr/>
              <m:t>f</m:t>
            </m:r>
          </m:e>
          <m:sub>
            <m:r>
              <m:rPr/>
              <m:t>0.9</m:t>
            </m:r>
            <m:r>
              <m:rPr/>
              <m:t>,</m:t>
            </m:r>
            <m:r>
              <m:rPr/>
              <m:t>t</m:t>
            </m:r>
          </m:sub>
        </m:sSub>
        <m:r>
          <m:rPr/>
          <m:t>=</m:t>
        </m:r>
        <m:r>
          <m:rPr/>
          <m:t>4680</m:t>
        </m:r>
      </m:oMath>
      <w:r>
        <w:t xml:space="preserve"> </w:t>
      </w:r>
      <w:r>
        <w:t xml:space="preserve">and the observed value is</w:t>
      </w:r>
      <w:r>
        <w:t xml:space="preserve"> </w:t>
      </w:r>
      <m:oMath>
        <m:sSub>
          <m:sSubPr>
            <m:ctrlPr/>
          </m:sSubPr>
          <m:e>
            <m:r>
              <m:rPr/>
              <m:t>y</m:t>
            </m:r>
          </m:e>
          <m:sub>
            <m:r>
              <m:rPr/>
              <m:t>t</m:t>
            </m:r>
          </m:sub>
        </m:sSub>
        <m:r>
          <m:rPr/>
          <m:t>=</m:t>
        </m:r>
        <m:r>
          <m:rPr/>
          <m:t>4389</m:t>
        </m:r>
      </m:oMath>
      <w:r>
        <w:t xml:space="preserve">. Then</w:t>
      </w:r>
      <w:r>
        <w:t xml:space="preserve"> </w:t>
      </w:r>
      <m:oMath>
        <m:sSub>
          <m:sSubPr>
            <m:ctrlPr/>
          </m:sSubPr>
          <m:e>
            <m:r>
              <m:rPr/>
              <m:t>Q</m:t>
            </m:r>
          </m:e>
          <m:sub>
            <m:r>
              <m:rPr/>
              <m:t>0.9</m:t>
            </m:r>
            <m:r>
              <m:rPr/>
              <m:t>,</m:t>
            </m:r>
            <m:r>
              <m:rPr/>
              <m:t>t</m:t>
            </m:r>
          </m:sub>
        </m:sSub>
        <m:r>
          <m:rPr/>
          <m:t>=</m:t>
        </m:r>
        <m:r>
          <m:rPr/>
          <m:t>2</m:t>
        </m:r>
        <m:r>
          <m:rPr/>
          <m:t>(</m:t>
        </m:r>
        <m:r>
          <m:rPr/>
          <m:t>1</m:t>
        </m:r>
        <m:r>
          <m:rPr/>
          <m:t>−</m:t>
        </m:r>
        <m:r>
          <m:rPr/>
          <m:t>0.9</m:t>
        </m:r>
        <m:r>
          <m:rPr/>
          <m:t>)</m:t>
        </m:r>
        <m:r>
          <m:rPr/>
          <m:t>(</m:t>
        </m:r>
        <m:r>
          <m:rPr/>
          <m:t>4680</m:t>
        </m:r>
        <m:r>
          <m:rPr/>
          <m:t>−</m:t>
        </m:r>
        <m:r>
          <m:rPr/>
          <m:t>4389</m:t>
        </m:r>
        <m:r>
          <m:rPr/>
          <m:t>)</m:t>
        </m:r>
        <m:r>
          <m:rPr/>
          <m:t>=</m:t>
        </m:r>
        <m:r>
          <m:rPr/>
          <m:t>58</m:t>
        </m:r>
      </m:oMath>
      <w:r>
        <w:t xml:space="preserve">.</w:t>
      </w:r>
      <w:r/>
    </w:p>
    <w:p>
      <w:pPr>
        <w:pStyle w:val="401"/>
      </w:pPr>
      <w:r>
        <w:t xml:space="preserve">The quantile score can be interpreted like an absolute error. In fact, when</w:t>
      </w:r>
      <w:r>
        <w:t xml:space="preserve"> </w:t>
      </w:r>
      <m:oMath>
        <m:r>
          <m:rPr/>
          <m:t>p</m:t>
        </m:r>
        <m:r>
          <m:rPr/>
          <m:t>=</m:t>
        </m:r>
        <m:r>
          <m:rPr/>
          <m:t>0.5</m:t>
        </m:r>
      </m:oMath>
      <w:r>
        <w:t xml:space="preserve">, the quantile score</w:t>
      </w:r>
      <w:r>
        <w:t xml:space="preserve"> </w:t>
      </w:r>
      <m:oMath>
        <m:sSub>
          <m:sSubPr>
            <m:ctrlPr/>
          </m:sSubPr>
          <m:e>
            <m:r>
              <m:rPr/>
              <m:t>Q</m:t>
            </m:r>
          </m:e>
          <m:sub>
            <m:r>
              <m:rPr/>
              <m:t>0.5</m:t>
            </m:r>
            <m:r>
              <m:rPr/>
              <m:t>,</m:t>
            </m:r>
            <m:r>
              <m:rPr/>
              <m:t>t</m:t>
            </m:r>
          </m:sub>
        </m:sSub>
      </m:oMath>
      <w:r>
        <w:t xml:space="preserve"> </w:t>
      </w:r>
      <w:r>
        <w:t xml:space="preserve">is the same as the absolute error. For other values of</w:t>
      </w:r>
      <w:r>
        <w:t xml:space="preserve"> </w:t>
      </w:r>
      <m:oMath>
        <m:r>
          <m:rPr/>
          <m:t>p</m:t>
        </m:r>
      </m:oMath>
      <w:r>
        <w:t xml:space="preserve">, the</w:t>
      </w:r>
      <w:r>
        <w:t xml:space="preserve"> </w:t>
      </w:r>
      <w:r>
        <w:t xml:space="preserve">“</w:t>
      </w:r>
      <w:r>
        <w:t xml:space="preserve">error</w:t>
      </w:r>
      <w:r>
        <w:t xml:space="preserve">”</w:t>
      </w:r>
      <w:r>
        <w:t xml:space="preserve"> </w:t>
      </w:r>
      <m:oMath>
        <m:r>
          <m:rPr/>
          <m:t>(</m:t>
        </m:r>
        <m:sSub>
          <m:sSubPr>
            <m:ctrlPr/>
          </m:sSubPr>
          <m:e>
            <m:r>
              <m:rPr/>
              <m:t>y</m:t>
            </m:r>
          </m:e>
          <m:sub>
            <m:r>
              <m:rPr/>
              <m:t>t</m:t>
            </m:r>
          </m:sub>
        </m:sSub>
        <m:r>
          <m:rPr/>
          <m:t>−</m:t>
        </m:r>
        <m:sSub>
          <m:sSubPr>
            <m:ctrlPr/>
          </m:sSubPr>
          <m:e>
            <m:r>
              <m:rPr/>
              <m:t>f</m:t>
            </m:r>
          </m:e>
          <m:sub>
            <m:r>
              <m:rPr/>
              <m:t>p</m:t>
            </m:r>
            <m:r>
              <m:rPr/>
              <m:t>,</m:t>
            </m:r>
            <m:r>
              <m:rPr/>
              <m:t>t</m:t>
            </m:r>
          </m:sub>
        </m:sSub>
        <m:r>
          <m:rPr/>
          <m:t>)</m:t>
        </m:r>
      </m:oMath>
      <w:r>
        <w:t xml:space="preserve"> </w:t>
      </w:r>
      <w:r>
        <w:t xml:space="preserve">is weighted to take account of how likely it is be positive or negative. If</w:t>
      </w:r>
      <w:r>
        <w:t xml:space="preserve"> </w:t>
      </w:r>
      <m:oMath>
        <m:r>
          <m:rPr/>
          <m:t>p</m:t>
        </m:r>
        <m:r>
          <m:rPr/>
          <m:t>&gt;</m:t>
        </m:r>
        <m:r>
          <m:rPr/>
          <m:t>0.5</m:t>
        </m:r>
      </m:oMath>
      <w:r>
        <w:t xml:space="preserve">,</w:t>
      </w:r>
      <w:r>
        <w:t xml:space="preserve"> </w:t>
      </w:r>
      <m:oMath>
        <m:sSub>
          <m:sSubPr>
            <m:ctrlPr/>
          </m:sSubPr>
          <m:e>
            <m:r>
              <m:rPr/>
              <m:t>Q</m:t>
            </m:r>
          </m:e>
          <m:sub>
            <m:r>
              <m:rPr/>
              <m:t>p</m:t>
            </m:r>
            <m:r>
              <m:rPr/>
              <m:t>,</m:t>
            </m:r>
            <m:r>
              <m:rPr/>
              <m:t>t</m:t>
            </m:r>
          </m:sub>
        </m:sSub>
      </m:oMath>
      <w:r>
        <w:t xml:space="preserve"> </w:t>
      </w:r>
      <w:r>
        <w:t xml:space="preserve">gives a heavier penalty when the observation is greater than the estimated quantile than when the observation is less than the estimated quantile. The reverse is true for</w:t>
      </w:r>
      <w:r>
        <w:t xml:space="preserve"> </w:t>
      </w:r>
      <m:oMath>
        <m:r>
          <m:rPr/>
          <m:t>p</m:t>
        </m:r>
        <m:r>
          <m:rPr/>
          <m:t>&lt;</m:t>
        </m:r>
        <m:r>
          <m:rPr/>
          <m:t>0.5</m:t>
        </m:r>
      </m:oMath>
      <w:r>
        <w:t xml:space="preserve">.</w:t>
      </w:r>
      <w:r/>
    </w:p>
    <w:p>
      <w:pPr>
        <w:pStyle w:val="401"/>
      </w:pPr>
      <w:r>
        <w:t xml:space="preserve">Often we are interested in the whole forecasting distribution (not just a few quantiles), and then we can average the quantile scores over all values of</w:t>
      </w:r>
      <w:r>
        <w:t xml:space="preserve"> </w:t>
      </w:r>
      <m:oMath>
        <m:r>
          <m:rPr/>
          <m:t>p</m:t>
        </m:r>
      </m:oMath>
      <w:r>
        <w:t xml:space="preserve">. This gives what is known as the</w:t>
      </w:r>
      <w:r>
        <w:t xml:space="preserve"> </w:t>
      </w:r>
      <w:r>
        <w:t xml:space="preserve">“</w:t>
      </w:r>
      <w:r>
        <w:t xml:space="preserve">Continuous Ranked Probability Score</w:t>
      </w:r>
      <w:r>
        <w:t xml:space="preserve">”</w:t>
      </w:r>
      <w:r>
        <w:t xml:space="preserve"> </w:t>
      </w:r>
      <w:r>
        <w:t xml:space="preserve">or CRPS</w:t>
      </w:r>
      <w:r>
        <w:t xml:space="preserve"> </w:t>
      </w:r>
      <w:r>
        <w:t xml:space="preserve">(Gneiting and Katzfuss 2014)</w:t>
      </w:r>
      <w:r>
        <w:t xml:space="preserve">.</w:t>
      </w:r>
      <w:r/>
    </w:p>
    <w:p>
      <w:pPr>
        <w:pStyle w:val="401"/>
      </w:pPr>
      <w:r>
        <w:t xml:space="preserve">In the Australian café example, we can compute the CRPS values over the 12 months of 2019 for each of the ARIMA and ETS models. To make it more interpretable, we can also compute the CRPS for a simple seasonal naive model, and then we can calculate the</w:t>
      </w:r>
      <w:r>
        <w:t xml:space="preserve"> </w:t>
      </w:r>
      <w:r>
        <w:t xml:space="preserve">“</w:t>
      </w:r>
      <w:r>
        <w:t xml:space="preserve">skill score</w:t>
      </w:r>
      <w:r>
        <w:t xml:space="preserve">”</w:t>
      </w:r>
      <w:r>
        <w:t xml:space="preserve"> </w:t>
      </w:r>
      <w:r>
        <w:t xml:space="preserve">equal to the percentage improvement for ARIMA and ETS over seasonal naive.</w:t>
      </w:r>
      <w:r/>
    </w:p>
    <w:tbl>
      <w:tblPr>
        <w:tblStyle w:val="422"/>
        <w:tblW w:w="0" w:type="pct"/>
        <w:tblLook w:val="0020" w:firstRow="1" w:lastRow="0" w:firstColumn="0" w:lastColumn="0" w:noHBand="0" w:noVBand="0"/>
      </w:tblPr>
      <w:tblGrid>
        <w:gridCol w:w="1134"/>
        <w:gridCol w:w="1134"/>
        <w:gridCol w:w="1134"/>
      </w:tblGrid>
      <w:tr>
        <w:trPr/>
        <w:tc>
          <w:tcPr>
            <w:tcBorders>
              <w:bottom w:val="single" w:color="000000" w:sz="4" w:space="0"/>
            </w:tcBorders>
            <w:vAlign w:val="bottom"/>
            <w:textDirection w:val="lrTb"/>
            <w:noWrap w:val="false"/>
          </w:tcPr>
          <w:p>
            <w:pPr>
              <w:pStyle w:val="403"/>
              <w:jc w:val="left"/>
            </w:pPr>
            <w:r>
              <w:t xml:space="preserve">Model</w:t>
            </w:r>
            <w:r/>
          </w:p>
        </w:tc>
        <w:tc>
          <w:tcPr>
            <w:tcBorders>
              <w:bottom w:val="single" w:color="000000" w:sz="4" w:space="0"/>
            </w:tcBorders>
            <w:vAlign w:val="bottom"/>
            <w:textDirection w:val="lrTb"/>
            <w:noWrap w:val="false"/>
          </w:tcPr>
          <w:p>
            <w:pPr>
              <w:pStyle w:val="403"/>
              <w:jc w:val="right"/>
            </w:pPr>
            <w:r>
              <w:t xml:space="preserve">CRPS</w:t>
            </w:r>
            <w:r/>
          </w:p>
        </w:tc>
        <w:tc>
          <w:tcPr>
            <w:tcBorders>
              <w:bottom w:val="single" w:color="000000" w:sz="4" w:space="0"/>
            </w:tcBorders>
            <w:vAlign w:val="bottom"/>
            <w:textDirection w:val="lrTb"/>
            <w:noWrap w:val="false"/>
          </w:tcPr>
          <w:p>
            <w:pPr>
              <w:pStyle w:val="403"/>
              <w:jc w:val="right"/>
            </w:pPr>
            <w:r>
              <w:t xml:space="preserve">Skill score</w:t>
            </w:r>
            <w:r/>
          </w:p>
        </w:tc>
      </w:tr>
      <w:tr>
        <w:trPr/>
        <w:tc>
          <w:tcPr>
            <w:textDirection w:val="lrTb"/>
            <w:noWrap w:val="false"/>
          </w:tcPr>
          <w:p>
            <w:pPr>
              <w:pStyle w:val="403"/>
              <w:jc w:val="left"/>
            </w:pPr>
            <w:r>
              <w:t xml:space="preserve">SNAIVE</w:t>
            </w:r>
            <w:r/>
          </w:p>
        </w:tc>
        <w:tc>
          <w:tcPr>
            <w:textDirection w:val="lrTb"/>
            <w:noWrap w:val="false"/>
          </w:tcPr>
          <w:p>
            <w:pPr>
              <w:pStyle w:val="403"/>
              <w:jc w:val="right"/>
            </w:pPr>
            <w:r>
              <w:t xml:space="preserve">68.6</w:t>
            </w:r>
            <w:r/>
          </w:p>
        </w:tc>
        <w:tc>
          <w:tcPr>
            <w:textDirection w:val="lrTb"/>
            <w:noWrap w:val="false"/>
          </w:tcPr>
          <w:p>
            <w:pPr>
              <w:pStyle w:val="403"/>
              <w:jc w:val="right"/>
            </w:pPr>
            <w:r>
              <w:t xml:space="preserve">0.0</w:t>
            </w:r>
            <w:r/>
          </w:p>
        </w:tc>
      </w:tr>
      <w:tr>
        <w:trPr/>
        <w:tc>
          <w:tcPr>
            <w:textDirection w:val="lrTb"/>
            <w:noWrap w:val="false"/>
          </w:tcPr>
          <w:p>
            <w:pPr>
              <w:pStyle w:val="403"/>
              <w:jc w:val="left"/>
            </w:pPr>
            <w:r>
              <w:t xml:space="preserve">ARIMA</w:t>
            </w:r>
            <w:r/>
          </w:p>
        </w:tc>
        <w:tc>
          <w:tcPr>
            <w:textDirection w:val="lrTb"/>
            <w:noWrap w:val="false"/>
          </w:tcPr>
          <w:p>
            <w:pPr>
              <w:pStyle w:val="403"/>
              <w:jc w:val="right"/>
            </w:pPr>
            <w:r>
              <w:t xml:space="preserve">32.9</w:t>
            </w:r>
            <w:r/>
          </w:p>
        </w:tc>
        <w:tc>
          <w:tcPr>
            <w:textDirection w:val="lrTb"/>
            <w:noWrap w:val="false"/>
          </w:tcPr>
          <w:p>
            <w:pPr>
              <w:pStyle w:val="403"/>
              <w:jc w:val="right"/>
            </w:pPr>
            <w:r>
              <w:t xml:space="preserve">52.0</w:t>
            </w:r>
            <w:r/>
          </w:p>
        </w:tc>
      </w:tr>
      <w:tr>
        <w:trPr/>
        <w:tc>
          <w:tcPr>
            <w:textDirection w:val="lrTb"/>
            <w:noWrap w:val="false"/>
          </w:tcPr>
          <w:p>
            <w:pPr>
              <w:pStyle w:val="403"/>
              <w:jc w:val="left"/>
            </w:pPr>
            <w:r>
              <w:t xml:space="preserve">ETS</w:t>
            </w:r>
            <w:r/>
          </w:p>
        </w:tc>
        <w:tc>
          <w:tcPr>
            <w:textDirection w:val="lrTb"/>
            <w:noWrap w:val="false"/>
          </w:tcPr>
          <w:p>
            <w:pPr>
              <w:pStyle w:val="403"/>
              <w:jc w:val="right"/>
            </w:pPr>
            <w:r>
              <w:t xml:space="preserve">31.5</w:t>
            </w:r>
            <w:r/>
          </w:p>
        </w:tc>
        <w:tc>
          <w:tcPr>
            <w:textDirection w:val="lrTb"/>
            <w:noWrap w:val="false"/>
          </w:tcPr>
          <w:p>
            <w:pPr>
              <w:pStyle w:val="403"/>
              <w:jc w:val="right"/>
            </w:pPr>
            <w:r>
              <w:t xml:space="preserve">54.0</w:t>
            </w:r>
            <w:r/>
          </w:p>
        </w:tc>
      </w:tr>
    </w:tbl>
    <w:p>
      <w:pPr>
        <w:pStyle w:val="401"/>
      </w:pPr>
      <w:r>
        <w:t xml:space="preserve">Here, ETS is providing the best quantile forecasts with a skill score of 54.0.</w:t>
      </w:r>
      <w:r/>
    </w:p>
    <w:p>
      <w:pPr>
        <w:pStyle w:val="410"/>
      </w:pPr>
      <w:r/>
      <w:bookmarkStart w:id="25" w:name="ensemble-forecasting"/>
      <w:r>
        <w:t xml:space="preserve">Ensemble forecasting</w:t>
      </w:r>
      <w:bookmarkEnd w:id="25"/>
      <w:r/>
      <w:r/>
    </w:p>
    <w:p>
      <w:pPr>
        <w:pStyle w:val="402"/>
      </w:pPr>
      <w:r>
        <w:t xml:space="preserve">Ensemble forecasting involves using multiple models and combining the future sample paths to produce the final forecast. If a weighted ensemble is needed, we can make the number of simulations from each model correspond to the required weight.</w:t>
      </w:r>
      <w:r/>
    </w:p>
    <w:p>
      <w:pPr>
        <w:pStyle w:val="401"/>
      </w:pPr>
      <w:r>
        <w:t xml:space="preserve">Ensemble forecasting has been used in weather forecasting for many years, but is not so widespread in other domains. The logic behind ensemble forecasting is that no model is perfect, and the data did not come from a model. As George Box has put it,</w:t>
      </w:r>
      <w:r>
        <w:t xml:space="preserve"> </w:t>
      </w:r>
      <w:r>
        <w:t xml:space="preserve">“</w:t>
      </w:r>
      <w:r>
        <w:t xml:space="preserve">all models are wrong, but some are useful</w:t>
      </w:r>
      <w:r>
        <w:t xml:space="preserve">”</w:t>
      </w:r>
      <w:r>
        <w:t xml:space="preserve"> </w:t>
      </w:r>
      <w:r>
        <w:t xml:space="preserve">(Box 1976)</w:t>
      </w:r>
      <w:r>
        <w:t xml:space="preserve">. Ensembles allow the good features of various models to be included, while reducing the impact of any specific model. It also allows the uncertainty associated with selecting a model to be incorporated into the quantile forecasts.</w:t>
      </w:r>
      <w:r/>
    </w:p>
    <w:p>
      <w:pPr>
        <w:pStyle w:val="401"/>
      </w:pPr>
      <w:r>
        <w:t xml:space="preserve">For the Australian café data, we can combine 10000 simulated sample paths from each of the ETS and ARIMA models, and compute the resulting quantile forecasts from the 20000 sample paths.</w:t>
      </w:r>
      <w:r/>
    </w:p>
    <w:tbl>
      <w:tblPr>
        <w:tblStyle w:val="422"/>
        <w:tblW w:w="0" w:type="pct"/>
        <w:tblLook w:val="0020" w:firstRow="1" w:lastRow="0" w:firstColumn="0" w:lastColumn="0" w:noHBand="0" w:noVBand="0"/>
      </w:tblPr>
      <w:tblGrid>
        <w:gridCol w:w="1134"/>
        <w:gridCol w:w="1134"/>
        <w:gridCol w:w="1134"/>
      </w:tblGrid>
      <w:tr>
        <w:trPr/>
        <w:tc>
          <w:tcPr>
            <w:tcBorders>
              <w:bottom w:val="single" w:color="000000" w:sz="4" w:space="0"/>
            </w:tcBorders>
            <w:vAlign w:val="bottom"/>
            <w:textDirection w:val="lrTb"/>
            <w:noWrap w:val="false"/>
          </w:tcPr>
          <w:p>
            <w:pPr>
              <w:pStyle w:val="403"/>
              <w:jc w:val="left"/>
            </w:pPr>
            <w:r>
              <w:t xml:space="preserve">Model</w:t>
            </w:r>
            <w:r/>
          </w:p>
        </w:tc>
        <w:tc>
          <w:tcPr>
            <w:tcBorders>
              <w:bottom w:val="single" w:color="000000" w:sz="4" w:space="0"/>
            </w:tcBorders>
            <w:vAlign w:val="bottom"/>
            <w:textDirection w:val="lrTb"/>
            <w:noWrap w:val="false"/>
          </w:tcPr>
          <w:p>
            <w:pPr>
              <w:pStyle w:val="403"/>
              <w:jc w:val="right"/>
            </w:pPr>
            <w:r>
              <w:t xml:space="preserve">CRPS</w:t>
            </w:r>
            <w:r/>
          </w:p>
        </w:tc>
        <w:tc>
          <w:tcPr>
            <w:tcBorders>
              <w:bottom w:val="single" w:color="000000" w:sz="4" w:space="0"/>
            </w:tcBorders>
            <w:vAlign w:val="bottom"/>
            <w:textDirection w:val="lrTb"/>
            <w:noWrap w:val="false"/>
          </w:tcPr>
          <w:p>
            <w:pPr>
              <w:pStyle w:val="403"/>
              <w:jc w:val="right"/>
            </w:pPr>
            <w:r>
              <w:t xml:space="preserve">Skill score</w:t>
            </w:r>
            <w:r/>
          </w:p>
        </w:tc>
      </w:tr>
      <w:tr>
        <w:trPr/>
        <w:tc>
          <w:tcPr>
            <w:textDirection w:val="lrTb"/>
            <w:noWrap w:val="false"/>
          </w:tcPr>
          <w:p>
            <w:pPr>
              <w:pStyle w:val="403"/>
              <w:jc w:val="left"/>
            </w:pPr>
            <w:r>
              <w:t xml:space="preserve">ENSEMBLE</w:t>
            </w:r>
            <w:r/>
          </w:p>
        </w:tc>
        <w:tc>
          <w:tcPr>
            <w:textDirection w:val="lrTb"/>
            <w:noWrap w:val="false"/>
          </w:tcPr>
          <w:p>
            <w:pPr>
              <w:pStyle w:val="403"/>
              <w:jc w:val="right"/>
            </w:pPr>
            <w:r>
              <w:t xml:space="preserve">31.4</w:t>
            </w:r>
            <w:r/>
          </w:p>
        </w:tc>
        <w:tc>
          <w:tcPr>
            <w:textDirection w:val="lrTb"/>
            <w:noWrap w:val="false"/>
          </w:tcPr>
          <w:p>
            <w:pPr>
              <w:pStyle w:val="403"/>
              <w:jc w:val="right"/>
            </w:pPr>
            <w:r>
              <w:t xml:space="preserve">54.3</w:t>
            </w:r>
            <w:r/>
          </w:p>
        </w:tc>
      </w:tr>
    </w:tbl>
    <w:p>
      <w:pPr>
        <w:pStyle w:val="401"/>
      </w:pPr>
      <w:r>
        <w:t xml:space="preserve">The ensemble forecasts are slightly better than either the ETS and ARIMA forecasts in this case. When the component models use very different information, the benefit of using ensemble forecasts is greater.</w:t>
      </w:r>
      <w:r/>
    </w:p>
    <w:p>
      <w:pPr>
        <w:pStyle w:val="410"/>
      </w:pPr>
      <w:r/>
      <w:bookmarkStart w:id="26" w:name="combination-forecasting"/>
      <w:r>
        <w:t xml:space="preserve">Combination forecasting</w:t>
      </w:r>
      <w:bookmarkEnd w:id="26"/>
      <w:r/>
      <w:r/>
    </w:p>
    <w:p>
      <w:pPr>
        <w:pStyle w:val="402"/>
      </w:pPr>
      <w:r>
        <w:t xml:space="preserve">Combination forecasting is a related idea that is more widely used</w:t>
      </w:r>
      <w:r>
        <w:t xml:space="preserve"> in the general forecasting community. This involves taking a weighted average of the forecasts produced from the component models. Often a simple average is used. For more than 50 years we have known that combination forecasting improves forecast accuracy</w:t>
      </w:r>
      <w:r>
        <w:t xml:space="preserve"> </w:t>
      </w:r>
      <w:r>
        <w:t xml:space="preserve">(Bates and Granger 1969; Clemen 1989)</w:t>
      </w:r>
      <w:r>
        <w:t xml:space="preserve">. One of the reasons for this is that the combination decreases the variance of the forecasts</w:t>
      </w:r>
      <w:r>
        <w:t xml:space="preserve"> </w:t>
      </w:r>
      <w:r>
        <w:t xml:space="preserve">(Hibon and Evgeniou 2005)</w:t>
      </w:r>
      <w:r>
        <w:t xml:space="preserve"> </w:t>
      </w:r>
      <w:r>
        <w:t xml:space="preserve">by reducing the uncertainty associated with selecting a particular model.</w:t>
      </w:r>
      <w:r/>
    </w:p>
    <w:p>
      <w:pPr>
        <w:pStyle w:val="401"/>
      </w:pPr>
      <w:r>
        <w:t xml:space="preserve">Combinat</w:t>
      </w:r>
      <w:r>
        <w:t xml:space="preserve">ions are almost always used to produce point forecasts, not probabilistic forecasts. A weighted average of several component forecasts gives a point forecast that is identical to taking the mean of the sample paths from the corresponding weighted ensemble.</w:t>
      </w:r>
      <w:r/>
    </w:p>
    <w:p>
      <w:pPr>
        <w:pStyle w:val="401"/>
      </w:pPr>
      <w:r>
        <w:t xml:space="preserve">However, the idea can be us</w:t>
      </w:r>
      <w:r>
        <w:t xml:space="preserve">ed more generally to obtain quantile forecasts as well. Quantiles can not simply be averaged, so we need to take account of the correlations between the forecast errors from the component models when producing quantile forecasts. This is implemented in the</w:t>
      </w:r>
      <w:r>
        <w:t xml:space="preserve"> </w:t>
      </w:r>
      <w:r>
        <w:rPr>
          <w:rStyle w:val="431"/>
        </w:rPr>
        <w:t xml:space="preserve">fable</w:t>
      </w:r>
      <w:r>
        <w:t xml:space="preserve"> </w:t>
      </w:r>
      <w:r>
        <w:t xml:space="preserve">package for R. For the Australian café data, this gives the following result.</w:t>
      </w:r>
      <w:r/>
    </w:p>
    <w:tbl>
      <w:tblPr>
        <w:tblStyle w:val="422"/>
        <w:tblW w:w="0" w:type="pct"/>
        <w:tblLook w:val="0020" w:firstRow="1" w:lastRow="0" w:firstColumn="0" w:lastColumn="0" w:noHBand="0" w:noVBand="0"/>
      </w:tblPr>
      <w:tblGrid>
        <w:gridCol w:w="1134"/>
        <w:gridCol w:w="1134"/>
        <w:gridCol w:w="1134"/>
      </w:tblGrid>
      <w:tr>
        <w:trPr/>
        <w:tc>
          <w:tcPr>
            <w:tcBorders>
              <w:bottom w:val="single" w:color="000000" w:sz="4" w:space="0"/>
            </w:tcBorders>
            <w:vAlign w:val="bottom"/>
            <w:textDirection w:val="lrTb"/>
            <w:noWrap w:val="false"/>
          </w:tcPr>
          <w:p>
            <w:pPr>
              <w:pStyle w:val="403"/>
              <w:jc w:val="left"/>
            </w:pPr>
            <w:r>
              <w:t xml:space="preserve">Model</w:t>
            </w:r>
            <w:r/>
          </w:p>
        </w:tc>
        <w:tc>
          <w:tcPr>
            <w:tcBorders>
              <w:bottom w:val="single" w:color="000000" w:sz="4" w:space="0"/>
            </w:tcBorders>
            <w:vAlign w:val="bottom"/>
            <w:textDirection w:val="lrTb"/>
            <w:noWrap w:val="false"/>
          </w:tcPr>
          <w:p>
            <w:pPr>
              <w:pStyle w:val="403"/>
              <w:jc w:val="right"/>
            </w:pPr>
            <w:r>
              <w:t xml:space="preserve">CRPS</w:t>
            </w:r>
            <w:r/>
          </w:p>
        </w:tc>
        <w:tc>
          <w:tcPr>
            <w:tcBorders>
              <w:bottom w:val="single" w:color="000000" w:sz="4" w:space="0"/>
            </w:tcBorders>
            <w:vAlign w:val="bottom"/>
            <w:textDirection w:val="lrTb"/>
            <w:noWrap w:val="false"/>
          </w:tcPr>
          <w:p>
            <w:pPr>
              <w:pStyle w:val="403"/>
              <w:jc w:val="right"/>
            </w:pPr>
            <w:r>
              <w:t xml:space="preserve">Skill score</w:t>
            </w:r>
            <w:r/>
          </w:p>
        </w:tc>
      </w:tr>
      <w:tr>
        <w:trPr/>
        <w:tc>
          <w:tcPr>
            <w:textDirection w:val="lrTb"/>
            <w:noWrap w:val="false"/>
          </w:tcPr>
          <w:p>
            <w:pPr>
              <w:pStyle w:val="403"/>
              <w:jc w:val="left"/>
            </w:pPr>
            <w:r>
              <w:t xml:space="preserve">COMBINATION</w:t>
            </w:r>
            <w:r/>
          </w:p>
        </w:tc>
        <w:tc>
          <w:tcPr>
            <w:textDirection w:val="lrTb"/>
            <w:noWrap w:val="false"/>
          </w:tcPr>
          <w:p>
            <w:pPr>
              <w:pStyle w:val="403"/>
              <w:jc w:val="right"/>
            </w:pPr>
            <w:r>
              <w:t xml:space="preserve">30.9</w:t>
            </w:r>
            <w:r/>
          </w:p>
        </w:tc>
        <w:tc>
          <w:tcPr>
            <w:textDirection w:val="lrTb"/>
            <w:noWrap w:val="false"/>
          </w:tcPr>
          <w:p>
            <w:pPr>
              <w:pStyle w:val="403"/>
              <w:jc w:val="right"/>
            </w:pPr>
            <w:r>
              <w:t xml:space="preserve">54.9</w:t>
            </w:r>
            <w:r/>
          </w:p>
        </w:tc>
      </w:tr>
    </w:tbl>
    <w:p>
      <w:pPr>
        <w:pStyle w:val="401"/>
      </w:pPr>
      <w:r>
        <w:t xml:space="preserve">Further improvement has been obtained by taking account of the similarity of the ETS and ARIMA forecasts, rather than simply combining the sample paths as with ensemble forecasting.</w:t>
      </w:r>
      <w:r/>
    </w:p>
    <w:p>
      <w:pPr>
        <w:pStyle w:val="410"/>
      </w:pPr>
      <w:r/>
      <w:bookmarkStart w:id="27" w:name="conclusions"/>
      <w:r>
        <w:t xml:space="preserve">Conclusions</w:t>
      </w:r>
      <w:bookmarkEnd w:id="27"/>
      <w:r/>
      <w:r/>
    </w:p>
    <w:p>
      <w:pPr>
        <w:pStyle w:val="402"/>
      </w:pPr>
      <w:r>
        <w:t xml:space="preserve">I have described several tools for forecasting that are likely to be increasingly used in business forecasting in the future.</w:t>
      </w:r>
      <w:r/>
    </w:p>
    <w:p>
      <w:pPr>
        <w:pStyle w:val="403"/>
        <w:numPr>
          <w:ilvl w:val="0"/>
          <w:numId w:val="2"/>
        </w:numPr>
      </w:pPr>
      <w:r>
        <w:t xml:space="preserve">Simulated future sample paths allow us to study how the future might evolve, and allow us to answer more complicated forecasting questions than is possible with analytical methods.</w:t>
      </w:r>
      <w:r/>
    </w:p>
    <w:p>
      <w:pPr>
        <w:pStyle w:val="403"/>
        <w:numPr>
          <w:ilvl w:val="0"/>
          <w:numId w:val="2"/>
        </w:numPr>
      </w:pPr>
      <w:r>
        <w:t xml:space="preserve">Quantile forecasts can be produced from these simulated future sample paths and provide a way of quantifying the forecast distributions.</w:t>
      </w:r>
      <w:r/>
    </w:p>
    <w:p>
      <w:pPr>
        <w:pStyle w:val="403"/>
        <w:numPr>
          <w:ilvl w:val="0"/>
          <w:numId w:val="2"/>
        </w:numPr>
      </w:pPr>
      <w:r>
        <w:t xml:space="preserve">Quantile scores allow us to evaluate quantile forecasts. Averaging quantile scores gives the CRPS which allows us to evaluate the whole forecast distribution.</w:t>
      </w:r>
      <w:r/>
    </w:p>
    <w:p>
      <w:pPr>
        <w:pStyle w:val="403"/>
        <w:numPr>
          <w:ilvl w:val="0"/>
          <w:numId w:val="2"/>
        </w:numPr>
      </w:pPr>
      <w:r>
        <w:t xml:space="preserve">Forecast ensembles combine information from multiple models and often provide a better estimate of future uncertainty than any individual model.</w:t>
      </w:r>
      <w:r/>
    </w:p>
    <w:p>
      <w:pPr>
        <w:pStyle w:val="403"/>
        <w:numPr>
          <w:ilvl w:val="0"/>
          <w:numId w:val="2"/>
        </w:numPr>
      </w:pPr>
      <w:r>
        <w:t xml:space="preserve">Forecast combinations are similar to ensembles but also take account of the relationships between the component models. The best forecasts often come from combining models in this way.</w:t>
      </w:r>
      <w:r/>
    </w:p>
    <w:p>
      <w:pPr>
        <w:pStyle w:val="410"/>
      </w:pPr>
      <w:r/>
      <w:bookmarkStart w:id="28" w:name="supplements"/>
      <w:r>
        <w:t xml:space="preserve">Supplements</w:t>
      </w:r>
      <w:bookmarkEnd w:id="28"/>
      <w:r/>
      <w:r/>
    </w:p>
    <w:p>
      <w:pPr>
        <w:pStyle w:val="402"/>
      </w:pPr>
      <w:r>
        <w:t xml:space="preserve">All the forecasts and calculations produced in this chapter were obtained with the</w:t>
      </w:r>
      <w:r>
        <w:t xml:space="preserve"> </w:t>
      </w:r>
      <w:r>
        <w:rPr>
          <w:rStyle w:val="431"/>
        </w:rPr>
        <w:t xml:space="preserve">fable</w:t>
      </w:r>
      <w:r>
        <w:t xml:space="preserve"> </w:t>
      </w:r>
      <w:r>
        <w:t xml:space="preserve">package for R. The code used is available at</w:t>
      </w:r>
      <w:r>
        <w:t xml:space="preserve"> </w:t>
      </w:r>
      <w:hyperlink r:id="rId10" w:tooltip="https://github.com/robjhyndman/quantile_ensembles" w:history="1">
        <w:r>
          <w:rPr>
            <w:rStyle w:val="433"/>
          </w:rPr>
          <w:t xml:space="preserve">https://github.com/robjhyndman/quantile_ensembles</w:t>
        </w:r>
      </w:hyperlink>
      <w:r>
        <w:t xml:space="preserve">.</w:t>
      </w:r>
      <w:r/>
    </w:p>
    <w:p>
      <w:pPr>
        <w:pStyle w:val="410"/>
      </w:pPr>
      <w:r>
        <w:t xml:space="preserve">References</w:t>
      </w:r>
      <w:bookmarkStart w:id="37" w:name="refs"/>
      <w:r/>
      <w:bookmarkStart w:id="30" w:name="ref-Bates1969-dp"/>
      <w:r/>
      <w:r/>
    </w:p>
    <w:p>
      <w:pPr>
        <w:pStyle w:val="409"/>
      </w:pPr>
      <w:r>
        <w:br/>
        <w:t xml:space="preserve">Bates, J M, and C W J Granger. 1969. “The Combination of Forecasts.”</w:t>
      </w:r>
      <w:r>
        <w:t xml:space="preserve"> </w:t>
      </w:r>
      <w:r>
        <w:rPr>
          <w:i/>
        </w:rPr>
        <w:t xml:space="preserve">Journal of the Operational Research Society</w:t>
      </w:r>
      <w:r>
        <w:t xml:space="preserve"> </w:t>
      </w:r>
      <w:r>
        <w:t xml:space="preserve">20 (4): 451–68.</w:t>
      </w:r>
      <w:bookmarkEnd w:id="30"/>
      <w:r/>
      <w:r/>
    </w:p>
    <w:p>
      <w:pPr>
        <w:pStyle w:val="409"/>
      </w:pPr>
      <w:r/>
      <w:bookmarkStart w:id="31" w:name="ref-box1976science"/>
      <w:r>
        <w:t xml:space="preserve">Box, George E P. 1976. “Science and Statistics.”</w:t>
      </w:r>
      <w:r>
        <w:t xml:space="preserve"> </w:t>
      </w:r>
      <w:r>
        <w:rPr>
          <w:i/>
        </w:rPr>
        <w:t xml:space="preserve">Journal of the American Statistical Association</w:t>
      </w:r>
      <w:r>
        <w:t xml:space="preserve"> </w:t>
      </w:r>
      <w:r>
        <w:t xml:space="preserve">71 (356): 791–99.</w:t>
      </w:r>
      <w:bookmarkEnd w:id="31"/>
      <w:r/>
    </w:p>
    <w:p>
      <w:pPr>
        <w:pStyle w:val="409"/>
      </w:pPr>
      <w:r/>
      <w:bookmarkStart w:id="32" w:name="ref-Clemen1989-fz"/>
      <w:r>
        <w:t xml:space="preserve">Clemen, R. 1989. “Combining Forecasts: A Review and Annotated Bibliography with Discussion.”</w:t>
      </w:r>
      <w:r>
        <w:t xml:space="preserve"> </w:t>
      </w:r>
      <w:r>
        <w:rPr>
          <w:i/>
        </w:rPr>
        <w:t xml:space="preserve">International Journal of Forecasting</w:t>
      </w:r>
      <w:r>
        <w:t xml:space="preserve"> </w:t>
      </w:r>
      <w:r>
        <w:t xml:space="preserve">5: 559–608.</w:t>
      </w:r>
      <w:bookmarkEnd w:id="32"/>
      <w:r/>
    </w:p>
    <w:p>
      <w:pPr>
        <w:pStyle w:val="409"/>
      </w:pPr>
      <w:r/>
      <w:bookmarkStart w:id="33" w:name="ref-Gneiting2014-je"/>
      <w:r>
        <w:t xml:space="preserve">Gneiting, Tilmann, and Matthias Katzfuss. 2014. “Probabilistic Forecasting.”</w:t>
      </w:r>
      <w:r>
        <w:t xml:space="preserve"> </w:t>
      </w:r>
      <w:r>
        <w:rPr>
          <w:i/>
        </w:rPr>
        <w:t xml:space="preserve">Annual Review of Statistics and Its Application</w:t>
      </w:r>
      <w:r>
        <w:t xml:space="preserve"> </w:t>
      </w:r>
      <w:r>
        <w:t xml:space="preserve">1 (1): 125–51.</w:t>
      </w:r>
      <w:bookmarkEnd w:id="33"/>
      <w:r/>
    </w:p>
    <w:p>
      <w:pPr>
        <w:pStyle w:val="409"/>
      </w:pPr>
      <w:r/>
      <w:bookmarkStart w:id="34" w:name="ref-Hibon2005-cv"/>
      <w:r>
        <w:t xml:space="preserve">Hibon, Michèle, and Theodoros Evgeniou. 2005. “To Combine or Not to Combine: Selecting Among Forecasts and Their Combinations.”</w:t>
      </w:r>
      <w:r>
        <w:t xml:space="preserve"> </w:t>
      </w:r>
      <w:r>
        <w:rPr>
          <w:i/>
        </w:rPr>
        <w:t xml:space="preserve">International Journal of Forecasting</w:t>
      </w:r>
      <w:r>
        <w:t xml:space="preserve"> </w:t>
      </w:r>
      <w:r>
        <w:t xml:space="preserve">21 (1): 15–24.</w:t>
      </w:r>
      <w:bookmarkEnd w:id="34"/>
      <w:r/>
    </w:p>
    <w:p>
      <w:pPr>
        <w:pStyle w:val="409"/>
      </w:pPr>
      <w:r/>
      <w:bookmarkStart w:id="36" w:name="ref-fpp3"/>
      <w:r>
        <w:t xml:space="preserve">Hyndman, Rob J, and George Athanasopoulos. 2020.</w:t>
      </w:r>
      <w:r>
        <w:t xml:space="preserve"> </w:t>
      </w:r>
      <w:r>
        <w:rPr>
          <w:i/>
        </w:rPr>
        <w:t xml:space="preserve">Forecasting: Principles and Practice</w:t>
      </w:r>
      <w:r>
        <w:t xml:space="preserve">. 3rd edition. Melbourne, Australia: OTexts.</w:t>
      </w:r>
      <w:r>
        <w:t xml:space="preserve"> </w:t>
      </w:r>
      <w:hyperlink r:id="rId11" w:tooltip="OTexts.org/fpp3" w:history="1">
        <w:r>
          <w:rPr>
            <w:rStyle w:val="433"/>
          </w:rPr>
          <w:t xml:space="preserve">OTexts.org/fpp3</w:t>
        </w:r>
      </w:hyperlink>
      <w:r>
        <w:t xml:space="preserve">.</w:t>
      </w:r>
      <w:bookmarkEnd w:id="36"/>
      <w:bookmarkEnd w:id="37"/>
      <w:r/>
    </w:p>
    <w:sectPr>
      <w:footnotePr/>
      <w:type w:val="nextPage"/>
      <w:pgSz w:w="11906" w:h="16838" w:orient="portrait"/>
      <w:pgMar w:top="1134" w:right="850" w:bottom="1134" w:left="1701" w:header="709" w:footer="709" w:gutter="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3030204"/>
  </w:font>
  <w:font w:name="Calibri">
    <w:panose1 w:val="020F0502020204030204"/>
  </w:font>
  <w:font w:name="Arial">
    <w:panose1 w:val="020B0604020202020204"/>
  </w:font>
  <w:font w:name="Cambria">
    <w:panose1 w:val="0204050305040603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480" w:hanging="480"/>
        <w:tabs>
          <w:tab w:val="num" w:pos="0" w:leader="none"/>
        </w:tabs>
      </w:pPr>
    </w:lvl>
    <w:lvl w:ilvl="1">
      <w:start w:val="1"/>
      <w:numFmt w:val="bullet"/>
      <w:isLgl w:val="false"/>
      <w:suff w:val="tab"/>
      <w:lvlText w:val=" "/>
      <w:lvlJc w:val="left"/>
      <w:pPr>
        <w:ind w:left="1200" w:hanging="480"/>
        <w:tabs>
          <w:tab w:val="num" w:pos="720" w:leader="none"/>
        </w:tabs>
      </w:pPr>
    </w:lvl>
    <w:lvl w:ilvl="2">
      <w:start w:val="1"/>
      <w:numFmt w:val="bullet"/>
      <w:isLgl w:val="false"/>
      <w:suff w:val="tab"/>
      <w:lvlText w:val=" "/>
      <w:lvlJc w:val="left"/>
      <w:pPr>
        <w:ind w:left="1920" w:hanging="480"/>
        <w:tabs>
          <w:tab w:val="num" w:pos="1440" w:leader="none"/>
        </w:tabs>
      </w:pPr>
    </w:lvl>
    <w:lvl w:ilvl="3">
      <w:start w:val="1"/>
      <w:numFmt w:val="bullet"/>
      <w:isLgl w:val="false"/>
      <w:suff w:val="tab"/>
      <w:lvlText w:val=" "/>
      <w:lvlJc w:val="left"/>
      <w:pPr>
        <w:ind w:left="2640" w:hanging="480"/>
        <w:tabs>
          <w:tab w:val="num" w:pos="2160" w:leader="none"/>
        </w:tabs>
      </w:pPr>
    </w:lvl>
    <w:lvl w:ilvl="4">
      <w:start w:val="1"/>
      <w:numFmt w:val="bullet"/>
      <w:isLgl w:val="false"/>
      <w:suff w:val="tab"/>
      <w:lvlText w:val=" "/>
      <w:lvlJc w:val="left"/>
      <w:pPr>
        <w:ind w:left="3360" w:hanging="480"/>
        <w:tabs>
          <w:tab w:val="num" w:pos="2880" w:leader="none"/>
        </w:tabs>
      </w:pPr>
    </w:lvl>
    <w:lvl w:ilvl="5">
      <w:start w:val="1"/>
      <w:numFmt w:val="bullet"/>
      <w:isLgl w:val="false"/>
      <w:suff w:val="tab"/>
      <w:lvlText w:val=" "/>
      <w:lvlJc w:val="left"/>
      <w:pPr>
        <w:ind w:left="4080" w:hanging="480"/>
        <w:tabs>
          <w:tab w:val="num" w:pos="3600" w:leader="none"/>
        </w:tabs>
      </w:pPr>
    </w:lvl>
    <w:lvl w:ilvl="6">
      <w:start w:val="1"/>
      <w:numFmt w:val="bullet"/>
      <w:isLgl w:val="false"/>
      <w:suff w:val="tab"/>
      <w:lvlText w:val=" "/>
      <w:lvlJc w:val="left"/>
      <w:pPr>
        <w:ind w:left="4800" w:hanging="480"/>
        <w:tabs>
          <w:tab w:val="num" w:pos="4320" w:leader="none"/>
        </w:tabs>
      </w:pPr>
    </w:lvl>
    <w:lvl w:ilvl="7">
      <w:start w:val="1"/>
      <w:numFmt w:val="bullet"/>
      <w:isLgl w:val="false"/>
      <w:suff w:val="tab"/>
      <w:lvlText w:val=" "/>
      <w:lvlJc w:val="left"/>
      <w:pPr>
        <w:ind w:left="5520" w:hanging="480"/>
        <w:tabs>
          <w:tab w:val="num" w:pos="5040" w:leader="none"/>
        </w:tabs>
      </w:pPr>
    </w:lvl>
    <w:lvl w:ilvl="8">
      <w:start w:val="1"/>
      <w:numFmt w:val="bullet"/>
      <w:isLgl w:val="false"/>
      <w:suff w:val="tab"/>
      <w:lvlText w:val=" "/>
      <w:lvlJc w:val="left"/>
      <w:pPr>
        <w:ind w:left="6240" w:hanging="480"/>
        <w:tabs>
          <w:tab w:val="num" w:pos="5760" w:leader="none"/>
        </w:tabs>
      </w:pPr>
    </w:lvl>
  </w:abstractNum>
  <w:abstractNum w:abstractNumId="1">
    <w:multiLevelType w:val="hybridMultilevel"/>
    <w:lvl w:ilvl="0">
      <w:start w:val="1"/>
      <w:numFmt w:val="bullet"/>
      <w:isLgl w:val="false"/>
      <w:suff w:val="tab"/>
      <w:lvlText w:val="•"/>
      <w:lvlJc w:val="left"/>
      <w:pPr>
        <w:ind w:left="480" w:hanging="480"/>
        <w:tabs>
          <w:tab w:val="num" w:pos="0" w:leader="none"/>
        </w:tabs>
      </w:pPr>
    </w:lvl>
    <w:lvl w:ilvl="1">
      <w:start w:val="1"/>
      <w:numFmt w:val="bullet"/>
      <w:isLgl w:val="false"/>
      <w:suff w:val="tab"/>
      <w:lvlText w:val="–"/>
      <w:lvlJc w:val="left"/>
      <w:pPr>
        <w:ind w:left="1200" w:hanging="480"/>
        <w:tabs>
          <w:tab w:val="num" w:pos="720" w:leader="none"/>
        </w:tabs>
      </w:pPr>
    </w:lvl>
    <w:lvl w:ilvl="2">
      <w:start w:val="1"/>
      <w:numFmt w:val="bullet"/>
      <w:isLgl w:val="false"/>
      <w:suff w:val="tab"/>
      <w:lvlText w:val="•"/>
      <w:lvlJc w:val="left"/>
      <w:pPr>
        <w:ind w:left="1920" w:hanging="480"/>
        <w:tabs>
          <w:tab w:val="num" w:pos="1440" w:leader="none"/>
        </w:tabs>
      </w:pPr>
    </w:lvl>
    <w:lvl w:ilvl="3">
      <w:start w:val="1"/>
      <w:numFmt w:val="bullet"/>
      <w:isLgl w:val="false"/>
      <w:suff w:val="tab"/>
      <w:lvlText w:val="–"/>
      <w:lvlJc w:val="left"/>
      <w:pPr>
        <w:ind w:left="2640" w:hanging="480"/>
        <w:tabs>
          <w:tab w:val="num" w:pos="2160" w:leader="none"/>
        </w:tabs>
      </w:pPr>
    </w:lvl>
    <w:lvl w:ilvl="4">
      <w:start w:val="1"/>
      <w:numFmt w:val="bullet"/>
      <w:isLgl w:val="false"/>
      <w:suff w:val="tab"/>
      <w:lvlText w:val="•"/>
      <w:lvlJc w:val="left"/>
      <w:pPr>
        <w:ind w:left="3360" w:hanging="480"/>
        <w:tabs>
          <w:tab w:val="num" w:pos="2880" w:leader="none"/>
        </w:tabs>
      </w:pPr>
    </w:lvl>
    <w:lvl w:ilvl="5">
      <w:start w:val="1"/>
      <w:numFmt w:val="bullet"/>
      <w:isLgl w:val="false"/>
      <w:suff w:val="tab"/>
      <w:lvlText w:val="–"/>
      <w:lvlJc w:val="left"/>
      <w:pPr>
        <w:ind w:left="4080" w:hanging="480"/>
        <w:tabs>
          <w:tab w:val="num" w:pos="3600" w:leader="none"/>
        </w:tabs>
      </w:pPr>
    </w:lvl>
    <w:lvl w:ilvl="6">
      <w:start w:val="1"/>
      <w:numFmt w:val="bullet"/>
      <w:isLgl w:val="false"/>
      <w:suff w:val="tab"/>
      <w:lvlText w:val="•"/>
      <w:lvlJc w:val="left"/>
      <w:pPr>
        <w:ind w:left="4800" w:hanging="480"/>
        <w:tabs>
          <w:tab w:val="num" w:pos="4320" w:leader="none"/>
        </w:tabs>
      </w:pPr>
    </w:lvl>
    <w:lvl w:ilvl="7">
      <w:start w:val="1"/>
      <w:numFmt w:val="bullet"/>
      <w:isLgl w:val="false"/>
      <w:suff w:val="tab"/>
      <w:lvlText w:val="–"/>
      <w:lvlJc w:val="left"/>
      <w:pPr>
        <w:ind w:left="5520" w:hanging="480"/>
        <w:tabs>
          <w:tab w:val="num" w:pos="5040" w:leader="none"/>
        </w:tabs>
      </w:pPr>
    </w:lvl>
    <w:lvl w:ilvl="8">
      <w:start w:val="1"/>
      <w:numFmt w:val="bullet"/>
      <w:isLgl w:val="false"/>
      <w:suff w:val="tab"/>
      <w:lvlText w:val="•"/>
      <w:lvlJc w:val="left"/>
      <w:pPr>
        <w:ind w:left="6240" w:hanging="480"/>
        <w:tabs>
          <w:tab w:val="num" w:pos="576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intLim m:val="subSup"/>
    <m:lMargin m:val="0"/>
    <m:mathFont m:val="Lucida Grande"/>
    <m:naryLim m:val="subSup"/>
    <m:rMargin m:val="0"/>
    <m:smallFrac m:val="off"/>
    <m:wrapRight m:val="on"/>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hAnsi="Cambria" w:cs="Cambria" w:eastAsia="Cambria"/>
        <w:color w:val="auto"/>
        <w:spacing w:val="0"/>
        <w:position w:val="0"/>
        <w:sz w:val="24"/>
        <w:szCs w:val="24"/>
        <w:lang w:val="en-US" w:bidi="ar-SA" w:eastAsia="en-US"/>
      </w:rPr>
    </w:rPrDefault>
    <w:pPrDefault>
      <w:pPr>
        <w:ind w:left="0" w:right="0" w:firstLine="0"/>
        <w:jc w:val="left"/>
        <w:spacing w:lineRule="auto" w:line="240"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21"/>
    <w:link w:val="410"/>
    <w:uiPriority w:val="9"/>
    <w:rPr>
      <w:rFonts w:ascii="Arial" w:hAnsi="Arial" w:cs="Arial" w:eastAsia="Arial"/>
      <w:sz w:val="40"/>
      <w:szCs w:val="40"/>
    </w:rPr>
  </w:style>
  <w:style w:type="character" w:styleId="14">
    <w:name w:val="Heading 2 Char"/>
    <w:basedOn w:val="421"/>
    <w:link w:val="411"/>
    <w:uiPriority w:val="9"/>
    <w:rPr>
      <w:rFonts w:ascii="Arial" w:hAnsi="Arial" w:cs="Arial" w:eastAsia="Arial"/>
      <w:sz w:val="34"/>
    </w:rPr>
  </w:style>
  <w:style w:type="character" w:styleId="16">
    <w:name w:val="Heading 3 Char"/>
    <w:basedOn w:val="421"/>
    <w:link w:val="412"/>
    <w:uiPriority w:val="9"/>
    <w:rPr>
      <w:rFonts w:ascii="Arial" w:hAnsi="Arial" w:cs="Arial" w:eastAsia="Arial"/>
      <w:sz w:val="30"/>
      <w:szCs w:val="30"/>
    </w:rPr>
  </w:style>
  <w:style w:type="character" w:styleId="18">
    <w:name w:val="Heading 4 Char"/>
    <w:basedOn w:val="421"/>
    <w:link w:val="413"/>
    <w:uiPriority w:val="9"/>
    <w:rPr>
      <w:rFonts w:ascii="Arial" w:hAnsi="Arial" w:cs="Arial" w:eastAsia="Arial"/>
      <w:b/>
      <w:bCs/>
      <w:sz w:val="26"/>
      <w:szCs w:val="26"/>
    </w:rPr>
  </w:style>
  <w:style w:type="character" w:styleId="20">
    <w:name w:val="Heading 5 Char"/>
    <w:basedOn w:val="421"/>
    <w:link w:val="414"/>
    <w:uiPriority w:val="9"/>
    <w:rPr>
      <w:rFonts w:ascii="Arial" w:hAnsi="Arial" w:cs="Arial" w:eastAsia="Arial"/>
      <w:b/>
      <w:bCs/>
      <w:sz w:val="24"/>
      <w:szCs w:val="24"/>
    </w:rPr>
  </w:style>
  <w:style w:type="character" w:styleId="22">
    <w:name w:val="Heading 6 Char"/>
    <w:basedOn w:val="421"/>
    <w:link w:val="415"/>
    <w:uiPriority w:val="9"/>
    <w:rPr>
      <w:rFonts w:ascii="Arial" w:hAnsi="Arial" w:cs="Arial" w:eastAsia="Arial"/>
      <w:b/>
      <w:bCs/>
      <w:sz w:val="22"/>
      <w:szCs w:val="22"/>
    </w:rPr>
  </w:style>
  <w:style w:type="character" w:styleId="24">
    <w:name w:val="Heading 7 Char"/>
    <w:basedOn w:val="421"/>
    <w:link w:val="416"/>
    <w:uiPriority w:val="9"/>
    <w:rPr>
      <w:rFonts w:ascii="Arial" w:hAnsi="Arial" w:cs="Arial" w:eastAsia="Arial"/>
      <w:b/>
      <w:bCs/>
      <w:i/>
      <w:iCs/>
      <w:sz w:val="22"/>
      <w:szCs w:val="22"/>
    </w:rPr>
  </w:style>
  <w:style w:type="character" w:styleId="26">
    <w:name w:val="Heading 8 Char"/>
    <w:basedOn w:val="421"/>
    <w:link w:val="417"/>
    <w:uiPriority w:val="9"/>
    <w:rPr>
      <w:rFonts w:ascii="Arial" w:hAnsi="Arial" w:cs="Arial" w:eastAsia="Arial"/>
      <w:i/>
      <w:iCs/>
      <w:sz w:val="22"/>
      <w:szCs w:val="22"/>
    </w:rPr>
  </w:style>
  <w:style w:type="character" w:styleId="28">
    <w:name w:val="Heading 9 Char"/>
    <w:basedOn w:val="421"/>
    <w:link w:val="418"/>
    <w:uiPriority w:val="9"/>
    <w:rPr>
      <w:rFonts w:ascii="Arial" w:hAnsi="Arial" w:cs="Arial" w:eastAsia="Arial"/>
      <w:i/>
      <w:iCs/>
      <w:sz w:val="21"/>
      <w:szCs w:val="21"/>
    </w:rPr>
  </w:style>
  <w:style w:type="paragraph" w:styleId="29">
    <w:name w:val="List Paragraph"/>
    <w:basedOn w:val="400"/>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421"/>
    <w:link w:val="404"/>
    <w:uiPriority w:val="10"/>
    <w:rPr>
      <w:sz w:val="48"/>
      <w:szCs w:val="48"/>
    </w:rPr>
  </w:style>
  <w:style w:type="character" w:styleId="35">
    <w:name w:val="Subtitle Char"/>
    <w:basedOn w:val="421"/>
    <w:link w:val="405"/>
    <w:uiPriority w:val="11"/>
    <w:rPr>
      <w:sz w:val="24"/>
      <w:szCs w:val="24"/>
    </w:rPr>
  </w:style>
  <w:style w:type="paragraph" w:styleId="36">
    <w:name w:val="Quote"/>
    <w:basedOn w:val="400"/>
    <w:next w:val="400"/>
    <w:link w:val="37"/>
    <w:qFormat/>
    <w:uiPriority w:val="29"/>
    <w:rPr>
      <w:i/>
    </w:rPr>
    <w:pPr>
      <w:ind w:left="720" w:right="720"/>
    </w:pPr>
  </w:style>
  <w:style w:type="character" w:styleId="37">
    <w:name w:val="Quote Char"/>
    <w:link w:val="36"/>
    <w:uiPriority w:val="29"/>
    <w:rPr>
      <w:i/>
    </w:rPr>
  </w:style>
  <w:style w:type="paragraph" w:styleId="38">
    <w:name w:val="Intense Quote"/>
    <w:basedOn w:val="400"/>
    <w:next w:val="400"/>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00"/>
    <w:link w:val="41"/>
    <w:uiPriority w:val="99"/>
    <w:unhideWhenUsed/>
    <w:pPr>
      <w:spacing w:lineRule="auto" w:line="240" w:after="0"/>
      <w:tabs>
        <w:tab w:val="center" w:pos="7143" w:leader="none"/>
        <w:tab w:val="right" w:pos="14287" w:leader="none"/>
      </w:tabs>
    </w:pPr>
  </w:style>
  <w:style w:type="character" w:styleId="41">
    <w:name w:val="Header Char"/>
    <w:basedOn w:val="421"/>
    <w:link w:val="40"/>
    <w:uiPriority w:val="99"/>
  </w:style>
  <w:style w:type="paragraph" w:styleId="42">
    <w:name w:val="Footer"/>
    <w:basedOn w:val="400"/>
    <w:link w:val="45"/>
    <w:uiPriority w:val="99"/>
    <w:unhideWhenUsed/>
    <w:pPr>
      <w:spacing w:lineRule="auto" w:line="240" w:after="0"/>
      <w:tabs>
        <w:tab w:val="center" w:pos="7143" w:leader="none"/>
        <w:tab w:val="right" w:pos="14287" w:leader="none"/>
      </w:tabs>
    </w:pPr>
  </w:style>
  <w:style w:type="character" w:styleId="43">
    <w:name w:val="Footer Char"/>
    <w:basedOn w:val="421"/>
    <w:link w:val="42"/>
    <w:uiPriority w:val="99"/>
  </w:style>
  <w:style w:type="character" w:styleId="45">
    <w:name w:val="Caption Char"/>
    <w:basedOn w:val="425"/>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4">
    <w:name w:val="Footnote Text Char"/>
    <w:link w:val="420"/>
    <w:uiPriority w:val="99"/>
    <w:rPr>
      <w:sz w:val="18"/>
    </w:rPr>
  </w:style>
  <w:style w:type="paragraph" w:styleId="176">
    <w:name w:val="toc 1"/>
    <w:basedOn w:val="400"/>
    <w:next w:val="400"/>
    <w:uiPriority w:val="39"/>
    <w:unhideWhenUsed/>
    <w:pPr>
      <w:ind w:left="0" w:right="0" w:firstLine="0"/>
      <w:spacing w:after="57"/>
    </w:pPr>
  </w:style>
  <w:style w:type="paragraph" w:styleId="177">
    <w:name w:val="toc 2"/>
    <w:basedOn w:val="400"/>
    <w:next w:val="400"/>
    <w:uiPriority w:val="39"/>
    <w:unhideWhenUsed/>
    <w:pPr>
      <w:ind w:left="283" w:right="0" w:firstLine="0"/>
      <w:spacing w:after="57"/>
    </w:pPr>
  </w:style>
  <w:style w:type="paragraph" w:styleId="178">
    <w:name w:val="toc 3"/>
    <w:basedOn w:val="400"/>
    <w:next w:val="400"/>
    <w:uiPriority w:val="39"/>
    <w:unhideWhenUsed/>
    <w:pPr>
      <w:ind w:left="567" w:right="0" w:firstLine="0"/>
      <w:spacing w:after="57"/>
    </w:pPr>
  </w:style>
  <w:style w:type="paragraph" w:styleId="179">
    <w:name w:val="toc 4"/>
    <w:basedOn w:val="400"/>
    <w:next w:val="400"/>
    <w:uiPriority w:val="39"/>
    <w:unhideWhenUsed/>
    <w:pPr>
      <w:ind w:left="850" w:right="0" w:firstLine="0"/>
      <w:spacing w:after="57"/>
    </w:pPr>
  </w:style>
  <w:style w:type="paragraph" w:styleId="180">
    <w:name w:val="toc 5"/>
    <w:basedOn w:val="400"/>
    <w:next w:val="400"/>
    <w:uiPriority w:val="39"/>
    <w:unhideWhenUsed/>
    <w:pPr>
      <w:ind w:left="1134" w:right="0" w:firstLine="0"/>
      <w:spacing w:after="57"/>
    </w:pPr>
  </w:style>
  <w:style w:type="paragraph" w:styleId="181">
    <w:name w:val="toc 6"/>
    <w:basedOn w:val="400"/>
    <w:next w:val="400"/>
    <w:uiPriority w:val="39"/>
    <w:unhideWhenUsed/>
    <w:pPr>
      <w:ind w:left="1417" w:right="0" w:firstLine="0"/>
      <w:spacing w:after="57"/>
    </w:pPr>
  </w:style>
  <w:style w:type="paragraph" w:styleId="182">
    <w:name w:val="toc 7"/>
    <w:basedOn w:val="400"/>
    <w:next w:val="400"/>
    <w:uiPriority w:val="39"/>
    <w:unhideWhenUsed/>
    <w:pPr>
      <w:ind w:left="1701" w:right="0" w:firstLine="0"/>
      <w:spacing w:after="57"/>
    </w:pPr>
  </w:style>
  <w:style w:type="paragraph" w:styleId="183">
    <w:name w:val="toc 8"/>
    <w:basedOn w:val="400"/>
    <w:next w:val="400"/>
    <w:uiPriority w:val="39"/>
    <w:unhideWhenUsed/>
    <w:pPr>
      <w:ind w:left="1984" w:right="0" w:firstLine="0"/>
      <w:spacing w:after="57"/>
    </w:pPr>
  </w:style>
  <w:style w:type="paragraph" w:styleId="184">
    <w:name w:val="toc 9"/>
    <w:basedOn w:val="400"/>
    <w:next w:val="400"/>
    <w:uiPriority w:val="39"/>
    <w:unhideWhenUsed/>
    <w:pPr>
      <w:ind w:left="2268" w:right="0" w:firstLine="0"/>
      <w:spacing w:after="57"/>
    </w:pPr>
  </w:style>
  <w:style w:type="paragraph" w:styleId="400" w:default="1">
    <w:name w:val="Normal"/>
    <w:qFormat/>
  </w:style>
  <w:style w:type="paragraph" w:styleId="401">
    <w:name w:val="Body Text"/>
    <w:basedOn w:val="400"/>
    <w:link w:val="430"/>
    <w:qFormat/>
    <w:pPr>
      <w:spacing w:after="180" w:before="180"/>
    </w:pPr>
  </w:style>
  <w:style w:type="paragraph" w:styleId="402" w:customStyle="1">
    <w:name w:val="First Paragraph"/>
    <w:basedOn w:val="401"/>
    <w:next w:val="401"/>
    <w:qFormat/>
  </w:style>
  <w:style w:type="paragraph" w:styleId="403" w:customStyle="1">
    <w:name w:val="Compact"/>
    <w:basedOn w:val="401"/>
    <w:qFormat/>
    <w:pPr>
      <w:spacing w:after="36" w:before="36"/>
    </w:pPr>
  </w:style>
  <w:style w:type="paragraph" w:styleId="404">
    <w:name w:val="Title"/>
    <w:basedOn w:val="400"/>
    <w:next w:val="401"/>
    <w:qFormat/>
    <w:rPr>
      <w:rFonts w:ascii="Calibri" w:hAnsi="Calibri" w:cs="Calibri" w:eastAsia="Calibri"/>
      <w:b/>
      <w:bCs/>
      <w:color w:val="345A8A" w:themeColor="accent1" w:themeShade="B5"/>
      <w:sz w:val="36"/>
      <w:szCs w:val="36"/>
    </w:rPr>
    <w:pPr>
      <w:jc w:val="center"/>
      <w:keepLines/>
      <w:keepNext/>
      <w:spacing w:after="240" w:before="480"/>
    </w:pPr>
  </w:style>
  <w:style w:type="paragraph" w:styleId="405">
    <w:name w:val="Subtitle"/>
    <w:basedOn w:val="404"/>
    <w:next w:val="401"/>
    <w:qFormat/>
    <w:rPr>
      <w:sz w:val="30"/>
      <w:szCs w:val="30"/>
    </w:rPr>
    <w:pPr>
      <w:jc w:val="center"/>
      <w:keepLines/>
      <w:keepNext/>
      <w:spacing w:after="240" w:before="240"/>
    </w:pPr>
  </w:style>
  <w:style w:type="paragraph" w:styleId="406" w:customStyle="1">
    <w:name w:val="Author"/>
    <w:next w:val="401"/>
    <w:qFormat/>
    <w:pPr>
      <w:jc w:val="center"/>
      <w:keepLines/>
      <w:keepNext/>
    </w:pPr>
  </w:style>
  <w:style w:type="paragraph" w:styleId="407">
    <w:name w:val="Date"/>
    <w:next w:val="401"/>
    <w:qFormat/>
    <w:pPr>
      <w:jc w:val="center"/>
      <w:keepLines/>
      <w:keepNext/>
    </w:pPr>
  </w:style>
  <w:style w:type="paragraph" w:styleId="408" w:customStyle="1">
    <w:name w:val="Abstract"/>
    <w:basedOn w:val="400"/>
    <w:next w:val="401"/>
    <w:qFormat/>
    <w:rPr>
      <w:sz w:val="20"/>
      <w:szCs w:val="20"/>
    </w:rPr>
    <w:pPr>
      <w:keepLines/>
      <w:keepNext/>
      <w:spacing w:after="300" w:before="300"/>
    </w:pPr>
  </w:style>
  <w:style w:type="paragraph" w:styleId="409">
    <w:name w:val="Bibliography"/>
    <w:basedOn w:val="400"/>
    <w:next w:val="409"/>
    <w:qFormat/>
  </w:style>
  <w:style w:type="paragraph" w:styleId="410">
    <w:name w:val="Heading 1"/>
    <w:basedOn w:val="400"/>
    <w:next w:val="401"/>
    <w:qFormat/>
    <w:uiPriority w:val="9"/>
    <w:rPr>
      <w:rFonts w:ascii="Calibri" w:hAnsi="Calibri" w:cs="Calibri" w:eastAsia="Calibri"/>
      <w:b/>
      <w:bCs/>
      <w:color w:val="4F81BD" w:themeColor="accent1"/>
      <w:sz w:val="32"/>
      <w:szCs w:val="32"/>
    </w:rPr>
    <w:pPr>
      <w:keepLines/>
      <w:keepNext/>
      <w:spacing w:after="0" w:before="480"/>
      <w:outlineLvl w:val="0"/>
    </w:pPr>
  </w:style>
  <w:style w:type="paragraph" w:styleId="411">
    <w:name w:val="Heading 2"/>
    <w:basedOn w:val="400"/>
    <w:next w:val="401"/>
    <w:qFormat/>
    <w:uiPriority w:val="9"/>
    <w:unhideWhenUsed/>
    <w:rPr>
      <w:rFonts w:ascii="Calibri" w:hAnsi="Calibri" w:cs="Calibri" w:eastAsia="Calibri"/>
      <w:b/>
      <w:bCs/>
      <w:color w:val="4F81BD" w:themeColor="accent1"/>
      <w:sz w:val="28"/>
      <w:szCs w:val="28"/>
    </w:rPr>
    <w:pPr>
      <w:keepLines/>
      <w:keepNext/>
      <w:spacing w:after="0" w:before="200"/>
      <w:outlineLvl w:val="1"/>
    </w:pPr>
  </w:style>
  <w:style w:type="paragraph" w:styleId="412">
    <w:name w:val="Heading 3"/>
    <w:basedOn w:val="400"/>
    <w:next w:val="401"/>
    <w:qFormat/>
    <w:uiPriority w:val="9"/>
    <w:unhideWhenUsed/>
    <w:rPr>
      <w:rFonts w:ascii="Calibri" w:hAnsi="Calibri" w:cs="Calibri" w:eastAsia="Calibri"/>
      <w:b/>
      <w:bCs/>
      <w:color w:val="4F81BD" w:themeColor="accent1"/>
      <w:sz w:val="24"/>
      <w:szCs w:val="24"/>
    </w:rPr>
    <w:pPr>
      <w:keepLines/>
      <w:keepNext/>
      <w:spacing w:after="0" w:before="200"/>
      <w:outlineLvl w:val="2"/>
    </w:pPr>
  </w:style>
  <w:style w:type="paragraph" w:styleId="413">
    <w:name w:val="Heading 4"/>
    <w:basedOn w:val="400"/>
    <w:next w:val="401"/>
    <w:qFormat/>
    <w:uiPriority w:val="9"/>
    <w:unhideWhenUsed/>
    <w:rPr>
      <w:rFonts w:ascii="Calibri" w:hAnsi="Calibri" w:cs="Calibri" w:eastAsia="Calibri"/>
      <w:bCs/>
      <w:i/>
      <w:color w:val="4F81BD" w:themeColor="accent1"/>
      <w:sz w:val="24"/>
      <w:szCs w:val="24"/>
    </w:rPr>
    <w:pPr>
      <w:keepLines/>
      <w:keepNext/>
      <w:spacing w:after="0" w:before="200"/>
      <w:outlineLvl w:val="3"/>
    </w:pPr>
  </w:style>
  <w:style w:type="paragraph" w:styleId="414">
    <w:name w:val="Heading 5"/>
    <w:basedOn w:val="400"/>
    <w:next w:val="401"/>
    <w:qFormat/>
    <w:uiPriority w:val="9"/>
    <w:unhideWhenUsed/>
    <w:rPr>
      <w:rFonts w:ascii="Calibri" w:hAnsi="Calibri" w:cs="Calibri" w:eastAsia="Calibri"/>
      <w:iCs/>
      <w:color w:val="4F81BD" w:themeColor="accent1"/>
      <w:sz w:val="24"/>
      <w:szCs w:val="24"/>
    </w:rPr>
    <w:pPr>
      <w:keepLines/>
      <w:keepNext/>
      <w:spacing w:after="0" w:before="200"/>
      <w:outlineLvl w:val="4"/>
    </w:pPr>
  </w:style>
  <w:style w:type="paragraph" w:styleId="415">
    <w:name w:val="Heading 6"/>
    <w:basedOn w:val="400"/>
    <w:next w:val="401"/>
    <w:qFormat/>
    <w:uiPriority w:val="9"/>
    <w:unhideWhenUsed/>
    <w:rPr>
      <w:rFonts w:ascii="Calibri" w:hAnsi="Calibri" w:cs="Calibri" w:eastAsia="Calibri"/>
      <w:color w:val="4F81BD" w:themeColor="accent1"/>
      <w:sz w:val="24"/>
      <w:szCs w:val="24"/>
    </w:rPr>
    <w:pPr>
      <w:keepLines/>
      <w:keepNext/>
      <w:spacing w:after="0" w:before="200"/>
      <w:outlineLvl w:val="5"/>
    </w:pPr>
  </w:style>
  <w:style w:type="paragraph" w:styleId="416">
    <w:name w:val="Heading 7"/>
    <w:basedOn w:val="400"/>
    <w:next w:val="401"/>
    <w:qFormat/>
    <w:uiPriority w:val="9"/>
    <w:unhideWhenUsed/>
    <w:rPr>
      <w:rFonts w:ascii="Calibri" w:hAnsi="Calibri" w:cs="Calibri" w:eastAsia="Calibri"/>
      <w:color w:val="4F81BD" w:themeColor="accent1"/>
      <w:sz w:val="24"/>
      <w:szCs w:val="24"/>
    </w:rPr>
    <w:pPr>
      <w:keepLines/>
      <w:keepNext/>
      <w:spacing w:after="0" w:before="200"/>
      <w:outlineLvl w:val="6"/>
    </w:pPr>
  </w:style>
  <w:style w:type="paragraph" w:styleId="417">
    <w:name w:val="Heading 8"/>
    <w:basedOn w:val="400"/>
    <w:next w:val="401"/>
    <w:qFormat/>
    <w:uiPriority w:val="9"/>
    <w:unhideWhenUsed/>
    <w:rPr>
      <w:rFonts w:ascii="Calibri" w:hAnsi="Calibri" w:cs="Calibri" w:eastAsia="Calibri"/>
      <w:color w:val="4F81BD" w:themeColor="accent1"/>
      <w:sz w:val="24"/>
      <w:szCs w:val="24"/>
    </w:rPr>
    <w:pPr>
      <w:keepLines/>
      <w:keepNext/>
      <w:spacing w:after="0" w:before="200"/>
      <w:outlineLvl w:val="7"/>
    </w:pPr>
  </w:style>
  <w:style w:type="paragraph" w:styleId="418">
    <w:name w:val="Heading 9"/>
    <w:basedOn w:val="400"/>
    <w:next w:val="401"/>
    <w:qFormat/>
    <w:uiPriority w:val="9"/>
    <w:unhideWhenUsed/>
    <w:rPr>
      <w:rFonts w:ascii="Calibri" w:hAnsi="Calibri" w:cs="Calibri" w:eastAsia="Calibri"/>
      <w:color w:val="4F81BD" w:themeColor="accent1"/>
      <w:sz w:val="24"/>
      <w:szCs w:val="24"/>
    </w:rPr>
    <w:pPr>
      <w:keepLines/>
      <w:keepNext/>
      <w:spacing w:after="0" w:before="200"/>
      <w:outlineLvl w:val="8"/>
    </w:pPr>
  </w:style>
  <w:style w:type="paragraph" w:styleId="419">
    <w:name w:val="Block Text"/>
    <w:basedOn w:val="401"/>
    <w:next w:val="401"/>
    <w:qFormat/>
    <w:uiPriority w:val="9"/>
    <w:unhideWhenUsed/>
    <w:pPr>
      <w:ind w:left="480" w:right="480" w:firstLine="0"/>
      <w:spacing w:after="100" w:before="100"/>
    </w:pPr>
  </w:style>
  <w:style w:type="paragraph" w:styleId="420">
    <w:name w:val="footnote text"/>
    <w:basedOn w:val="400"/>
    <w:next w:val="420"/>
    <w:qFormat/>
    <w:uiPriority w:val="9"/>
    <w:unhideWhenUsed/>
  </w:style>
  <w:style w:type="character" w:styleId="421" w:default="1">
    <w:name w:val="Default Paragraph Font"/>
    <w:semiHidden/>
    <w:unhideWhenUsed/>
  </w:style>
  <w:style w:type="table" w:styleId="422" w:default="1">
    <w:name w:val="Table"/>
    <w:qFormat/>
    <w:semiHidden/>
    <w:unhideWhenUsed/>
    <w:tblPr>
      <w:tblInd w:w="0" w:type="dxa"/>
      <w:tblCellMar>
        <w:left w:w="108" w:type="dxa"/>
        <w:top w:w="0" w:type="dxa"/>
        <w:right w:w="108" w:type="dxa"/>
        <w:bottom w:w="0" w:type="dxa"/>
      </w:tblCellMar>
    </w:tblPr>
  </w:style>
  <w:style w:type="paragraph" w:styleId="423" w:customStyle="1">
    <w:name w:val="Definition Term"/>
    <w:basedOn w:val="400"/>
    <w:next w:val="424"/>
    <w:rPr>
      <w:b/>
    </w:rPr>
    <w:pPr>
      <w:keepLines/>
      <w:keepNext/>
      <w:spacing w:after="0"/>
    </w:pPr>
  </w:style>
  <w:style w:type="paragraph" w:styleId="424" w:customStyle="1">
    <w:name w:val="Definition"/>
    <w:basedOn w:val="400"/>
  </w:style>
  <w:style w:type="paragraph" w:styleId="425">
    <w:name w:val="Caption"/>
    <w:basedOn w:val="400"/>
    <w:link w:val="430"/>
    <w:rPr>
      <w:i/>
    </w:rPr>
    <w:pPr>
      <w:spacing w:after="120" w:before="0"/>
    </w:pPr>
  </w:style>
  <w:style w:type="paragraph" w:styleId="426" w:customStyle="1">
    <w:name w:val="Table Caption"/>
    <w:basedOn w:val="425"/>
    <w:pPr>
      <w:keepNext/>
    </w:pPr>
  </w:style>
  <w:style w:type="paragraph" w:styleId="427" w:customStyle="1">
    <w:name w:val="Image Caption"/>
    <w:basedOn w:val="425"/>
  </w:style>
  <w:style w:type="paragraph" w:styleId="428" w:customStyle="1">
    <w:name w:val="Figure"/>
    <w:basedOn w:val="400"/>
  </w:style>
  <w:style w:type="paragraph" w:styleId="429" w:customStyle="1">
    <w:name w:val="Captioned Figure"/>
    <w:basedOn w:val="428"/>
    <w:pPr>
      <w:keepNext/>
    </w:pPr>
  </w:style>
  <w:style w:type="character" w:styleId="430" w:customStyle="1">
    <w:name w:val="Body Text Char"/>
    <w:basedOn w:val="421"/>
    <w:link w:val="401"/>
  </w:style>
  <w:style w:type="character" w:styleId="431" w:customStyle="1">
    <w:name w:val="Verbatim Char"/>
    <w:basedOn w:val="430"/>
    <w:rPr>
      <w:rFonts w:ascii="Consolas" w:hAnsi="Consolas"/>
      <w:sz w:val="22"/>
    </w:rPr>
  </w:style>
  <w:style w:type="character" w:styleId="432">
    <w:name w:val="footnote reference"/>
    <w:basedOn w:val="430"/>
    <w:rPr>
      <w:vertAlign w:val="superscript"/>
    </w:rPr>
  </w:style>
  <w:style w:type="character" w:styleId="433">
    <w:name w:val="Hyperlink"/>
    <w:basedOn w:val="430"/>
    <w:rPr>
      <w:color w:val="4F81BD" w:themeColor="accent1"/>
    </w:rPr>
  </w:style>
  <w:style w:type="paragraph" w:styleId="434">
    <w:name w:val="TOC Heading"/>
    <w:basedOn w:val="410"/>
    <w:next w:val="401"/>
    <w:qFormat/>
    <w:uiPriority w:val="39"/>
    <w:unhideWhenUsed/>
    <w:rPr>
      <w:rFonts w:ascii="Calibri" w:hAnsi="Calibri" w:cs="Calibri" w:eastAsia="Calibri"/>
      <w:b w:val="false"/>
      <w:bCs w:val="false"/>
      <w:color w:val="365F91" w:themeColor="accent1" w:themeShade="BF"/>
    </w:rPr>
    <w:pPr>
      <w:spacing w:lineRule="auto" w:line="259" w:before="240"/>
      <w:outlineLvl w:val="9"/>
    </w:pPr>
  </w:style>
  <w:style w:type="paragraph" w:styleId="435" w:customStyle="1">
    <w:name w:val="Source Code"/>
    <w:basedOn w:val="400"/>
    <w:link w:val="431"/>
    <w:pPr>
      <w:shd w:val="clear" w:color="auto" w:fill="F8F8F8"/>
    </w:pPr>
  </w:style>
  <w:style w:type="character" w:styleId="436" w:customStyle="1">
    <w:name w:val="KeywordTok"/>
    <w:basedOn w:val="431"/>
    <w:rPr>
      <w:b/>
      <w:color w:val="204A87"/>
      <w:shd w:val="clear" w:color="auto" w:fill="F8F8F8"/>
    </w:rPr>
  </w:style>
  <w:style w:type="character" w:styleId="437" w:customStyle="1">
    <w:name w:val="DataTypeTok"/>
    <w:basedOn w:val="431"/>
    <w:rPr>
      <w:color w:val="204A87"/>
      <w:shd w:val="clear" w:color="auto" w:fill="F8F8F8"/>
    </w:rPr>
  </w:style>
  <w:style w:type="character" w:styleId="438" w:customStyle="1">
    <w:name w:val="DecValTok"/>
    <w:basedOn w:val="431"/>
    <w:rPr>
      <w:color w:val="0000CF"/>
      <w:shd w:val="clear" w:color="auto" w:fill="F8F8F8"/>
    </w:rPr>
  </w:style>
  <w:style w:type="character" w:styleId="439" w:customStyle="1">
    <w:name w:val="BaseNTok"/>
    <w:basedOn w:val="431"/>
    <w:rPr>
      <w:color w:val="0000CF"/>
      <w:shd w:val="clear" w:color="auto" w:fill="F8F8F8"/>
    </w:rPr>
  </w:style>
  <w:style w:type="character" w:styleId="440" w:customStyle="1">
    <w:name w:val="FloatTok"/>
    <w:basedOn w:val="431"/>
    <w:rPr>
      <w:color w:val="0000CF"/>
      <w:shd w:val="clear" w:color="auto" w:fill="F8F8F8"/>
    </w:rPr>
  </w:style>
  <w:style w:type="character" w:styleId="441" w:customStyle="1">
    <w:name w:val="ConstantTok"/>
    <w:basedOn w:val="431"/>
    <w:rPr>
      <w:color w:val="000000"/>
      <w:shd w:val="clear" w:color="auto" w:fill="F8F8F8"/>
    </w:rPr>
  </w:style>
  <w:style w:type="character" w:styleId="442" w:customStyle="1">
    <w:name w:val="CharTok"/>
    <w:basedOn w:val="431"/>
    <w:rPr>
      <w:color w:val="4E9A06"/>
      <w:shd w:val="clear" w:color="auto" w:fill="F8F8F8"/>
    </w:rPr>
  </w:style>
  <w:style w:type="character" w:styleId="443" w:customStyle="1">
    <w:name w:val="SpecialCharTok"/>
    <w:basedOn w:val="431"/>
    <w:rPr>
      <w:color w:val="000000"/>
      <w:shd w:val="clear" w:color="auto" w:fill="F8F8F8"/>
    </w:rPr>
  </w:style>
  <w:style w:type="character" w:styleId="444" w:customStyle="1">
    <w:name w:val="StringTok"/>
    <w:basedOn w:val="431"/>
    <w:rPr>
      <w:color w:val="4E9A06"/>
      <w:shd w:val="clear" w:color="auto" w:fill="F8F8F8"/>
    </w:rPr>
  </w:style>
  <w:style w:type="character" w:styleId="445" w:customStyle="1">
    <w:name w:val="VerbatimStringTok"/>
    <w:basedOn w:val="431"/>
    <w:rPr>
      <w:color w:val="4E9A06"/>
      <w:shd w:val="clear" w:color="auto" w:fill="F8F8F8"/>
    </w:rPr>
  </w:style>
  <w:style w:type="character" w:styleId="446" w:customStyle="1">
    <w:name w:val="SpecialStringTok"/>
    <w:basedOn w:val="431"/>
    <w:rPr>
      <w:color w:val="4E9A06"/>
      <w:shd w:val="clear" w:color="auto" w:fill="F8F8F8"/>
    </w:rPr>
  </w:style>
  <w:style w:type="character" w:styleId="447" w:customStyle="1">
    <w:name w:val="ImportTok"/>
    <w:basedOn w:val="431"/>
    <w:rPr>
      <w:shd w:val="clear" w:color="auto" w:fill="F8F8F8"/>
    </w:rPr>
  </w:style>
  <w:style w:type="character" w:styleId="448" w:customStyle="1">
    <w:name w:val="CommentTok"/>
    <w:basedOn w:val="431"/>
    <w:rPr>
      <w:i/>
      <w:color w:val="8F5902"/>
      <w:shd w:val="clear" w:color="auto" w:fill="F8F8F8"/>
    </w:rPr>
  </w:style>
  <w:style w:type="character" w:styleId="449" w:customStyle="1">
    <w:name w:val="DocumentationTok"/>
    <w:basedOn w:val="431"/>
    <w:rPr>
      <w:b/>
      <w:i/>
      <w:color w:val="8F5902"/>
      <w:shd w:val="clear" w:color="auto" w:fill="F8F8F8"/>
    </w:rPr>
  </w:style>
  <w:style w:type="character" w:styleId="450" w:customStyle="1">
    <w:name w:val="AnnotationTok"/>
    <w:basedOn w:val="431"/>
    <w:rPr>
      <w:b/>
      <w:i/>
      <w:color w:val="8F5902"/>
      <w:shd w:val="clear" w:color="auto" w:fill="F8F8F8"/>
    </w:rPr>
  </w:style>
  <w:style w:type="character" w:styleId="451" w:customStyle="1">
    <w:name w:val="CommentVarTok"/>
    <w:basedOn w:val="431"/>
    <w:rPr>
      <w:b/>
      <w:i/>
      <w:color w:val="8F5902"/>
      <w:shd w:val="clear" w:color="auto" w:fill="F8F8F8"/>
    </w:rPr>
  </w:style>
  <w:style w:type="character" w:styleId="452" w:customStyle="1">
    <w:name w:val="OtherTok"/>
    <w:basedOn w:val="431"/>
    <w:rPr>
      <w:color w:val="8F5902"/>
      <w:shd w:val="clear" w:color="auto" w:fill="F8F8F8"/>
    </w:rPr>
  </w:style>
  <w:style w:type="character" w:styleId="453" w:customStyle="1">
    <w:name w:val="FunctionTok"/>
    <w:basedOn w:val="431"/>
    <w:rPr>
      <w:color w:val="000000"/>
      <w:shd w:val="clear" w:color="auto" w:fill="F8F8F8"/>
    </w:rPr>
  </w:style>
  <w:style w:type="character" w:styleId="454" w:customStyle="1">
    <w:name w:val="VariableTok"/>
    <w:basedOn w:val="431"/>
    <w:rPr>
      <w:color w:val="000000"/>
      <w:shd w:val="clear" w:color="auto" w:fill="F8F8F8"/>
    </w:rPr>
  </w:style>
  <w:style w:type="character" w:styleId="455" w:customStyle="1">
    <w:name w:val="ControlFlowTok"/>
    <w:basedOn w:val="431"/>
    <w:rPr>
      <w:b/>
      <w:color w:val="204A87"/>
      <w:shd w:val="clear" w:color="auto" w:fill="F8F8F8"/>
    </w:rPr>
  </w:style>
  <w:style w:type="character" w:styleId="456" w:customStyle="1">
    <w:name w:val="OperatorTok"/>
    <w:basedOn w:val="431"/>
    <w:rPr>
      <w:b/>
      <w:color w:val="CE5C00"/>
      <w:shd w:val="clear" w:color="auto" w:fill="F8F8F8"/>
    </w:rPr>
  </w:style>
  <w:style w:type="character" w:styleId="457" w:customStyle="1">
    <w:name w:val="BuiltInTok"/>
    <w:basedOn w:val="431"/>
    <w:rPr>
      <w:shd w:val="clear" w:color="auto" w:fill="F8F8F8"/>
    </w:rPr>
  </w:style>
  <w:style w:type="character" w:styleId="458" w:customStyle="1">
    <w:name w:val="ExtensionTok"/>
    <w:basedOn w:val="431"/>
    <w:rPr>
      <w:shd w:val="clear" w:color="auto" w:fill="F8F8F8"/>
    </w:rPr>
  </w:style>
  <w:style w:type="character" w:styleId="459" w:customStyle="1">
    <w:name w:val="PreprocessorTok"/>
    <w:basedOn w:val="431"/>
    <w:rPr>
      <w:i/>
      <w:color w:val="8F5902"/>
      <w:shd w:val="clear" w:color="auto" w:fill="F8F8F8"/>
    </w:rPr>
  </w:style>
  <w:style w:type="character" w:styleId="460" w:customStyle="1">
    <w:name w:val="AttributeTok"/>
    <w:basedOn w:val="431"/>
    <w:rPr>
      <w:color w:val="C4A000"/>
      <w:shd w:val="clear" w:color="auto" w:fill="F8F8F8"/>
    </w:rPr>
  </w:style>
  <w:style w:type="character" w:styleId="461" w:customStyle="1">
    <w:name w:val="RegionMarkerTok"/>
    <w:basedOn w:val="431"/>
    <w:rPr>
      <w:shd w:val="clear" w:color="auto" w:fill="F8F8F8"/>
    </w:rPr>
  </w:style>
  <w:style w:type="character" w:styleId="462" w:customStyle="1">
    <w:name w:val="InformationTok"/>
    <w:basedOn w:val="431"/>
    <w:rPr>
      <w:b/>
      <w:i/>
      <w:color w:val="8F5902"/>
      <w:shd w:val="clear" w:color="auto" w:fill="F8F8F8"/>
    </w:rPr>
  </w:style>
  <w:style w:type="character" w:styleId="463" w:customStyle="1">
    <w:name w:val="WarningTok"/>
    <w:basedOn w:val="431"/>
    <w:rPr>
      <w:b/>
      <w:i/>
      <w:color w:val="8F5902"/>
      <w:shd w:val="clear" w:color="auto" w:fill="F8F8F8"/>
    </w:rPr>
  </w:style>
  <w:style w:type="character" w:styleId="464" w:customStyle="1">
    <w:name w:val="AlertTok"/>
    <w:basedOn w:val="431"/>
    <w:rPr>
      <w:color w:val="EF2929"/>
      <w:shd w:val="clear" w:color="auto" w:fill="F8F8F8"/>
    </w:rPr>
  </w:style>
  <w:style w:type="character" w:styleId="465" w:customStyle="1">
    <w:name w:val="ErrorTok"/>
    <w:basedOn w:val="431"/>
    <w:rPr>
      <w:b/>
      <w:color w:val="A40000"/>
      <w:shd w:val="clear" w:color="auto" w:fill="F8F8F8"/>
    </w:rPr>
  </w:style>
  <w:style w:type="character" w:styleId="466" w:customStyle="1">
    <w:name w:val="NormalTok"/>
    <w:basedOn w:val="431"/>
    <w:rPr>
      <w:shd w:val="clear" w:color="auto" w:fill="F8F8F8"/>
    </w:rPr>
  </w:style>
  <w:style w:type="numbering" w:styleId="1470"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robjhyndman/quantile_ensembles" TargetMode="External"/><Relationship Id="rId11" Type="http://schemas.openxmlformats.org/officeDocument/2006/relationships/hyperlink" Target="OTexts.org/fpp3"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ONLYOFFICE/5.6.0.21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Quantile forecasting with ensembles and combinations</dc:title>
  <dc:creator>Rob J Hyndman</dc:creator>
  <cp:keywords/>
  <cp:revision>1</cp:revision>
  <dcterms:created xsi:type="dcterms:W3CDTF">2020-08-09T03:15:03Z</dcterms:created>
  <dcterms:modified xsi:type="dcterms:W3CDTF">2020-08-09T03:16:13Z</dcterms:modified>
</cp:coreProperties>
</file>