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C679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2"/>
          <w:szCs w:val="22"/>
        </w:rPr>
      </w:pPr>
      <w:r>
        <w:rPr>
          <w:rFonts w:ascii="Georgia" w:eastAsia="Georgia" w:hAnsi="Georgia" w:cs="Georgia"/>
          <w:b/>
          <w:sz w:val="22"/>
          <w:szCs w:val="22"/>
        </w:rPr>
        <w:t xml:space="preserve">Content Knowledge </w:t>
      </w:r>
    </w:p>
    <w:p w:rsidR="00AC6792" w:rsidRDefault="00AC67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sz w:val="20"/>
          <w:szCs w:val="20"/>
        </w:rPr>
      </w:pPr>
    </w:p>
    <w:tbl>
      <w:tblPr>
        <w:tblStyle w:val="a"/>
        <w:tblW w:w="142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3540"/>
        <w:gridCol w:w="4860"/>
        <w:gridCol w:w="3990"/>
      </w:tblGrid>
      <w:tr w:rsidR="00AC6792">
        <w:tc>
          <w:tcPr>
            <w:tcW w:w="1875" w:type="dxa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</w:tcPr>
          <w:p w:rsidR="00AC6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Foundational</w:t>
            </w:r>
          </w:p>
        </w:tc>
        <w:tc>
          <w:tcPr>
            <w:tcW w:w="4860" w:type="dxa"/>
          </w:tcPr>
          <w:p w:rsidR="00AC6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Proficient</w:t>
            </w:r>
          </w:p>
        </w:tc>
        <w:tc>
          <w:tcPr>
            <w:tcW w:w="3990" w:type="dxa"/>
          </w:tcPr>
          <w:p w:rsidR="00AC6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Exemplary</w:t>
            </w:r>
          </w:p>
        </w:tc>
      </w:tr>
      <w:tr w:rsidR="00AC6792">
        <w:trPr>
          <w:trHeight w:val="220"/>
        </w:trPr>
        <w:tc>
          <w:tcPr>
            <w:tcW w:w="1875" w:type="dxa"/>
            <w:vMerge w:val="restart"/>
            <w:vAlign w:val="center"/>
          </w:tcPr>
          <w:p w:rsidR="00AC6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Algebraic Structures</w:t>
            </w:r>
          </w:p>
        </w:tc>
        <w:tc>
          <w:tcPr>
            <w:tcW w:w="3540" w:type="dxa"/>
            <w:vMerge w:val="restart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  <w:highlight w:val="green"/>
              </w:rPr>
            </w:pPr>
            <w:r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>Define vector space, subspace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  <w:highlight w:val="green"/>
              </w:rPr>
            </w:pPr>
            <w:r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>Define sums and direct sums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  <w:highlight w:val="green"/>
              </w:rPr>
            </w:pPr>
            <w:r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>Define linear dependence/independence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  <w:highlight w:val="green"/>
              </w:rPr>
            </w:pPr>
            <w:r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>Define groups and fields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  <w:highlight w:val="green"/>
              </w:rPr>
            </w:pPr>
            <w:r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>Understand commutativity, associativity, distributivity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  <w:highlight w:val="green"/>
              </w:rPr>
            </w:pPr>
            <w:r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>Define spans and bases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  <w:highlight w:val="green"/>
              </w:rPr>
            </w:pPr>
            <w:r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>Define dimension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  <w:highlight w:val="green"/>
              </w:rPr>
            </w:pPr>
            <w:r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>Define product space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  <w:highlight w:val="green"/>
              </w:rPr>
            </w:pPr>
            <w:r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>Define quotient space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  <w:highlight w:val="green"/>
              </w:rPr>
            </w:pPr>
            <w:r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 xml:space="preserve">Define norm </w:t>
            </w:r>
            <w:proofErr w:type="gramStart"/>
            <w:r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>and  inner</w:t>
            </w:r>
            <w:proofErr w:type="gramEnd"/>
            <w:r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 xml:space="preserve"> product</w:t>
            </w:r>
          </w:p>
          <w:p w:rsidR="00AC6792" w:rsidRDefault="00000000">
            <w:pPr>
              <w:jc w:val="both"/>
              <w:rPr>
                <w:rFonts w:ascii="Georgia" w:eastAsia="Georgia" w:hAnsi="Georgia" w:cs="Georgia"/>
                <w:sz w:val="18"/>
                <w:szCs w:val="18"/>
                <w:highlight w:val="green"/>
              </w:rPr>
            </w:pPr>
            <w:r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>Define orthogonal complement</w:t>
            </w:r>
          </w:p>
        </w:tc>
        <w:tc>
          <w:tcPr>
            <w:tcW w:w="4860" w:type="dxa"/>
            <w:vMerge w:val="restart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Understand and apply concept of subspace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Connect the concept of direct sum with linear independence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Understand and apply concepts of span and basis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Understand and apply concept of linear combination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Apply concepts of groups and fields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Apply commutativity, associativity, distributivity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Understand and apply concept of dimension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Relate bases, spanning sets, and linearly independent sets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930C07">
              <w:rPr>
                <w:rFonts w:ascii="Georgia" w:eastAsia="Georgia" w:hAnsi="Georgia" w:cs="Georgia"/>
                <w:sz w:val="18"/>
                <w:szCs w:val="18"/>
                <w:highlight w:val="darkGreen"/>
              </w:rPr>
              <w:t>Apply concept of product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  <w:r w:rsidRPr="00930C07"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>and quotient spaces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affine subset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equivalence relation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Give examples of norms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Find orthogonal complements</w:t>
            </w:r>
          </w:p>
        </w:tc>
        <w:tc>
          <w:tcPr>
            <w:tcW w:w="3990" w:type="dxa"/>
            <w:vMerge w:val="restart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statements about vector spaces and subspaces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statements about linear independence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statements about spans and bases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statements about sums and direct sums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facts about dimension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statements about eigenspaces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statements about product spaces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statements about quotient spaces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  <w:highlight w:val="green"/>
              </w:rPr>
            </w:pPr>
            <w:r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>Prove statements about affine subsets</w:t>
            </w:r>
          </w:p>
        </w:tc>
      </w:tr>
      <w:tr w:rsidR="00AC6792">
        <w:trPr>
          <w:trHeight w:val="320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660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340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500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500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205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205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205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500"/>
        </w:trPr>
        <w:tc>
          <w:tcPr>
            <w:tcW w:w="1875" w:type="dxa"/>
            <w:vMerge w:val="restart"/>
            <w:vAlign w:val="center"/>
          </w:tcPr>
          <w:p w:rsidR="00AC6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Linear Transformations</w:t>
            </w:r>
          </w:p>
        </w:tc>
        <w:tc>
          <w:tcPr>
            <w:tcW w:w="3540" w:type="dxa"/>
            <w:vMerge w:val="restart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linearity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Understand matrices as linear transformations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range and kernel (column space and null space)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isomorphism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Define injectivity and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surjectivity</w:t>
            </w:r>
            <w:proofErr w:type="spellEnd"/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invariant subspace</w:t>
            </w:r>
          </w:p>
        </w:tc>
        <w:tc>
          <w:tcPr>
            <w:tcW w:w="4860" w:type="dxa"/>
            <w:vMerge w:val="restart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Give a geometric interpretation of the determinant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Apply concept of linearity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Understand connection between column space/null space and linear independence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Apply concept of isomorphism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Apply concepts of injectivity and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surjectivity</w:t>
            </w:r>
            <w:proofErr w:type="spellEnd"/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State and apply Rank-Nullity theorem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Find column space and null space for specific matrices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Apply concept of invariance</w:t>
            </w:r>
          </w:p>
        </w:tc>
        <w:tc>
          <w:tcPr>
            <w:tcW w:w="3990" w:type="dxa"/>
            <w:vMerge w:val="restart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facts about linear transformations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statements about null space and range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  <w:highlight w:val="green"/>
              </w:rPr>
            </w:pPr>
            <w:r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 xml:space="preserve">Prove statements about injectivity and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  <w:highlight w:val="green"/>
              </w:rPr>
              <w:t>surjectivity</w:t>
            </w:r>
            <w:proofErr w:type="spellEnd"/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statements about isomorphisms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statements about invariant subspaces</w:t>
            </w:r>
          </w:p>
        </w:tc>
      </w:tr>
      <w:tr w:rsidR="00AC6792">
        <w:trPr>
          <w:trHeight w:val="500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500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340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205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205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205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205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500"/>
        </w:trPr>
        <w:tc>
          <w:tcPr>
            <w:tcW w:w="1875" w:type="dxa"/>
            <w:vMerge w:val="restart"/>
            <w:vAlign w:val="center"/>
          </w:tcPr>
          <w:p w:rsidR="00AC6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Vectors and Matrices</w:t>
            </w:r>
          </w:p>
        </w:tc>
        <w:tc>
          <w:tcPr>
            <w:tcW w:w="3540" w:type="dxa"/>
            <w:vMerge w:val="restart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Compute cross product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Compute dot product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Add and multiply matrices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Find the determinant of matrices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elementary matrices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nonsingular matrices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 matrices to solve systems of linear equations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eigenvectors and eigenvalues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diagonalizable matrix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similar matrices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algebraic and geometric multiplicity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conjugate transpose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orthonormal vectors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self-adjoint matrix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normal matrix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unitary matrix</w:t>
            </w:r>
          </w:p>
          <w:p w:rsidR="00AC6792" w:rsidRDefault="00000000">
            <w:pPr>
              <w:rPr>
                <w:rFonts w:ascii="Georgia" w:eastAsia="Georgia" w:hAnsi="Georgia" w:cs="Georgia"/>
                <w:i/>
                <w:sz w:val="18"/>
                <w:szCs w:val="18"/>
              </w:rPr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Define singular values</w:t>
            </w:r>
          </w:p>
        </w:tc>
        <w:tc>
          <w:tcPr>
            <w:tcW w:w="4860" w:type="dxa"/>
            <w:vMerge w:val="restart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Give geometric interpretation of cross product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Give geometric interpretation of dot product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 cross product and dot product to find equations of lines and planes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Understand matrices as linear transformations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Find an inverse matrix from elementary matrices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Find rotation matrices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 reduced row echelon form to solve systems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Find the eigenvalues of a matrix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Find the eigenvectors of a matrix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Apply algebraic and geometric multiplicity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Find orthonormal bases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Approximate solutions to inconsistent systems using least squares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State Schur’s Theorem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State Spectral Theorem</w:t>
            </w:r>
          </w:p>
          <w:p w:rsidR="00AC6792" w:rsidRDefault="00000000">
            <w:pPr>
              <w:rPr>
                <w:rFonts w:ascii="Georgia" w:eastAsia="Georgia" w:hAnsi="Georgia" w:cs="Georgia"/>
                <w:i/>
                <w:sz w:val="18"/>
                <w:szCs w:val="18"/>
              </w:rPr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State the Singular Value Decomposition</w:t>
            </w:r>
          </w:p>
          <w:p w:rsidR="00AC6792" w:rsidRDefault="00000000">
            <w:pPr>
              <w:rPr>
                <w:rFonts w:ascii="Georgia" w:eastAsia="Georgia" w:hAnsi="Georgia" w:cs="Georgia"/>
                <w:i/>
                <w:sz w:val="18"/>
                <w:szCs w:val="18"/>
              </w:rPr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Find Singular Value Decompositions</w:t>
            </w:r>
          </w:p>
        </w:tc>
        <w:tc>
          <w:tcPr>
            <w:tcW w:w="3990" w:type="dxa"/>
            <w:vMerge w:val="restart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Deduce properties of the determinant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 Law of Cosines to interpret dot product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statements about the determinant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 matrices to represent complex numbers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Derive inverse of 2x2 matrix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Represent linear transformations as matrices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Deduce properties of eigenvalues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statements about eigenvalues and eigenvectors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statements about diagonal matrices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statements about similar matrices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statements about normal and Hermitian matrices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Connect various attributes of matrices</w:t>
            </w:r>
          </w:p>
          <w:p w:rsidR="00AC6792" w:rsidRDefault="00000000">
            <w:pPr>
              <w:rPr>
                <w:rFonts w:ascii="Georgia" w:eastAsia="Georgia" w:hAnsi="Georgia" w:cs="Georgia"/>
                <w:i/>
                <w:sz w:val="18"/>
                <w:szCs w:val="18"/>
              </w:rPr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Approximate solutions to inconsistent systems using the Moore-Penrose pseudoinverse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Prove existence of SVD</w:t>
            </w:r>
          </w:p>
        </w:tc>
      </w:tr>
      <w:tr w:rsidR="00AC6792">
        <w:trPr>
          <w:trHeight w:val="500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500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560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340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320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300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205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225"/>
        </w:trPr>
        <w:tc>
          <w:tcPr>
            <w:tcW w:w="1875" w:type="dxa"/>
            <w:vMerge/>
            <w:vAlign w:val="center"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  <w:tc>
          <w:tcPr>
            <w:tcW w:w="354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90" w:type="dxa"/>
            <w:vMerge/>
          </w:tcPr>
          <w:p w:rsidR="00AC6792" w:rsidRDefault="00AC6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AC6792">
        <w:trPr>
          <w:trHeight w:val="480"/>
        </w:trPr>
        <w:tc>
          <w:tcPr>
            <w:tcW w:w="1875" w:type="dxa"/>
            <w:vAlign w:val="center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lastRenderedPageBreak/>
              <w:t>Polynomials</w:t>
            </w:r>
          </w:p>
        </w:tc>
        <w:tc>
          <w:tcPr>
            <w:tcW w:w="354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State the Fundamental Theorem of Algebra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Define characteristic polynomial</w:t>
            </w:r>
          </w:p>
        </w:tc>
        <w:tc>
          <w:tcPr>
            <w:tcW w:w="486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Apply the Fundamental Theorem of Algebra</w:t>
            </w:r>
          </w:p>
        </w:tc>
        <w:tc>
          <w:tcPr>
            <w:tcW w:w="399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Prove facts about zeroes of polynomials</w:t>
            </w:r>
          </w:p>
        </w:tc>
      </w:tr>
      <w:tr w:rsidR="00AC6792">
        <w:trPr>
          <w:trHeight w:val="500"/>
        </w:trPr>
        <w:tc>
          <w:tcPr>
            <w:tcW w:w="1875" w:type="dxa"/>
            <w:vAlign w:val="center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Proof Skills</w:t>
            </w:r>
          </w:p>
        </w:tc>
        <w:tc>
          <w:tcPr>
            <w:tcW w:w="354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Write valid arguments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Provide counterexamples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Consider converses</w:t>
            </w:r>
          </w:p>
        </w:tc>
        <w:tc>
          <w:tcPr>
            <w:tcW w:w="486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Write proofs by contrapositive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Write equality proofs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Write if and only if proofs</w:t>
            </w:r>
          </w:p>
        </w:tc>
        <w:tc>
          <w:tcPr>
            <w:tcW w:w="399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Use precise mathematical notation in proofs</w:t>
            </w:r>
          </w:p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Doesn’t prove false statements</w:t>
            </w:r>
          </w:p>
        </w:tc>
      </w:tr>
    </w:tbl>
    <w:p w:rsidR="00AC6792" w:rsidRDefault="00AC679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18"/>
          <w:szCs w:val="18"/>
        </w:rPr>
      </w:pPr>
    </w:p>
    <w:p w:rsidR="00AC6792" w:rsidRDefault="00000000">
      <w:pPr>
        <w:jc w:val="center"/>
        <w:rPr>
          <w:rFonts w:ascii="Georgia" w:eastAsia="Georgia" w:hAnsi="Georgia" w:cs="Georgia"/>
          <w:b/>
          <w:sz w:val="22"/>
          <w:szCs w:val="22"/>
        </w:rPr>
      </w:pPr>
      <w:r>
        <w:rPr>
          <w:rFonts w:ascii="Georgia" w:eastAsia="Georgia" w:hAnsi="Georgia" w:cs="Georgia"/>
          <w:b/>
          <w:sz w:val="22"/>
          <w:szCs w:val="22"/>
        </w:rPr>
        <w:t>Skills and Practices</w:t>
      </w:r>
    </w:p>
    <w:p w:rsidR="00AC6792" w:rsidRDefault="00AC6792">
      <w:pPr>
        <w:jc w:val="center"/>
        <w:rPr>
          <w:rFonts w:ascii="Georgia" w:eastAsia="Georgia" w:hAnsi="Georgia" w:cs="Georgia"/>
          <w:b/>
          <w:sz w:val="8"/>
          <w:szCs w:val="8"/>
        </w:rPr>
      </w:pPr>
    </w:p>
    <w:tbl>
      <w:tblPr>
        <w:tblStyle w:val="a0"/>
        <w:tblW w:w="14250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3840"/>
        <w:gridCol w:w="4350"/>
        <w:gridCol w:w="4575"/>
      </w:tblGrid>
      <w:tr w:rsidR="00AC6792">
        <w:tc>
          <w:tcPr>
            <w:tcW w:w="1485" w:type="dxa"/>
          </w:tcPr>
          <w:p w:rsidR="00AC6792" w:rsidRDefault="00AC6792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840" w:type="dxa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Foundational</w:t>
            </w:r>
          </w:p>
        </w:tc>
        <w:tc>
          <w:tcPr>
            <w:tcW w:w="4350" w:type="dxa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Proficient</w:t>
            </w:r>
          </w:p>
        </w:tc>
        <w:tc>
          <w:tcPr>
            <w:tcW w:w="4575" w:type="dxa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Exemplary</w:t>
            </w:r>
          </w:p>
        </w:tc>
      </w:tr>
      <w:tr w:rsidR="00AC6792">
        <w:trPr>
          <w:trHeight w:val="880"/>
        </w:trPr>
        <w:tc>
          <w:tcPr>
            <w:tcW w:w="1485" w:type="dxa"/>
            <w:vAlign w:val="center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Explore and </w:t>
            </w:r>
            <w:proofErr w:type="gramStart"/>
            <w:r>
              <w:rPr>
                <w:rFonts w:ascii="Georgia" w:eastAsia="Georgia" w:hAnsi="Georgia" w:cs="Georgia"/>
                <w:b/>
                <w:sz w:val="18"/>
                <w:szCs w:val="18"/>
              </w:rPr>
              <w:t>Organize</w:t>
            </w:r>
            <w:proofErr w:type="gramEnd"/>
          </w:p>
        </w:tc>
        <w:tc>
          <w:tcPr>
            <w:tcW w:w="384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makes use of the data that is presented with the problem, can solve familiar problems; generates some data about the problem/relationship with assistance</w:t>
            </w:r>
          </w:p>
        </w:tc>
        <w:tc>
          <w:tcPr>
            <w:tcW w:w="435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approaches a new problem and/or explores relationships by generating some data about the problem/relationship independently, organizes these data to find order</w:t>
            </w:r>
          </w:p>
        </w:tc>
        <w:tc>
          <w:tcPr>
            <w:tcW w:w="457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effectively generates data about mathematical situations and organizes these data to find order; identifies promising leads and builds on them; generates original lines of inquiry</w:t>
            </w:r>
          </w:p>
        </w:tc>
      </w:tr>
      <w:tr w:rsidR="00AC6792">
        <w:trPr>
          <w:trHeight w:val="680"/>
        </w:trPr>
        <w:tc>
          <w:tcPr>
            <w:tcW w:w="1485" w:type="dxa"/>
            <w:vAlign w:val="center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Generalize and Test</w:t>
            </w:r>
          </w:p>
        </w:tc>
        <w:tc>
          <w:tcPr>
            <w:tcW w:w="384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identifies simple patterns and can describe them informally by finding discrete solutions or relying on intuition</w:t>
            </w:r>
          </w:p>
        </w:tc>
        <w:tc>
          <w:tcPr>
            <w:tcW w:w="435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identifies patterns and can describe them formally with some justification and testing</w:t>
            </w:r>
          </w:p>
        </w:tc>
        <w:tc>
          <w:tcPr>
            <w:tcW w:w="457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identifies patterns and processes; describes, tests, and justifies them fully; student looks for patterns between different concepts</w:t>
            </w:r>
          </w:p>
        </w:tc>
      </w:tr>
      <w:tr w:rsidR="00AC6792">
        <w:trPr>
          <w:trHeight w:val="660"/>
        </w:trPr>
        <w:tc>
          <w:tcPr>
            <w:tcW w:w="1485" w:type="dxa"/>
            <w:vAlign w:val="center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Abstract and </w:t>
            </w:r>
            <w:proofErr w:type="gramStart"/>
            <w:r>
              <w:rPr>
                <w:rFonts w:ascii="Georgia" w:eastAsia="Georgia" w:hAnsi="Georgia" w:cs="Georgia"/>
                <w:b/>
                <w:sz w:val="18"/>
                <w:szCs w:val="18"/>
              </w:rPr>
              <w:t>Symbolize</w:t>
            </w:r>
            <w:proofErr w:type="gramEnd"/>
          </w:p>
        </w:tc>
        <w:tc>
          <w:tcPr>
            <w:tcW w:w="384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beginning to decode and use formal notations and definitions</w:t>
            </w:r>
          </w:p>
        </w:tc>
        <w:tc>
          <w:tcPr>
            <w:tcW w:w="435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can consistently interpret and use many formal notations; defines terms precisely to express mathematical ideas</w:t>
            </w:r>
          </w:p>
        </w:tc>
        <w:tc>
          <w:tcPr>
            <w:tcW w:w="457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employs a wide variety of formal notations across different mathematical spaces; defines or invents terms to express mathematical ideas</w:t>
            </w:r>
          </w:p>
        </w:tc>
      </w:tr>
      <w:tr w:rsidR="00AC6792">
        <w:trPr>
          <w:trHeight w:val="880"/>
        </w:trPr>
        <w:tc>
          <w:tcPr>
            <w:tcW w:w="1485" w:type="dxa"/>
            <w:vAlign w:val="center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Represent and </w:t>
            </w:r>
            <w:proofErr w:type="gramStart"/>
            <w:r>
              <w:rPr>
                <w:rFonts w:ascii="Georgia" w:eastAsia="Georgia" w:hAnsi="Georgia" w:cs="Georgia"/>
                <w:b/>
                <w:sz w:val="18"/>
                <w:szCs w:val="18"/>
              </w:rPr>
              <w:t>Connect</w:t>
            </w:r>
            <w:proofErr w:type="gramEnd"/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840" w:type="dxa"/>
          </w:tcPr>
          <w:p w:rsidR="00AC6792" w:rsidRDefault="00000000">
            <w:pPr>
              <w:shd w:val="clear" w:color="auto" w:fill="FFFFFF"/>
              <w:spacing w:before="180" w:after="18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represents problems in a single way</w:t>
            </w:r>
          </w:p>
          <w:p w:rsidR="00AC6792" w:rsidRDefault="00AC6792">
            <w:pPr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35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works shows several different kinds of representation, including computational models when appropriate; can connect and synthesize topics with prompting</w:t>
            </w:r>
          </w:p>
        </w:tc>
        <w:tc>
          <w:tcPr>
            <w:tcW w:w="457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represents problems in multiple ways; sees math topics as a complete and connected network; computational models are used to gain insights</w:t>
            </w:r>
          </w:p>
        </w:tc>
      </w:tr>
      <w:tr w:rsidR="00AC6792">
        <w:trPr>
          <w:trHeight w:val="860"/>
        </w:trPr>
        <w:tc>
          <w:tcPr>
            <w:tcW w:w="1485" w:type="dxa"/>
            <w:vAlign w:val="center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Retrieve and </w:t>
            </w:r>
            <w:proofErr w:type="gramStart"/>
            <w:r>
              <w:rPr>
                <w:rFonts w:ascii="Georgia" w:eastAsia="Georgia" w:hAnsi="Georgia" w:cs="Georgia"/>
                <w:b/>
                <w:sz w:val="18"/>
                <w:szCs w:val="18"/>
              </w:rPr>
              <w:t>Strategize</w:t>
            </w:r>
            <w:proofErr w:type="gramEnd"/>
          </w:p>
        </w:tc>
        <w:tc>
          <w:tcPr>
            <w:tcW w:w="384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problem solving limited to familiar and current problems; problem solving process is algorithmic and rote rather than strategic</w:t>
            </w:r>
          </w:p>
        </w:tc>
        <w:tc>
          <w:tcPr>
            <w:tcW w:w="4350" w:type="dxa"/>
          </w:tcPr>
          <w:p w:rsidR="00AC6792" w:rsidRDefault="00000000">
            <w:pPr>
              <w:shd w:val="clear" w:color="auto" w:fill="FFFFFF"/>
              <w:spacing w:before="180" w:after="18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 xml:space="preserve">Student remembers and uses specific </w:t>
            </w:r>
            <w:proofErr w:type="gramStart"/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problem solving</w:t>
            </w:r>
            <w:proofErr w:type="gramEnd"/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 xml:space="preserve"> techniques/shortcuts; can solve problems in multiple ways</w:t>
            </w:r>
          </w:p>
        </w:tc>
        <w:tc>
          <w:tcPr>
            <w:tcW w:w="457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 xml:space="preserve">Student retrieves and strategically, creatively, and explicitly employs a variety of </w:t>
            </w:r>
            <w:proofErr w:type="gramStart"/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problem solving</w:t>
            </w:r>
            <w:proofErr w:type="gramEnd"/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 xml:space="preserve"> techniques; compares efficacy, efficiency, and elegance of different approaches</w:t>
            </w:r>
          </w:p>
        </w:tc>
      </w:tr>
      <w:tr w:rsidR="00AC6792">
        <w:trPr>
          <w:trHeight w:val="1120"/>
        </w:trPr>
        <w:tc>
          <w:tcPr>
            <w:tcW w:w="1485" w:type="dxa"/>
            <w:vAlign w:val="center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Proof</w:t>
            </w:r>
          </w:p>
        </w:tc>
        <w:tc>
          <w:tcPr>
            <w:tcW w:w="384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is starting to construct simple mathematical arguments; can explain thinking informally; can provide the building blocks of arguments, either in reasoning/assumptions or in mechanics</w:t>
            </w:r>
          </w:p>
        </w:tc>
        <w:tc>
          <w:tcPr>
            <w:tcW w:w="435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independently constructs simple mathematical arguments with some formal structure; arguments are mostly complete; can analyze the approaches of others</w:t>
            </w:r>
          </w:p>
        </w:tc>
        <w:tc>
          <w:tcPr>
            <w:tcW w:w="457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constructs complete mathematical arguments supporting significant conjectures; determines validity of and further develops the arguments of others</w:t>
            </w:r>
          </w:p>
        </w:tc>
      </w:tr>
      <w:tr w:rsidR="00AC6792">
        <w:trPr>
          <w:trHeight w:val="860"/>
        </w:trPr>
        <w:tc>
          <w:tcPr>
            <w:tcW w:w="1485" w:type="dxa"/>
            <w:vAlign w:val="center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Application</w:t>
            </w:r>
          </w:p>
        </w:tc>
        <w:tc>
          <w:tcPr>
            <w:tcW w:w="384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work follows problems through to their mathematical conclusion; attempts to apply those results to real world situations and/or new mathematical spaces</w:t>
            </w:r>
          </w:p>
        </w:tc>
        <w:tc>
          <w:tcPr>
            <w:tcW w:w="435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successfully applies the results of mathematical thinking to address real world situations</w:t>
            </w:r>
          </w:p>
        </w:tc>
        <w:tc>
          <w:tcPr>
            <w:tcW w:w="457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applies results of mathematical thinking to real world situations at a deeper level; looks for applications independently</w:t>
            </w:r>
          </w:p>
        </w:tc>
      </w:tr>
      <w:tr w:rsidR="00AC6792">
        <w:trPr>
          <w:trHeight w:val="880"/>
        </w:trPr>
        <w:tc>
          <w:tcPr>
            <w:tcW w:w="1485" w:type="dxa"/>
            <w:vAlign w:val="center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Clarity and Articulation</w:t>
            </w:r>
          </w:p>
        </w:tc>
        <w:tc>
          <w:tcPr>
            <w:tcW w:w="384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states and shows some work; can communicate part of the process when prompted</w:t>
            </w:r>
          </w:p>
        </w:tc>
        <w:tc>
          <w:tcPr>
            <w:tcW w:w="435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Student's work is clear enough to follow manipulations; higher level thinking process more difficult to discern; sometimes takes audience into account</w:t>
            </w:r>
          </w:p>
        </w:tc>
        <w:tc>
          <w:tcPr>
            <w:tcW w:w="457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Student's work is succinct and elegant; clearly communicates process and reasoning through multiple modes; effectively targets communication to appropriate audience</w:t>
            </w:r>
          </w:p>
        </w:tc>
      </w:tr>
      <w:tr w:rsidR="00AC6792">
        <w:trPr>
          <w:trHeight w:val="720"/>
        </w:trPr>
        <w:tc>
          <w:tcPr>
            <w:tcW w:w="1485" w:type="dxa"/>
            <w:vAlign w:val="center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Estimation, Precision and Accuracy</w:t>
            </w:r>
          </w:p>
        </w:tc>
        <w:tc>
          <w:tcPr>
            <w:tcW w:w="384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addresses accuracy errors with prompting; is beginning to use estimation as a tool to check for reasonability of solutions</w:t>
            </w:r>
          </w:p>
        </w:tc>
        <w:tc>
          <w:tcPr>
            <w:tcW w:w="4350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estimates and checks solutions for reasonability independently; work is mostly correct and precise</w:t>
            </w:r>
          </w:p>
        </w:tc>
        <w:tc>
          <w:tcPr>
            <w:tcW w:w="457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is precise in all components of their mathematical work; critical thinking about estimation and assumptions is a natural part of their approach</w:t>
            </w:r>
          </w:p>
        </w:tc>
      </w:tr>
    </w:tbl>
    <w:p w:rsidR="00AC6792" w:rsidRDefault="00AC6792">
      <w:pPr>
        <w:rPr>
          <w:rFonts w:ascii="Georgia" w:eastAsia="Georgia" w:hAnsi="Georgia" w:cs="Georgia"/>
          <w:sz w:val="18"/>
          <w:szCs w:val="18"/>
        </w:rPr>
      </w:pPr>
    </w:p>
    <w:p w:rsidR="00AC6792" w:rsidRDefault="00AC6792">
      <w:pPr>
        <w:rPr>
          <w:rFonts w:ascii="Georgia" w:eastAsia="Georgia" w:hAnsi="Georgia" w:cs="Georgia"/>
          <w:sz w:val="18"/>
          <w:szCs w:val="18"/>
        </w:rPr>
      </w:pPr>
    </w:p>
    <w:p w:rsidR="00AC6792" w:rsidRDefault="00AC6792">
      <w:pPr>
        <w:rPr>
          <w:rFonts w:ascii="Georgia" w:eastAsia="Georgia" w:hAnsi="Georgia" w:cs="Georgia"/>
          <w:sz w:val="18"/>
          <w:szCs w:val="18"/>
        </w:rPr>
      </w:pPr>
    </w:p>
    <w:p w:rsidR="00AC6792" w:rsidRDefault="00AC6792">
      <w:pPr>
        <w:rPr>
          <w:rFonts w:ascii="Georgia" w:eastAsia="Georgia" w:hAnsi="Georgia" w:cs="Georgia"/>
          <w:sz w:val="18"/>
          <w:szCs w:val="18"/>
        </w:rPr>
      </w:pPr>
    </w:p>
    <w:p w:rsidR="00AC6792" w:rsidRDefault="00AC6792">
      <w:pPr>
        <w:rPr>
          <w:rFonts w:ascii="Georgia" w:eastAsia="Georgia" w:hAnsi="Georgia" w:cs="Georgia"/>
          <w:sz w:val="18"/>
          <w:szCs w:val="18"/>
        </w:rPr>
      </w:pPr>
    </w:p>
    <w:p w:rsidR="00AC6792" w:rsidRDefault="00AC6792">
      <w:pPr>
        <w:rPr>
          <w:rFonts w:ascii="Georgia" w:eastAsia="Georgia" w:hAnsi="Georgia" w:cs="Georgia"/>
          <w:sz w:val="18"/>
          <w:szCs w:val="18"/>
        </w:rPr>
      </w:pPr>
    </w:p>
    <w:p w:rsidR="00AC6792" w:rsidRDefault="00AC6792">
      <w:pPr>
        <w:rPr>
          <w:rFonts w:ascii="Georgia" w:eastAsia="Georgia" w:hAnsi="Georgia" w:cs="Georgia"/>
          <w:sz w:val="18"/>
          <w:szCs w:val="18"/>
        </w:rPr>
      </w:pPr>
    </w:p>
    <w:p w:rsidR="00AC6792" w:rsidRDefault="00AC6792">
      <w:pPr>
        <w:rPr>
          <w:rFonts w:ascii="Georgia" w:eastAsia="Georgia" w:hAnsi="Georgia" w:cs="Georgia"/>
          <w:sz w:val="18"/>
          <w:szCs w:val="18"/>
        </w:rPr>
      </w:pPr>
    </w:p>
    <w:p w:rsidR="00AC6792" w:rsidRDefault="00AC6792">
      <w:pPr>
        <w:rPr>
          <w:rFonts w:ascii="Georgia" w:eastAsia="Georgia" w:hAnsi="Georgia" w:cs="Georgia"/>
          <w:sz w:val="18"/>
          <w:szCs w:val="18"/>
        </w:rPr>
      </w:pPr>
    </w:p>
    <w:p w:rsidR="00AC6792" w:rsidRDefault="00AC6792">
      <w:pPr>
        <w:rPr>
          <w:rFonts w:ascii="Georgia" w:eastAsia="Georgia" w:hAnsi="Georgia" w:cs="Georgia"/>
          <w:sz w:val="18"/>
          <w:szCs w:val="18"/>
        </w:rPr>
      </w:pPr>
    </w:p>
    <w:p w:rsidR="00AC6792" w:rsidRDefault="00000000">
      <w:pPr>
        <w:jc w:val="center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b/>
          <w:sz w:val="22"/>
          <w:szCs w:val="22"/>
        </w:rPr>
        <w:t>Habits of Learning</w:t>
      </w:r>
    </w:p>
    <w:p w:rsidR="00AC6792" w:rsidRDefault="00AC6792">
      <w:pPr>
        <w:jc w:val="center"/>
        <w:rPr>
          <w:rFonts w:ascii="Georgia" w:eastAsia="Georgia" w:hAnsi="Georgia" w:cs="Georgia"/>
          <w:sz w:val="8"/>
          <w:szCs w:val="8"/>
        </w:rPr>
      </w:pPr>
    </w:p>
    <w:tbl>
      <w:tblPr>
        <w:tblStyle w:val="a1"/>
        <w:tblW w:w="14190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3945"/>
        <w:gridCol w:w="4335"/>
        <w:gridCol w:w="4545"/>
      </w:tblGrid>
      <w:tr w:rsidR="00AC6792">
        <w:tc>
          <w:tcPr>
            <w:tcW w:w="1365" w:type="dxa"/>
          </w:tcPr>
          <w:p w:rsidR="00AC6792" w:rsidRDefault="00AC6792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945" w:type="dxa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Foundational</w:t>
            </w:r>
          </w:p>
        </w:tc>
        <w:tc>
          <w:tcPr>
            <w:tcW w:w="4335" w:type="dxa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Proficient</w:t>
            </w:r>
          </w:p>
        </w:tc>
        <w:tc>
          <w:tcPr>
            <w:tcW w:w="4545" w:type="dxa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Exemplary</w:t>
            </w:r>
          </w:p>
        </w:tc>
      </w:tr>
      <w:tr w:rsidR="00AC6792">
        <w:trPr>
          <w:trHeight w:val="1320"/>
        </w:trPr>
        <w:tc>
          <w:tcPr>
            <w:tcW w:w="1365" w:type="dxa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Growth Mindset</w:t>
            </w:r>
          </w:p>
        </w:tc>
        <w:tc>
          <w:tcPr>
            <w:tcW w:w="394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can meet minimum requirements with assistance and implement familiar procedures; engages with direction; can overcome setbacks with support; starting to ask questions and find personal engagement with material</w:t>
            </w:r>
          </w:p>
        </w:tc>
        <w:tc>
          <w:tcPr>
            <w:tcW w:w="433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meets minimum requirements and engages independently and consistently; when prompted, explores opportunities to take work to the next level; shows some resilience by seeking general help and using resources appropriately; responds to feedback to improve</w:t>
            </w:r>
          </w:p>
        </w:tc>
        <w:tc>
          <w:tcPr>
            <w:tcW w:w="454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takes ownership of learning and values self-exploration, intellectual growth, and challenge; approaches work with enthusiasm and takes intellectual risks; views struggle as opportunity for growth; is proactive in using resources flexibly and thoughtfully; seeks out feedback to improve</w:t>
            </w:r>
          </w:p>
        </w:tc>
      </w:tr>
      <w:tr w:rsidR="00AC6792">
        <w:trPr>
          <w:trHeight w:val="880"/>
        </w:trPr>
        <w:tc>
          <w:tcPr>
            <w:tcW w:w="1365" w:type="dxa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Community</w:t>
            </w:r>
          </w:p>
        </w:tc>
        <w:tc>
          <w:tcPr>
            <w:tcW w:w="394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can collaborate well with some peers; follows the norms, expectations, and rules of the class; participates when called upon</w:t>
            </w:r>
          </w:p>
        </w:tc>
        <w:tc>
          <w:tcPr>
            <w:tcW w:w="433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looks for opportunities to participate and collaborate effectively in a variety of group settings; student puts in effort to improve classroom culture</w:t>
            </w:r>
          </w:p>
        </w:tc>
        <w:tc>
          <w:tcPr>
            <w:tcW w:w="454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collaborates effectively with many different peers, soliciting, connecting, and building on the ideas of others; regularly promotes positive classroom culture and attitude about math</w:t>
            </w:r>
          </w:p>
        </w:tc>
      </w:tr>
      <w:tr w:rsidR="00AC6792">
        <w:trPr>
          <w:trHeight w:val="600"/>
        </w:trPr>
        <w:tc>
          <w:tcPr>
            <w:tcW w:w="1365" w:type="dxa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Reflection</w:t>
            </w:r>
          </w:p>
        </w:tc>
        <w:tc>
          <w:tcPr>
            <w:tcW w:w="394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 xml:space="preserve">Student reflection responds to some part of the prompt and generates some insight about </w:t>
            </w:r>
            <w:proofErr w:type="spellStart"/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self and/or</w:t>
            </w:r>
            <w:proofErr w:type="spellEnd"/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 xml:space="preserve"> math</w:t>
            </w:r>
          </w:p>
        </w:tc>
        <w:tc>
          <w:tcPr>
            <w:tcW w:w="433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reflection engages with the prompt; uses reflection to plan and reach goals</w:t>
            </w:r>
          </w:p>
          <w:p w:rsidR="00AC6792" w:rsidRDefault="00AC6792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54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reflection yields insights, connections, and specific areas of need; student reflects deeply as part of process beyond specific prompt</w:t>
            </w:r>
          </w:p>
        </w:tc>
      </w:tr>
      <w:tr w:rsidR="00AC6792">
        <w:trPr>
          <w:trHeight w:val="900"/>
        </w:trPr>
        <w:tc>
          <w:tcPr>
            <w:tcW w:w="1365" w:type="dxa"/>
          </w:tcPr>
          <w:p w:rsidR="00AC6792" w:rsidRDefault="00000000">
            <w:pPr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Academic Habits</w:t>
            </w:r>
          </w:p>
        </w:tc>
        <w:tc>
          <w:tcPr>
            <w:tcW w:w="3945" w:type="dxa"/>
          </w:tcPr>
          <w:p w:rsidR="00AC6792" w:rsidRDefault="00000000">
            <w:pPr>
              <w:shd w:val="clear" w:color="auto" w:fill="FFFFFF"/>
              <w:spacing w:before="180" w:after="18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takes notes with support; can find prior work and review it with prompting; completes most assignments; begins class when prompted</w:t>
            </w:r>
          </w:p>
        </w:tc>
        <w:tc>
          <w:tcPr>
            <w:tcW w:w="433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bookmarkStart w:id="0" w:name="_30j0zll" w:colFirst="0" w:colLast="0"/>
            <w:bookmarkEnd w:id="0"/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takes notes independently; finds and reviews past work; completes most assignments on time; ready for class independently and on time</w:t>
            </w:r>
          </w:p>
        </w:tc>
        <w:tc>
          <w:tcPr>
            <w:tcW w:w="4545" w:type="dxa"/>
          </w:tcPr>
          <w:p w:rsidR="00AC6792" w:rsidRDefault="00000000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A171B"/>
                <w:sz w:val="18"/>
                <w:szCs w:val="18"/>
              </w:rPr>
              <w:t>Student organizes prior work and accesses it independently to maintain and deepen understanding; work is turned in on time consistently; is productive and focused on learning for entirety of class</w:t>
            </w:r>
          </w:p>
        </w:tc>
      </w:tr>
    </w:tbl>
    <w:p w:rsidR="00AC6792" w:rsidRDefault="00AC6792">
      <w:pPr>
        <w:rPr>
          <w:rFonts w:ascii="Georgia" w:eastAsia="Georgia" w:hAnsi="Georgia" w:cs="Georgia"/>
          <w:b/>
          <w:sz w:val="18"/>
          <w:szCs w:val="18"/>
        </w:rPr>
      </w:pPr>
    </w:p>
    <w:p w:rsidR="00AC6792" w:rsidRDefault="00AC6792">
      <w:pPr>
        <w:spacing w:line="276" w:lineRule="auto"/>
        <w:rPr>
          <w:rFonts w:ascii="Georgia" w:eastAsia="Georgia" w:hAnsi="Georgia" w:cs="Georgia"/>
          <w:b/>
          <w:sz w:val="18"/>
          <w:szCs w:val="18"/>
        </w:rPr>
      </w:pPr>
    </w:p>
    <w:p w:rsidR="00AC6792" w:rsidRDefault="00AC6792">
      <w:pPr>
        <w:spacing w:line="276" w:lineRule="auto"/>
        <w:rPr>
          <w:rFonts w:ascii="Georgia" w:eastAsia="Georgia" w:hAnsi="Georgia" w:cs="Georgia"/>
          <w:b/>
          <w:sz w:val="18"/>
          <w:szCs w:val="18"/>
        </w:rPr>
      </w:pPr>
    </w:p>
    <w:p w:rsidR="00AC6792" w:rsidRDefault="00AC67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b/>
          <w:sz w:val="18"/>
          <w:szCs w:val="18"/>
        </w:rPr>
      </w:pPr>
    </w:p>
    <w:p w:rsidR="00AC6792" w:rsidRDefault="00AC679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18"/>
          <w:szCs w:val="18"/>
        </w:rPr>
      </w:pPr>
    </w:p>
    <w:sectPr w:rsidR="00AC6792">
      <w:headerReference w:type="even" r:id="rId6"/>
      <w:headerReference w:type="default" r:id="rId7"/>
      <w:headerReference w:type="first" r:id="rId8"/>
      <w:pgSz w:w="15840" w:h="12240" w:orient="landscape"/>
      <w:pgMar w:top="720" w:right="863" w:bottom="720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2F52" w:rsidRDefault="00D52F52" w:rsidP="00930C07">
      <w:r>
        <w:separator/>
      </w:r>
    </w:p>
  </w:endnote>
  <w:endnote w:type="continuationSeparator" w:id="0">
    <w:p w:rsidR="00D52F52" w:rsidRDefault="00D52F52" w:rsidP="0093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attrocento">
    <w:panose1 w:val="02020502030000000404"/>
    <w:charset w:val="00"/>
    <w:family w:val="roman"/>
    <w:pitch w:val="variable"/>
    <w:sig w:usb0="800000BF" w:usb1="4000004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2F52" w:rsidRDefault="00D52F52" w:rsidP="00930C07">
      <w:r>
        <w:separator/>
      </w:r>
    </w:p>
  </w:footnote>
  <w:footnote w:type="continuationSeparator" w:id="0">
    <w:p w:rsidR="00D52F52" w:rsidRDefault="00D52F52" w:rsidP="00930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0C07" w:rsidRDefault="00930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0C07" w:rsidRDefault="00930C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0C07" w:rsidRDefault="00930C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792"/>
    <w:rsid w:val="00930C07"/>
    <w:rsid w:val="00AC6792"/>
    <w:rsid w:val="00D5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0CEF8BC-C9CC-6C44-9088-B9B411CF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" w:eastAsia="Quattrocento" w:hAnsi="Quattrocento" w:cs="Quattrocento"/>
        <w:sz w:val="23"/>
        <w:szCs w:val="23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C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C07"/>
  </w:style>
  <w:style w:type="paragraph" w:styleId="Footer">
    <w:name w:val="footer"/>
    <w:basedOn w:val="Normal"/>
    <w:link w:val="FooterChar"/>
    <w:uiPriority w:val="99"/>
    <w:unhideWhenUsed/>
    <w:rsid w:val="00930C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1563</Words>
  <Characters>8911</Characters>
  <Application>Microsoft Office Word</Application>
  <DocSecurity>0</DocSecurity>
  <Lines>74</Lines>
  <Paragraphs>20</Paragraphs>
  <ScaleCrop>false</ScaleCrop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2023-10-16T19:26:00Z</dcterms:created>
  <dcterms:modified xsi:type="dcterms:W3CDTF">2023-10-16T19:27:00Z</dcterms:modified>
</cp:coreProperties>
</file>