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4"/>
        </w:rPr>
        <w:t>SUPERSTORE SALES &amp; PROFIT ANALYSIS</w:t>
      </w:r>
    </w:p>
    <w:p>
      <w:pPr>
        <w:jc w:val="center"/>
      </w:pPr>
      <w:r>
        <w:rPr>
          <w:color w:val="2F75B5"/>
          <w:sz w:val="26"/>
        </w:rPr>
        <w:t>Excel Dashboard and Business Insights Report</w:t>
      </w:r>
    </w:p>
    <w:p>
      <w:pPr>
        <w:spacing w:before="160"/>
        <w:jc w:val="center"/>
      </w:pPr>
      <w:r>
        <w:rPr>
          <w:i/>
          <w:color w:val="666666"/>
          <w:sz w:val="21"/>
        </w:rPr>
        <w:t>Future Interns - Data Analysis Project</w:t>
      </w:r>
    </w:p>
    <w:p>
      <w:pPr>
        <w:spacing w:before="320"/>
      </w:pPr>
      <w:r>
        <w:rPr>
          <w:b/>
          <w:color w:val="17365D"/>
          <w:sz w:val="24"/>
        </w:rPr>
        <w:t>Project Snapshot</w:t>
      </w:r>
    </w:p>
    <w:tbl>
      <w:tblPr>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7365D"/>
            <w:tcMar>
              <w:top w:w="80" w:type="dxa"/>
              <w:start w:w="90" w:type="dxa"/>
              <w:bottom w:w="80" w:type="dxa"/>
              <w:end w:w="90" w:type="dxa"/>
            </w:tcMar>
          </w:tcPr>
          <w:p>
            <w:r>
              <w:rPr>
                <w:b/>
                <w:color w:val="FFFFFF"/>
                <w:sz w:val="19"/>
              </w:rPr>
              <w:t>Metric</w:t>
            </w:r>
          </w:p>
        </w:tc>
        <w:tc>
          <w:tcPr>
            <w:tcW w:type="dxa" w:w="3312"/>
            <w:shd w:fill="17365D"/>
            <w:tcMar>
              <w:top w:w="80" w:type="dxa"/>
              <w:start w:w="90" w:type="dxa"/>
              <w:bottom w:w="80" w:type="dxa"/>
              <w:end w:w="90" w:type="dxa"/>
            </w:tcMar>
          </w:tcPr>
          <w:p>
            <w:r>
              <w:rPr>
                <w:b/>
                <w:color w:val="FFFFFF"/>
                <w:sz w:val="19"/>
              </w:rPr>
              <w:t>Result</w:t>
            </w:r>
          </w:p>
        </w:tc>
        <w:tc>
          <w:tcPr>
            <w:tcW w:type="dxa" w:w="3312"/>
            <w:shd w:fill="17365D"/>
            <w:tcMar>
              <w:top w:w="80" w:type="dxa"/>
              <w:start w:w="90" w:type="dxa"/>
              <w:bottom w:w="80" w:type="dxa"/>
              <w:end w:w="90" w:type="dxa"/>
            </w:tcMar>
          </w:tcPr>
          <w:p>
            <w:r>
              <w:rPr>
                <w:b/>
                <w:color w:val="FFFFFF"/>
                <w:sz w:val="19"/>
              </w:rPr>
              <w:t>Interpretation</w:t>
            </w:r>
          </w:p>
        </w:tc>
      </w:tr>
      <w:tr>
        <w:tc>
          <w:tcPr>
            <w:tcW w:type="dxa" w:w="3312"/>
            <w:tcMar>
              <w:top w:w="80" w:type="dxa"/>
              <w:start w:w="90" w:type="dxa"/>
              <w:bottom w:w="80" w:type="dxa"/>
              <w:end w:w="90" w:type="dxa"/>
            </w:tcMar>
            <w:vAlign w:val="center"/>
          </w:tcPr>
          <w:p>
            <w:r>
              <w:rPr>
                <w:b/>
              </w:rPr>
              <w:t>Total Sales</w:t>
            </w:r>
          </w:p>
        </w:tc>
        <w:tc>
          <w:tcPr>
            <w:tcW w:type="dxa" w:w="3312"/>
            <w:tcMar>
              <w:top w:w="80" w:type="dxa"/>
              <w:start w:w="90" w:type="dxa"/>
              <w:bottom w:w="80" w:type="dxa"/>
              <w:end w:w="90" w:type="dxa"/>
            </w:tcMar>
            <w:vAlign w:val="center"/>
          </w:tcPr>
          <w:p>
            <w:r>
              <w:rPr>
                <w:b/>
                <w:color w:val="2F75B5"/>
              </w:rPr>
              <w:t>₹2,297,200.86</w:t>
            </w:r>
          </w:p>
        </w:tc>
        <w:tc>
          <w:tcPr>
            <w:tcW w:type="dxa" w:w="3312"/>
            <w:tcMar>
              <w:top w:w="80" w:type="dxa"/>
              <w:start w:w="90" w:type="dxa"/>
              <w:bottom w:w="80" w:type="dxa"/>
              <w:end w:w="90" w:type="dxa"/>
            </w:tcMar>
            <w:vAlign w:val="center"/>
          </w:tcPr>
          <w:p>
            <w:r>
              <w:t>Overall revenue generated in the dataset</w:t>
            </w:r>
          </w:p>
        </w:tc>
      </w:tr>
      <w:tr>
        <w:tc>
          <w:tcPr>
            <w:tcW w:type="dxa" w:w="3312"/>
            <w:tcMar>
              <w:top w:w="80" w:type="dxa"/>
              <w:start w:w="90" w:type="dxa"/>
              <w:bottom w:w="80" w:type="dxa"/>
              <w:end w:w="90" w:type="dxa"/>
            </w:tcMar>
            <w:vAlign w:val="center"/>
          </w:tcPr>
          <w:p>
            <w:r>
              <w:rPr>
                <w:b/>
              </w:rPr>
              <w:t>Total Profit</w:t>
            </w:r>
          </w:p>
        </w:tc>
        <w:tc>
          <w:tcPr>
            <w:tcW w:type="dxa" w:w="3312"/>
            <w:tcMar>
              <w:top w:w="80" w:type="dxa"/>
              <w:start w:w="90" w:type="dxa"/>
              <w:bottom w:w="80" w:type="dxa"/>
              <w:end w:w="90" w:type="dxa"/>
            </w:tcMar>
            <w:vAlign w:val="center"/>
          </w:tcPr>
          <w:p>
            <w:r>
              <w:rPr>
                <w:b/>
                <w:color w:val="2F75B5"/>
              </w:rPr>
              <w:t>₹286,397.02</w:t>
            </w:r>
          </w:p>
        </w:tc>
        <w:tc>
          <w:tcPr>
            <w:tcW w:type="dxa" w:w="3312"/>
            <w:tcMar>
              <w:top w:w="80" w:type="dxa"/>
              <w:start w:w="90" w:type="dxa"/>
              <w:bottom w:w="80" w:type="dxa"/>
              <w:end w:w="90" w:type="dxa"/>
            </w:tcMar>
            <w:vAlign w:val="center"/>
          </w:tcPr>
          <w:p>
            <w:r>
              <w:t>Overall profit across the analyzed records</w:t>
            </w:r>
          </w:p>
        </w:tc>
      </w:tr>
      <w:tr>
        <w:tc>
          <w:tcPr>
            <w:tcW w:type="dxa" w:w="3312"/>
            <w:tcMar>
              <w:top w:w="80" w:type="dxa"/>
              <w:start w:w="90" w:type="dxa"/>
              <w:bottom w:w="80" w:type="dxa"/>
              <w:end w:w="90" w:type="dxa"/>
            </w:tcMar>
            <w:vAlign w:val="center"/>
          </w:tcPr>
          <w:p>
            <w:r>
              <w:rPr>
                <w:b/>
              </w:rPr>
              <w:t>Profit Margin</w:t>
            </w:r>
          </w:p>
        </w:tc>
        <w:tc>
          <w:tcPr>
            <w:tcW w:type="dxa" w:w="3312"/>
            <w:tcMar>
              <w:top w:w="80" w:type="dxa"/>
              <w:start w:w="90" w:type="dxa"/>
              <w:bottom w:w="80" w:type="dxa"/>
              <w:end w:w="90" w:type="dxa"/>
            </w:tcMar>
            <w:vAlign w:val="center"/>
          </w:tcPr>
          <w:p>
            <w:r>
              <w:rPr>
                <w:b/>
                <w:color w:val="2F75B5"/>
              </w:rPr>
              <w:t>12.47%</w:t>
            </w:r>
          </w:p>
        </w:tc>
        <w:tc>
          <w:tcPr>
            <w:tcW w:type="dxa" w:w="3312"/>
            <w:tcMar>
              <w:top w:w="80" w:type="dxa"/>
              <w:start w:w="90" w:type="dxa"/>
              <w:bottom w:w="80" w:type="dxa"/>
              <w:end w:w="90" w:type="dxa"/>
            </w:tcMar>
            <w:vAlign w:val="center"/>
          </w:tcPr>
          <w:p>
            <w:r>
              <w:t>Profit generated per ₹100 of sales</w:t>
            </w:r>
          </w:p>
        </w:tc>
      </w:tr>
      <w:tr>
        <w:tc>
          <w:tcPr>
            <w:tcW w:type="dxa" w:w="3312"/>
            <w:tcMar>
              <w:top w:w="80" w:type="dxa"/>
              <w:start w:w="90" w:type="dxa"/>
              <w:bottom w:w="80" w:type="dxa"/>
              <w:end w:w="90" w:type="dxa"/>
            </w:tcMar>
            <w:vAlign w:val="center"/>
          </w:tcPr>
          <w:p>
            <w:r>
              <w:rPr>
                <w:b/>
              </w:rPr>
              <w:t>Unique Orders</w:t>
            </w:r>
          </w:p>
        </w:tc>
        <w:tc>
          <w:tcPr>
            <w:tcW w:type="dxa" w:w="3312"/>
            <w:tcMar>
              <w:top w:w="80" w:type="dxa"/>
              <w:start w:w="90" w:type="dxa"/>
              <w:bottom w:w="80" w:type="dxa"/>
              <w:end w:w="90" w:type="dxa"/>
            </w:tcMar>
            <w:vAlign w:val="center"/>
          </w:tcPr>
          <w:p>
            <w:r>
              <w:rPr>
                <w:b/>
                <w:color w:val="2F75B5"/>
              </w:rPr>
              <w:t>5,009</w:t>
            </w:r>
          </w:p>
        </w:tc>
        <w:tc>
          <w:tcPr>
            <w:tcW w:type="dxa" w:w="3312"/>
            <w:tcMar>
              <w:top w:w="80" w:type="dxa"/>
              <w:start w:w="90" w:type="dxa"/>
              <w:bottom w:w="80" w:type="dxa"/>
              <w:end w:w="90" w:type="dxa"/>
            </w:tcMar>
            <w:vAlign w:val="center"/>
          </w:tcPr>
          <w:p>
            <w:r>
              <w:t>Distinct orders identified</w:t>
            </w:r>
          </w:p>
        </w:tc>
      </w:tr>
      <w:tr>
        <w:tc>
          <w:tcPr>
            <w:tcW w:type="dxa" w:w="3312"/>
            <w:tcMar>
              <w:top w:w="80" w:type="dxa"/>
              <w:start w:w="90" w:type="dxa"/>
              <w:bottom w:w="80" w:type="dxa"/>
              <w:end w:w="90" w:type="dxa"/>
            </w:tcMar>
            <w:vAlign w:val="center"/>
          </w:tcPr>
          <w:p>
            <w:r>
              <w:rPr>
                <w:b/>
              </w:rPr>
              <w:t>Total Quantity</w:t>
            </w:r>
          </w:p>
        </w:tc>
        <w:tc>
          <w:tcPr>
            <w:tcW w:type="dxa" w:w="3312"/>
            <w:tcMar>
              <w:top w:w="80" w:type="dxa"/>
              <w:start w:w="90" w:type="dxa"/>
              <w:bottom w:w="80" w:type="dxa"/>
              <w:end w:w="90" w:type="dxa"/>
            </w:tcMar>
            <w:vAlign w:val="center"/>
          </w:tcPr>
          <w:p>
            <w:r>
              <w:rPr>
                <w:b/>
                <w:color w:val="2F75B5"/>
              </w:rPr>
              <w:t>37,873</w:t>
            </w:r>
          </w:p>
        </w:tc>
        <w:tc>
          <w:tcPr>
            <w:tcW w:type="dxa" w:w="3312"/>
            <w:tcMar>
              <w:top w:w="80" w:type="dxa"/>
              <w:start w:w="90" w:type="dxa"/>
              <w:bottom w:w="80" w:type="dxa"/>
              <w:end w:w="90" w:type="dxa"/>
            </w:tcMar>
            <w:vAlign w:val="center"/>
          </w:tcPr>
          <w:p>
            <w:r>
              <w:t>Total units sold</w:t>
            </w:r>
          </w:p>
        </w:tc>
      </w:tr>
      <w:tr>
        <w:tc>
          <w:tcPr>
            <w:tcW w:type="dxa" w:w="3312"/>
            <w:tcMar>
              <w:top w:w="80" w:type="dxa"/>
              <w:start w:w="90" w:type="dxa"/>
              <w:bottom w:w="80" w:type="dxa"/>
              <w:end w:w="90" w:type="dxa"/>
            </w:tcMar>
            <w:vAlign w:val="center"/>
          </w:tcPr>
          <w:p>
            <w:r>
              <w:rPr>
                <w:b/>
              </w:rPr>
              <w:t>Total Sales Records</w:t>
            </w:r>
          </w:p>
        </w:tc>
        <w:tc>
          <w:tcPr>
            <w:tcW w:type="dxa" w:w="3312"/>
            <w:tcMar>
              <w:top w:w="80" w:type="dxa"/>
              <w:start w:w="90" w:type="dxa"/>
              <w:bottom w:w="80" w:type="dxa"/>
              <w:end w:w="90" w:type="dxa"/>
            </w:tcMar>
            <w:vAlign w:val="center"/>
          </w:tcPr>
          <w:p>
            <w:r>
              <w:rPr>
                <w:b/>
                <w:color w:val="2F75B5"/>
              </w:rPr>
              <w:t>9,994</w:t>
            </w:r>
          </w:p>
        </w:tc>
        <w:tc>
          <w:tcPr>
            <w:tcW w:type="dxa" w:w="3312"/>
            <w:tcMar>
              <w:top w:w="80" w:type="dxa"/>
              <w:start w:w="90" w:type="dxa"/>
              <w:bottom w:w="80" w:type="dxa"/>
              <w:end w:w="90" w:type="dxa"/>
            </w:tcMar>
            <w:vAlign w:val="center"/>
          </w:tcPr>
          <w:p>
            <w:r>
              <w:t>Transaction-level records available</w:t>
            </w:r>
          </w:p>
        </w:tc>
      </w:tr>
      <w:tr>
        <w:tc>
          <w:tcPr>
            <w:tcW w:type="dxa" w:w="3312"/>
            <w:tcMar>
              <w:top w:w="80" w:type="dxa"/>
              <w:start w:w="90" w:type="dxa"/>
              <w:bottom w:w="80" w:type="dxa"/>
              <w:end w:w="90" w:type="dxa"/>
            </w:tcMar>
            <w:vAlign w:val="center"/>
          </w:tcPr>
          <w:p>
            <w:r>
              <w:rPr>
                <w:b/>
              </w:rPr>
              <w:t>Average Order Value</w:t>
            </w:r>
          </w:p>
        </w:tc>
        <w:tc>
          <w:tcPr>
            <w:tcW w:type="dxa" w:w="3312"/>
            <w:tcMar>
              <w:top w:w="80" w:type="dxa"/>
              <w:start w:w="90" w:type="dxa"/>
              <w:bottom w:w="80" w:type="dxa"/>
              <w:end w:w="90" w:type="dxa"/>
            </w:tcMar>
            <w:vAlign w:val="center"/>
          </w:tcPr>
          <w:p>
            <w:r>
              <w:rPr>
                <w:b/>
                <w:color w:val="2F75B5"/>
              </w:rPr>
              <w:t>₹458.61</w:t>
            </w:r>
          </w:p>
        </w:tc>
        <w:tc>
          <w:tcPr>
            <w:tcW w:type="dxa" w:w="3312"/>
            <w:tcMar>
              <w:top w:w="80" w:type="dxa"/>
              <w:start w:w="90" w:type="dxa"/>
              <w:bottom w:w="80" w:type="dxa"/>
              <w:end w:w="90" w:type="dxa"/>
            </w:tcMar>
            <w:vAlign w:val="center"/>
          </w:tcPr>
          <w:p>
            <w:r>
              <w:t>Average sales value per unique order</w:t>
            </w:r>
          </w:p>
        </w:tc>
      </w:tr>
    </w:tbl>
    <w:p>
      <w:pPr>
        <w:spacing w:before="200"/>
      </w:pPr>
      <w:r>
        <w:rPr>
          <w:b/>
        </w:rPr>
        <w:t xml:space="preserve">Note: </w:t>
      </w:r>
      <w:r>
        <w:t>Values are based on the cleaned Superstore sales data and the PivotTable analysis completed in Excel.</w:t>
      </w:r>
    </w:p>
    <w:p>
      <w:pPr>
        <w:pStyle w:val="Heading1"/>
        <w:pBdr>
          <w:bottom w:val="single" w:sz="6" w:space="4" w:color="D9EAF7"/>
        </w:pBdr>
      </w:pPr>
      <w:r>
        <w:t>1. Introduction</w:t>
      </w:r>
    </w:p>
    <w:p>
      <w:r>
        <w:rPr>
          <w:b/>
        </w:rPr>
        <w:t xml:space="preserve">Objective. </w:t>
      </w:r>
      <w:r>
        <w:t>The purpose of this project was to analyze Superstore sales data and convert the raw transaction records into useful business information. The analysis focused on revenue trends, product performance, category performance, regional performance, and profitability. The final output was an interactive Excel dashboard designed to support quick business review.</w:t>
      </w:r>
    </w:p>
    <w:p>
      <w:r>
        <w:rPr>
          <w:b/>
        </w:rPr>
        <w:t xml:space="preserve">Approach. </w:t>
      </w:r>
      <w:r>
        <w:t>The work was completed in Excel using formulas, helper columns, PivotTables, PivotCharts, sorting/filtering, and slicers. The process was kept practical so that the same steps could be reproduced from the original dataset.</w:t>
      </w:r>
    </w:p>
    <w:p>
      <w:pPr>
        <w:pStyle w:val="Heading1"/>
        <w:pBdr>
          <w:bottom w:val="single" w:sz="6" w:space="4" w:color="D9EAF7"/>
        </w:pBdr>
      </w:pPr>
      <w:r>
        <w:t>2. Dataset Overview</w:t>
      </w:r>
    </w:p>
    <w:p>
      <w:r>
        <w:t>The dataset contains transaction-level retail sales information. For the analysis, the main fields used were Order Date, Order ID, Product Name, Category, Region, Sales, Profit, and Quantity. A Year-Month helper field was created to support monthly trend analysis, and a Year field was added for date-based filtering and future dashboard expansion.</w:t>
      </w:r>
    </w:p>
    <w:p>
      <w:pPr>
        <w:pStyle w:val="Heading1"/>
        <w:pBdr>
          <w:bottom w:val="single" w:sz="6" w:space="4" w:color="D9EAF7"/>
        </w:pBdr>
      </w:pPr>
      <w:r>
        <w:t>3. Data Preparation</w:t>
      </w:r>
    </w:p>
    <w:p>
      <w:pPr>
        <w:ind w:left="288" w:hanging="216"/>
      </w:pPr>
      <w:r>
        <w:rPr>
          <w:b/>
        </w:rPr>
        <w:t xml:space="preserve">• </w:t>
      </w:r>
      <w:r>
        <w:t>Reviewed the sales and date fields and retained the original transaction records.</w:t>
      </w:r>
    </w:p>
    <w:p>
      <w:pPr>
        <w:ind w:left="288" w:hanging="216"/>
      </w:pPr>
      <w:r>
        <w:rPr>
          <w:b/>
        </w:rPr>
        <w:t xml:space="preserve">• </w:t>
      </w:r>
      <w:r>
        <w:t>Created a Year-Month helper column from Order Date so that monthly totals could be grouped consistently.</w:t>
      </w:r>
    </w:p>
    <w:p>
      <w:pPr>
        <w:ind w:left="288" w:hanging="216"/>
      </w:pPr>
      <w:r>
        <w:rPr>
          <w:b/>
        </w:rPr>
        <w:t xml:space="preserve">• </w:t>
      </w:r>
      <w:r>
        <w:t>Created a Year helper column from Year-Month for future year-level filtering.</w:t>
      </w:r>
    </w:p>
    <w:p>
      <w:pPr>
        <w:ind w:left="288" w:hanging="216"/>
      </w:pPr>
      <w:r>
        <w:rPr>
          <w:b/>
        </w:rPr>
        <w:t xml:space="preserve">• </w:t>
      </w:r>
      <w:r>
        <w:t>Used PivotTables to summarize Sales and Profit by month, product, category, and region.</w:t>
      </w:r>
    </w:p>
    <w:p>
      <w:pPr>
        <w:ind w:left="288" w:hanging="216"/>
      </w:pPr>
      <w:r>
        <w:rPr>
          <w:b/>
        </w:rPr>
        <w:t xml:space="preserve">• </w:t>
      </w:r>
      <w:r>
        <w:t>Checked the resulting totals before using them in the dashboard.</w:t>
      </w:r>
    </w:p>
    <w:p>
      <w:pPr>
        <w:pStyle w:val="Heading1"/>
        <w:pBdr>
          <w:bottom w:val="single" w:sz="6" w:space="4" w:color="D9EAF7"/>
        </w:pBdr>
      </w:pPr>
      <w:r>
        <w:t>4. KPI Analysis</w:t>
      </w:r>
    </w:p>
    <w:p>
      <w:r>
        <w:t>The dashboard summarizes the business using seven KPIs. Total sales of ₹2.30 million and total profit of ₹286.40 thousand give a quick view of overall performance. The calculated profit margin is 12.47%, while 5,009 unique orders were identified from 9,994 sales records. The average order value is ₹458.61, and total quantity sold is 37,873 units.</w:t>
      </w:r>
    </w:p>
    <w:p>
      <w:r>
        <w:rPr>
          <w:b/>
        </w:rPr>
        <w:t xml:space="preserve">Business meaning. </w:t>
      </w:r>
      <w:r>
        <w:t>The KPI section provides a compact starting point for management review. Sales show the scale of revenue, profit and margin show financial efficiency, and order/quantity measures provide context about transaction volume.</w:t>
      </w:r>
    </w:p>
    <w:p>
      <w:pPr>
        <w:pStyle w:val="Heading1"/>
        <w:pBdr>
          <w:bottom w:val="single" w:sz="6" w:space="4" w:color="D9EAF7"/>
        </w:pBdr>
      </w:pPr>
      <w:r>
        <w:t>5. Sales Trend and Product Analysis</w:t>
      </w:r>
    </w:p>
    <w:p>
      <w:r>
        <w:t>The monthly sales PivotTable was used to create the Monthly Sales Revenue Trend chart. Converting Order Date into Year-Month made the trend easier to compare across the 2015–2018 period without showing every individual transaction date.</w:t>
      </w:r>
    </w:p>
    <w:p>
      <w:r>
        <w:rPr>
          <w:b/>
        </w:rPr>
        <w:t xml:space="preserve">Top-selling products. </w:t>
      </w:r>
      <w:r>
        <w:t>A Top 10 Products by Sales view was created using a PivotTable and value-based sorting. A horizontal bar chart was used because it makes long product names easier to compare. This view highlights the products contributing the most to revenue and provides a practical starting point for product-level decisions.</w:t>
      </w:r>
    </w:p>
    <w:p>
      <w:pPr>
        <w:pStyle w:val="Heading1"/>
        <w:pBdr>
          <w:bottom w:val="single" w:sz="6" w:space="4" w:color="D9EAF7"/>
        </w:pBdr>
      </w:pPr>
      <w:r>
        <w:t>6. Category and Regional Analysis</w:t>
      </w:r>
    </w:p>
    <w:p>
      <w:r>
        <w:rPr>
          <w:b/>
        </w:rPr>
        <w:t xml:space="preserve">Category performance. </w:t>
      </w:r>
      <w:r>
        <w:t>Sales and Profit were summarized separately by Category. Technology was identified as the highest-sales category in the completed analysis. Comparing sales and profit together is important because a category can generate strong revenue without necessarily delivering the strongest profitability.</w:t>
      </w:r>
    </w:p>
    <w:p>
      <w:r>
        <w:rPr>
          <w:b/>
        </w:rPr>
        <w:t xml:space="preserve">Regional performance. </w:t>
      </w:r>
      <w:r>
        <w:t>Regional PivotTables were created for both Sales and Profit. West recorded the highest profit at approximately ₹108.42 thousand, followed by East at ₹91.52 thousand, South at ₹46.75 thousand, and Central at ₹39.71 thousand.</w:t>
      </w:r>
    </w:p>
    <w:p>
      <w:r>
        <w:rPr>
          <w:b/>
        </w:rPr>
        <w:t>Regional profit summary</w:t>
      </w:r>
    </w:p>
    <w:tbl>
      <w:tblPr>
        <w:tblW w:type="auto" w:w="0"/>
        <w:jc w:val="center"/>
        <w:tblLook w:firstColumn="1" w:firstRow="1" w:lastColumn="0" w:lastRow="0" w:noHBand="0" w:noVBand="1" w:val="04A0"/>
      </w:tblPr>
      <w:tblGrid>
        <w:gridCol w:w="4968"/>
        <w:gridCol w:w="4968"/>
      </w:tblGrid>
      <w:tr>
        <w:tc>
          <w:tcPr>
            <w:tcW w:type="dxa" w:w="4968"/>
            <w:shd w:fill="D9EAF7"/>
            <w:tcMar>
              <w:top w:w="80" w:type="dxa"/>
              <w:start w:w="90" w:type="dxa"/>
              <w:bottom w:w="80" w:type="dxa"/>
              <w:end w:w="90" w:type="dxa"/>
            </w:tcMar>
          </w:tcPr>
          <w:p>
            <w:r>
              <w:rPr>
                <w:b/>
              </w:rPr>
              <w:t>Region</w:t>
            </w:r>
          </w:p>
        </w:tc>
        <w:tc>
          <w:tcPr>
            <w:tcW w:type="dxa" w:w="4968"/>
            <w:shd w:fill="D9EAF7"/>
            <w:tcMar>
              <w:top w:w="80" w:type="dxa"/>
              <w:start w:w="90" w:type="dxa"/>
              <w:bottom w:w="80" w:type="dxa"/>
              <w:end w:w="90" w:type="dxa"/>
            </w:tcMar>
          </w:tcPr>
          <w:p>
            <w:r>
              <w:rPr>
                <w:b/>
              </w:rPr>
              <w:t>Profit</w:t>
            </w:r>
          </w:p>
        </w:tc>
      </w:tr>
      <w:tr>
        <w:tc>
          <w:tcPr>
            <w:tcW w:type="dxa" w:w="4968"/>
            <w:tcMar>
              <w:top w:w="80" w:type="dxa"/>
              <w:start w:w="90" w:type="dxa"/>
              <w:bottom w:w="80" w:type="dxa"/>
              <w:end w:w="90" w:type="dxa"/>
            </w:tcMar>
          </w:tcPr>
          <w:p>
            <w:r>
              <w:t>West</w:t>
            </w:r>
          </w:p>
        </w:tc>
        <w:tc>
          <w:tcPr>
            <w:tcW w:type="dxa" w:w="4968"/>
            <w:tcMar>
              <w:top w:w="80" w:type="dxa"/>
              <w:start w:w="90" w:type="dxa"/>
              <w:bottom w:w="80" w:type="dxa"/>
              <w:end w:w="90" w:type="dxa"/>
            </w:tcMar>
          </w:tcPr>
          <w:p>
            <w:r>
              <w:t>₹108,418.45</w:t>
            </w:r>
          </w:p>
        </w:tc>
      </w:tr>
      <w:tr>
        <w:tc>
          <w:tcPr>
            <w:tcW w:type="dxa" w:w="4968"/>
            <w:tcMar>
              <w:top w:w="80" w:type="dxa"/>
              <w:start w:w="90" w:type="dxa"/>
              <w:bottom w:w="80" w:type="dxa"/>
              <w:end w:w="90" w:type="dxa"/>
            </w:tcMar>
          </w:tcPr>
          <w:p>
            <w:r>
              <w:t>East</w:t>
            </w:r>
          </w:p>
        </w:tc>
        <w:tc>
          <w:tcPr>
            <w:tcW w:type="dxa" w:w="4968"/>
            <w:tcMar>
              <w:top w:w="80" w:type="dxa"/>
              <w:start w:w="90" w:type="dxa"/>
              <w:bottom w:w="80" w:type="dxa"/>
              <w:end w:w="90" w:type="dxa"/>
            </w:tcMar>
          </w:tcPr>
          <w:p>
            <w:r>
              <w:t>₹91,522.78</w:t>
            </w:r>
          </w:p>
        </w:tc>
      </w:tr>
      <w:tr>
        <w:tc>
          <w:tcPr>
            <w:tcW w:type="dxa" w:w="4968"/>
            <w:tcMar>
              <w:top w:w="80" w:type="dxa"/>
              <w:start w:w="90" w:type="dxa"/>
              <w:bottom w:w="80" w:type="dxa"/>
              <w:end w:w="90" w:type="dxa"/>
            </w:tcMar>
          </w:tcPr>
          <w:p>
            <w:r>
              <w:t>South</w:t>
            </w:r>
          </w:p>
        </w:tc>
        <w:tc>
          <w:tcPr>
            <w:tcW w:type="dxa" w:w="4968"/>
            <w:tcMar>
              <w:top w:w="80" w:type="dxa"/>
              <w:start w:w="90" w:type="dxa"/>
              <w:bottom w:w="80" w:type="dxa"/>
              <w:end w:w="90" w:type="dxa"/>
            </w:tcMar>
          </w:tcPr>
          <w:p>
            <w:r>
              <w:t>₹46,749.43</w:t>
            </w:r>
          </w:p>
        </w:tc>
      </w:tr>
      <w:tr>
        <w:tc>
          <w:tcPr>
            <w:tcW w:type="dxa" w:w="4968"/>
            <w:tcMar>
              <w:top w:w="80" w:type="dxa"/>
              <w:start w:w="90" w:type="dxa"/>
              <w:bottom w:w="80" w:type="dxa"/>
              <w:end w:w="90" w:type="dxa"/>
            </w:tcMar>
          </w:tcPr>
          <w:p>
            <w:r>
              <w:t>Central</w:t>
            </w:r>
          </w:p>
        </w:tc>
        <w:tc>
          <w:tcPr>
            <w:tcW w:type="dxa" w:w="4968"/>
            <w:tcMar>
              <w:top w:w="80" w:type="dxa"/>
              <w:start w:w="90" w:type="dxa"/>
              <w:bottom w:w="80" w:type="dxa"/>
              <w:end w:w="90" w:type="dxa"/>
            </w:tcMar>
          </w:tcPr>
          <w:p>
            <w:r>
              <w:t>₹39,706.36</w:t>
            </w:r>
          </w:p>
        </w:tc>
      </w:tr>
      <w:tr>
        <w:tc>
          <w:tcPr>
            <w:tcW w:type="dxa" w:w="4968"/>
            <w:tcMar>
              <w:top w:w="80" w:type="dxa"/>
              <w:start w:w="90" w:type="dxa"/>
              <w:bottom w:w="80" w:type="dxa"/>
              <w:end w:w="90" w:type="dxa"/>
            </w:tcMar>
          </w:tcPr>
          <w:p>
            <w:r>
              <w:rPr>
                <w:b/>
              </w:rPr>
              <w:t>Total</w:t>
            </w:r>
          </w:p>
        </w:tc>
        <w:tc>
          <w:tcPr>
            <w:tcW w:type="dxa" w:w="4968"/>
            <w:tcMar>
              <w:top w:w="80" w:type="dxa"/>
              <w:start w:w="90" w:type="dxa"/>
              <w:bottom w:w="80" w:type="dxa"/>
              <w:end w:w="90" w:type="dxa"/>
            </w:tcMar>
          </w:tcPr>
          <w:p>
            <w:r>
              <w:rPr>
                <w:b/>
              </w:rPr>
              <w:t>₹286,397.02</w:t>
            </w:r>
          </w:p>
        </w:tc>
      </w:tr>
    </w:tbl>
    <w:p>
      <w:pPr>
        <w:pStyle w:val="Heading1"/>
        <w:pBdr>
          <w:bottom w:val="single" w:sz="6" w:space="4" w:color="D9EAF7"/>
        </w:pBdr>
      </w:pPr>
      <w:r>
        <w:t>7. Dashboard and Interactivity</w:t>
      </w:r>
    </w:p>
    <w:p>
      <w:r>
        <w:t>The final Excel dashboard combines the KPI cards, six analysis charts, and two slicers into one view. The charts include Monthly Sales Revenue Trend, Top 10 Products by Sales, Sales by Category, Sales by Region, Profit by Category, and Profit by Region.</w:t>
      </w:r>
    </w:p>
    <w:p>
      <w:r>
        <w:t>Interactive filtering was added using Region and Category slicers. The slicers are connected to the related PivotTables, allowing the connected charts to update when a selection is made. This makes the dashboard more useful for comparing different business segments without rebuilding the analysis each time.</w:t>
      </w:r>
    </w:p>
    <w:p>
      <w:pPr>
        <w:pStyle w:val="Heading1"/>
        <w:pBdr>
          <w:bottom w:val="single" w:sz="6" w:space="4" w:color="D9EAF7"/>
        </w:pBdr>
      </w:pPr>
      <w:r>
        <w:t>8. Key Business Insights</w:t>
      </w:r>
    </w:p>
    <w:p>
      <w:pPr>
        <w:ind w:left="288" w:hanging="216"/>
      </w:pPr>
      <w:r>
        <w:rPr>
          <w:b/>
        </w:rPr>
        <w:t xml:space="preserve">• </w:t>
      </w:r>
      <w:r>
        <w:t>West is the strongest region in terms of profit contribution, making it an important reference point for regional performance.</w:t>
      </w:r>
    </w:p>
    <w:p>
      <w:pPr>
        <w:ind w:left="288" w:hanging="216"/>
      </w:pPr>
      <w:r>
        <w:rPr>
          <w:b/>
        </w:rPr>
        <w:t xml:space="preserve">• </w:t>
      </w:r>
      <w:r>
        <w:t>Technology is the highest-sales category in the completed analysis, indicating strong revenue contribution from this category.</w:t>
      </w:r>
    </w:p>
    <w:p>
      <w:pPr>
        <w:ind w:left="288" w:hanging="216"/>
      </w:pPr>
      <w:r>
        <w:rPr>
          <w:b/>
        </w:rPr>
        <w:t xml:space="preserve">• </w:t>
      </w:r>
      <w:r>
        <w:t>The business generated ₹286.40 thousand in profit from ₹2.30 million in sales, resulting in a 12.47% profit margin.</w:t>
      </w:r>
    </w:p>
    <w:p>
      <w:pPr>
        <w:ind w:left="288" w:hanging="216"/>
      </w:pPr>
      <w:r>
        <w:rPr>
          <w:b/>
        </w:rPr>
        <w:t xml:space="preserve">• </w:t>
      </w:r>
      <w:r>
        <w:t>The monthly trend view helps identify periods of stronger and weaker sales and can support future seasonality or promotional analysis.</w:t>
      </w:r>
    </w:p>
    <w:p>
      <w:pPr>
        <w:ind w:left="288" w:hanging="216"/>
      </w:pPr>
      <w:r>
        <w:rPr>
          <w:b/>
        </w:rPr>
        <w:t xml:space="preserve">• </w:t>
      </w:r>
      <w:r>
        <w:t>The Top 10 Products analysis provides a focused view of the products driving revenue and can support inventory and product-prioritization decisions.</w:t>
      </w:r>
    </w:p>
    <w:p>
      <w:pPr>
        <w:ind w:left="288" w:hanging="216"/>
      </w:pPr>
      <w:r>
        <w:rPr>
          <w:b/>
        </w:rPr>
        <w:t xml:space="preserve">• </w:t>
      </w:r>
      <w:r>
        <w:t>Comparing sales and profit side by side is important for avoiding decisions based only on revenue.</w:t>
      </w:r>
    </w:p>
    <w:p>
      <w:pPr>
        <w:pStyle w:val="Heading1"/>
        <w:pBdr>
          <w:bottom w:val="single" w:sz="6" w:space="4" w:color="D9EAF7"/>
        </w:pBdr>
      </w:pPr>
      <w:r>
        <w:t>9. Recommendations and Next Steps</w:t>
      </w:r>
    </w:p>
    <w:p>
      <w:pPr>
        <w:ind w:left="288" w:hanging="216"/>
      </w:pPr>
      <w:r>
        <w:rPr>
          <w:b/>
        </w:rPr>
        <w:t xml:space="preserve">• </w:t>
      </w:r>
      <w:r>
        <w:t>Monitor the West region closely and study which products and categories are driving its higher profit contribution.</w:t>
      </w:r>
    </w:p>
    <w:p>
      <w:pPr>
        <w:ind w:left="288" w:hanging="216"/>
      </w:pPr>
      <w:r>
        <w:rPr>
          <w:b/>
        </w:rPr>
        <w:t xml:space="preserve">• </w:t>
      </w:r>
      <w:r>
        <w:t>Use the monthly trend as a baseline for future seasonality analysis and sales forecasting.</w:t>
      </w:r>
    </w:p>
    <w:p>
      <w:pPr>
        <w:ind w:left="288" w:hanging="216"/>
      </w:pPr>
      <w:r>
        <w:rPr>
          <w:b/>
        </w:rPr>
        <w:t xml:space="preserve">• </w:t>
      </w:r>
      <w:r>
        <w:t>Review high-sales products together with their profit contribution before making inventory or promotion decisions.</w:t>
      </w:r>
    </w:p>
    <w:p>
      <w:pPr>
        <w:ind w:left="288" w:hanging="216"/>
      </w:pPr>
      <w:r>
        <w:rPr>
          <w:b/>
        </w:rPr>
        <w:t xml:space="preserve">• </w:t>
      </w:r>
      <w:r>
        <w:t>Extend the dashboard later with a Year slicer or a date-range filter if the PivotTable source is standardized across all reports.</w:t>
      </w:r>
    </w:p>
    <w:p>
      <w:pPr>
        <w:ind w:left="288" w:hanging="216"/>
      </w:pPr>
      <w:r>
        <w:rPr>
          <w:b/>
        </w:rPr>
        <w:t xml:space="preserve">• </w:t>
      </w:r>
      <w:r>
        <w:t>Refresh the PivotTables whenever the source dataset is updated so that the dashboard remains current.</w:t>
      </w:r>
    </w:p>
    <w:p>
      <w:pPr>
        <w:pStyle w:val="Heading1"/>
        <w:pBdr>
          <w:bottom w:val="single" w:sz="6" w:space="4" w:color="D9EAF7"/>
        </w:pBdr>
      </w:pPr>
      <w:r>
        <w:t>10. Conclusion</w:t>
      </w:r>
    </w:p>
    <w:p>
      <w:r>
        <w:t>This project transformed raw Superstore transaction data into a structured sales and profitability analysis using Excel. The final dashboard brings together key performance indicators, trend analysis, product analysis, category analysis, regional analysis, and interactive filtering. The analysis shows that the business generated ₹2.30 million in sales and ₹286.40 thousand in profit, with a 12.47% profit margin. Overall, the dashboard provides a practical and repeatable way to review business performance and identify areas for further investigation.</w:t>
      </w:r>
    </w:p>
    <w:p>
      <w:pPr>
        <w:pStyle w:val="Heading1"/>
        <w:pBdr>
          <w:bottom w:val="single" w:sz="6" w:space="4" w:color="D9EAF7"/>
        </w:pBdr>
      </w:pPr>
      <w:r>
        <w:t>Tools Used</w:t>
      </w:r>
    </w:p>
    <w:p>
      <w:r>
        <w:t>Microsoft Excel - formulas, helper columns, PivotTables, PivotCharts, sorting/filtering, slicers, and dashboard formatting.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Prepared as part of the Future Interns data analysis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Superstore Sales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Superstore Sales &amp; Profit Analysis Report</dc:title>
  <dc:subject>Future Interns Data Analysis Project</dc:subject>
  <dc:creator>Student</dc:creator>
  <cp:keywords/>
  <dc:description>Prepared from Excel dashboard analysis.</dc:description>
  <cp:lastModifiedBy/>
  <cp:revision>1</cp:revision>
  <dcterms:created xsi:type="dcterms:W3CDTF">2013-12-23T23:15:00Z</dcterms:created>
  <dcterms:modified xsi:type="dcterms:W3CDTF">2013-12-23T23:15:00Z</dcterms:modified>
  <cp:category/>
</cp:coreProperties>
</file>