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14.png" ContentType="image/png"/>
  <Override PartName="/word/media/rId2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1d983cefca25022d9cde520a108c6e0df5f6043"/>
      <w:r>
        <w:t xml:space="preserve">Bottom-Up Reconstruction of the Chicago Speed-Camera Study</w:t>
      </w:r>
      <w:bookmarkEnd w:id="9"/>
    </w:p>
    <w:p>
      <w:pPr>
        <w:pStyle w:val="FirstParagraph"/>
      </w:pPr>
      <w:r>
        <w:rPr>
          <w:b/>
          <w:bCs/>
        </w:rPr>
        <w:t xml:space="preserve">Supplementary technical report · 27 October 2026</w:t>
      </w:r>
    </w:p>
    <w:p>
      <w:pPr>
        <w:pStyle w:val="BodyText"/>
      </w:pPr>
      <w:r>
        <w:rPr>
          <w:b/>
          <w:bCs/>
        </w:rPr>
        <w:t xml:space="preserve">Co-authors:</w:t>
      </w:r>
      <w:r>
        <w:t xml:space="preserve"> </w:t>
      </w:r>
      <w:r>
        <w:t xml:space="preserve">Saketh Donepudi and Amrutha Kakumani</w:t>
      </w:r>
    </w:p>
    <w:p>
      <w:pPr>
        <w:pStyle w:val="BodyText"/>
      </w:pPr>
      <w:r>
        <w:rPr>
          <w:i/>
          <w:iCs/>
        </w:rPr>
        <w:t xml:space="preserve">This supplement does not replace the existing 21-page working paper. It records</w:t>
      </w:r>
      <w:r>
        <w:rPr>
          <w:i/>
          <w:iCs/>
        </w:rPr>
        <w:t xml:space="preserve"> </w:t>
      </w:r>
      <w:r>
        <w:rPr>
          <w:i/>
          <w:iCs/>
        </w:rPr>
        <w:t xml:space="preserve">what changed when the project was rebuilt from the raw public data, and what did</w:t>
      </w:r>
      <w:r>
        <w:rPr>
          <w:i/>
          <w:iCs/>
        </w:rPr>
        <w:t xml:space="preserve"> </w:t>
      </w:r>
      <w:r>
        <w:rPr>
          <w:i/>
          <w:iCs/>
        </w:rPr>
        <w:t xml:space="preserve">not change. It is not peer reviewed.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motivation"/>
      <w:r>
        <w:t xml:space="preserve">1. Motivation</w:t>
      </w:r>
      <w:bookmarkEnd w:id="10"/>
    </w:p>
    <w:p>
      <w:pPr>
        <w:pStyle w:val="FirstParagraph"/>
      </w:pPr>
      <w:r>
        <w:t xml:space="preserve">The original study treated 2015-09 as the start of usable crash data and trained</w:t>
      </w:r>
      <w:r>
        <w:t xml:space="preserve"> </w:t>
      </w:r>
      <w:r>
        <w:t xml:space="preserve">V1/V2 forecasts from 2017-01. Both choices were reasonable before the portal</w:t>
      </w:r>
      <w:r>
        <w:t xml:space="preserve"> </w:t>
      </w:r>
      <w:r>
        <w:t xml:space="preserve">metadata was checked. The current official description is explicit: E-Crash data</w:t>
      </w:r>
      <w:r>
        <w:t xml:space="preserve"> </w:t>
      </w:r>
      <w:r>
        <w:t xml:space="preserve">exist for some Chicago police districts in 2015, but citywide coverage is not</w:t>
      </w:r>
      <w:r>
        <w:t xml:space="preserve"> </w:t>
      </w:r>
      <w:r>
        <w:t xml:space="preserve">available until</w:t>
      </w:r>
      <w:r>
        <w:t xml:space="preserve"> </w:t>
      </w:r>
      <w:r>
        <w:rPr>
          <w:b/>
          <w:bCs/>
        </w:rPr>
        <w:t xml:space="preserve">September 2017</w:t>
      </w:r>
      <w:r>
        <w:t xml:space="preserve">.</w:t>
      </w:r>
    </w:p>
    <w:p>
      <w:pPr>
        <w:pStyle w:val="BodyText"/>
      </w:pPr>
      <w:r>
        <w:t xml:space="preserve">That changes the meaning of the early panel. It does not merely remove a few</w:t>
      </w:r>
      <w:r>
        <w:t xml:space="preserve"> </w:t>
      </w:r>
      <w:r>
        <w:t xml:space="preserve">sparse months. It changes the composition of reported crashes, the injury share,</w:t>
      </w:r>
      <w:r>
        <w:t xml:space="preserve"> </w:t>
      </w:r>
      <w:r>
        <w:t xml:space="preserve">the pre-treatment history available to later cameras, and the population on which</w:t>
      </w:r>
      <w:r>
        <w:t xml:space="preserve"> </w:t>
      </w:r>
      <w:r>
        <w:t xml:space="preserve">a model is trained. The reconstruction therefore starts with the reporting</w:t>
      </w:r>
      <w:r>
        <w:t xml:space="preserve"> </w:t>
      </w:r>
      <w:r>
        <w:t xml:space="preserve">process, not with a new LightGBM configuration.</w:t>
      </w:r>
    </w:p>
    <w:p>
      <w:pPr>
        <w:pStyle w:val="BodyText"/>
      </w:pPr>
      <w:r>
        <w:t xml:space="preserve">The guiding rule is simple: do not make the analysis look stronger by treating</w:t>
      </w:r>
      <w:r>
        <w:t xml:space="preserve"> </w:t>
      </w:r>
      <w:r>
        <w:t xml:space="preserve">unobserved crashes as zeros, backfilling 2026 traffic exposure into 2017, or</w:t>
      </w:r>
      <w:r>
        <w:t xml:space="preserve"> </w:t>
      </w:r>
      <w:r>
        <w:t xml:space="preserve">comparing models trained on different populations as if their raw MAE ranked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6a0f1b48ce3fafc1c20c19bc53b39f1e35e8de8"/>
      <w:r>
        <w:t xml:space="preserve">2. Reporting completeness</w:t>
      </w:r>
      <w:bookmarkEnd w:id="11"/>
    </w:p>
    <w:p>
      <w:pPr>
        <w:pStyle w:val="Heading3"/>
      </w:pPr>
      <w:bookmarkStart w:id="12" w:name="_a4582b9e91b135261ab48a30bafebe0572f1d69"/>
      <w:r>
        <w:t xml:space="preserve">2.1 Official evidence</w:t>
      </w:r>
      <w:bookmarkEnd w:id="12"/>
    </w:p>
    <w:p>
      <w:pPr>
        <w:pStyle w:val="FirstParagraph"/>
      </w:pPr>
      <w:r>
        <w:t xml:space="preserve">The Chicago Data Portal description for</w:t>
      </w:r>
      <w:r>
        <w:t xml:space="preserve"> </w:t>
      </w:r>
      <w:r>
        <w:rPr>
          <w:rStyle w:val="VerbatimChar"/>
        </w:rPr>
        <w:t xml:space="preserve">85ca-t3if</w:t>
      </w:r>
      <w:r>
        <w:t xml:space="preserve"> </w:t>
      </w:r>
      <w:r>
        <w:t xml:space="preserve">states that citywide data are</w:t>
      </w:r>
      <w:r>
        <w:t xml:space="preserve"> </w:t>
      </w:r>
      <w:r>
        <w:t xml:space="preserve">not available until September 2017 and that records are added when a report is</w:t>
      </w:r>
      <w:r>
        <w:t xml:space="preserve"> </w:t>
      </w:r>
      <w:r>
        <w:t xml:space="preserve">finalized or amended. The portal does not expose a per-record finalization</w:t>
      </w:r>
      <w:r>
        <w:t xml:space="preserve"> </w:t>
      </w:r>
      <w:r>
        <w:t xml:space="preserve">timestamp. The current extract contains 1,107,461 rows; the preserved modeling</w:t>
      </w:r>
      <w:r>
        <w:t xml:space="preserve"> </w:t>
      </w:r>
      <w:r>
        <w:t xml:space="preserve">snapshot contains 1,106,882 rows. The current extract has 581 records added after</w:t>
      </w:r>
      <w:r>
        <w:t xml:space="preserve"> </w:t>
      </w:r>
      <w:r>
        <w:t xml:space="preserve">the snapshot and 2 records absent from it.</w:t>
      </w:r>
    </w:p>
    <w:p>
      <w:pPr>
        <w:pStyle w:val="Heading3"/>
      </w:pPr>
      <w:bookmarkStart w:id="13" w:name="_b647d257dc67c7a1206e57e9daff274d4c6d8bf"/>
      <w:r>
        <w:t xml:space="preserve">2.2 Empirical diagnostics</w:t>
      </w:r>
      <w:bookmarkEnd w:id="13"/>
    </w:p>
    <w:p>
      <w:pPr>
        <w:pStyle w:val="FirstParagraph"/>
      </w:pPr>
      <w:r>
        <w:t xml:space="preserve">The raw monthly count rises from 7,685 in August 2017 to 9,038 in September 2017</w:t>
      </w:r>
      <w:r>
        <w:t xml:space="preserve"> </w:t>
      </w:r>
      <w:r>
        <w:t xml:space="preserve">(+17.6%). The injury share rises from 13.8% to 15.7%. Across the adjacent</w:t>
      </w:r>
      <w:r>
        <w:t xml:space="preserve"> </w:t>
      </w:r>
      <w:r>
        <w:t xml:space="preserve">twelve-month windows, mean monthly crashes rise from 5,382 to 9,817 and mean</w:t>
      </w:r>
      <w:r>
        <w:t xml:space="preserve"> </w:t>
      </w:r>
      <w:r>
        <w:t xml:space="preserve">injury share from 7.7% to 14.1%.</w:t>
      </w:r>
    </w:p>
    <w:p>
      <w:pPr>
        <w:pStyle w:val="BodyText"/>
      </w:pPr>
      <w:r>
        <w:t xml:space="preserve">These are not interpreted as a real one-month safety shock. They are consistent</w:t>
      </w:r>
      <w:r>
        <w:t xml:space="preserve"> </w:t>
      </w:r>
      <w:r>
        <w:t xml:space="preserve">with the official reporting-regime change. All 22 CPD districts have at least one</w:t>
      </w:r>
      <w:r>
        <w:t xml:space="preserve"> </w:t>
      </w:r>
      <w:r>
        <w:t xml:space="preserve">record in every month from 2015-09 onward, including the pre-citywide period, so</w:t>
      </w:r>
      <w:r>
        <w:t xml:space="preserve"> </w:t>
      </w:r>
      <w:r>
        <w:t xml:space="preserve">district presence alone cannot measure completeness. That is why the reconstruction uses the</w:t>
      </w:r>
      <w:r>
        <w:t xml:space="preserve"> </w:t>
      </w:r>
      <w:r>
        <w:t xml:space="preserve">official metadata as the boundary and the monthly patterns only as corroborating</w:t>
      </w:r>
      <w:r>
        <w:t xml:space="preserve"> </w:t>
      </w:r>
      <w:r>
        <w:t xml:space="preserve">diagnostics.</w:t>
      </w:r>
    </w:p>
    <w:p>
      <w:pPr>
        <w:pStyle w:val="CaptionedFigure"/>
      </w:pPr>
      <w:r>
        <w:drawing>
          <wp:inline>
            <wp:extent cx="5334000" cy="2260768"/>
            <wp:effectExtent b="0" l="0" r="0" t="0"/>
            <wp:docPr descr="Monthly coverage" title="" id="15" name="Picture"/>
            <a:graphic>
              <a:graphicData uri="http://schemas.openxmlformats.org/drawingml/2006/picture">
                <pic:pic>
                  <pic:nvPicPr>
                    <pic:cNvPr descr="../results/bottom_up/figures/coverage_monthl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0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coverage</w:t>
      </w:r>
    </w:p>
    <w:p>
      <w:pPr>
        <w:pStyle w:val="Heading3"/>
      </w:pPr>
      <w:bookmarkStart w:id="17" w:name="_1efa316de6de40ecf9bd1a1f92e4ff2f77b0c7c"/>
      <w:r>
        <w:t xml:space="preserve">2.3 Other record-level limits</w:t>
      </w:r>
      <w:bookmarkEnd w:id="17"/>
    </w:p>
    <w:p>
      <w:pPr>
        <w:pStyle w:val="Compact"/>
        <w:numPr>
          <w:ilvl w:val="0"/>
          <w:numId w:val="1001"/>
        </w:numPr>
      </w:pPr>
      <w:r>
        <w:t xml:space="preserve">8,673 snapshot rows have missing coordinates; 75 have zero coordinates; 8,748</w:t>
      </w:r>
      <w:r>
        <w:t xml:space="preserve"> </w:t>
      </w:r>
      <w:r>
        <w:t xml:space="preserve">raw points fall outside the analysis bounding box.</w:t>
      </w:r>
    </w:p>
    <w:p>
      <w:pPr>
        <w:pStyle w:val="Compact"/>
        <w:numPr>
          <w:ilvl w:val="0"/>
          <w:numId w:val="1001"/>
        </w:numPr>
      </w:pPr>
      <w:r>
        <w:t xml:space="preserve">240 records are marked</w:t>
      </w:r>
      <w:r>
        <w:t xml:space="preserve"> </w:t>
      </w:r>
      <w:r>
        <w:rPr>
          <w:rStyle w:val="VerbatimChar"/>
        </w:rPr>
        <w:t xml:space="preserve">AMENDED</w:t>
      </w:r>
      <w:r>
        <w:t xml:space="preserve">; no before/after versions are available.</w:t>
      </w:r>
    </w:p>
    <w:p>
      <w:pPr>
        <w:pStyle w:val="Compact"/>
        <w:numPr>
          <w:ilvl w:val="0"/>
          <w:numId w:val="1001"/>
        </w:numPr>
      </w:pPr>
      <w:r>
        <w:t xml:space="preserve">Notification delay (</w:t>
      </w:r>
      <w:r>
        <w:rPr>
          <w:rStyle w:val="VerbatimChar"/>
        </w:rPr>
        <w:t xml:space="preserve">date_police_notified − crash_date</w:t>
      </w:r>
      <w:r>
        <w:t xml:space="preserve">) is short for most</w:t>
      </w:r>
      <w:r>
        <w:t xml:space="preserve"> </w:t>
      </w:r>
      <w:r>
        <w:t xml:space="preserve">records: median 0.02 days, p95 2.53 days, p99 9.17 days; 0.17% exceed 30 days.</w:t>
      </w:r>
      <w:r>
        <w:t xml:space="preserve"> </w:t>
      </w:r>
      <w:r>
        <w:t xml:space="preserve">This is not the same as portal finalization delay, which is unobservable.</w:t>
      </w:r>
    </w:p>
    <w:p>
      <w:pPr>
        <w:pStyle w:val="Compact"/>
        <w:numPr>
          <w:ilvl w:val="0"/>
          <w:numId w:val="1001"/>
        </w:numPr>
      </w:pPr>
      <w:r>
        <w:t xml:space="preserve">The last two source months (2026-09 and 2026-10) are marked incomplete; the</w:t>
      </w:r>
      <w:r>
        <w:t xml:space="preserve"> </w:t>
      </w:r>
      <w:r>
        <w:t xml:space="preserve">model window ends 2026-08.</w:t>
      </w:r>
    </w:p>
    <w:p>
      <w:pPr>
        <w:pStyle w:val="FirstParagraph"/>
      </w:pPr>
      <w:r>
        <w:t xml:space="preserve">The two-month operating lag is retained as a conservative rule. It is not</w:t>
      </w:r>
      <w:r>
        <w:t xml:space="preserve"> </w:t>
      </w:r>
      <w:r>
        <w:t xml:space="preserve">presented as a measured publication lag.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af38e72a85daf984fb03a1628226ef0704534f1"/>
      <w:r>
        <w:t xml:space="preserve">3. Revised data construction</w:t>
      </w:r>
      <w:bookmarkEnd w:id="18"/>
    </w:p>
    <w:p>
      <w:pPr>
        <w:pStyle w:val="Heading3"/>
      </w:pPr>
      <w:bookmarkStart w:id="19" w:name="_f030a1a5bf7f2ec9a6104d47587f909aeb336cb"/>
      <w:r>
        <w:t xml:space="preserve">3.1 Coverage-consistent camera-zone dataset</w:t>
      </w:r>
      <w:bookmarkEnd w:id="19"/>
    </w:p>
    <w:p>
      <w:pPr>
        <w:pStyle w:val="FirstParagraph"/>
      </w:pPr>
      <w:r>
        <w:t xml:space="preserve">The camera-zone design was rebuilt from</w:t>
      </w:r>
      <w:r>
        <w:t xml:space="preserve"> </w:t>
      </w:r>
      <w:r>
        <w:rPr>
          <w:rStyle w:val="VerbatimChar"/>
        </w:rPr>
        <w:t xml:space="preserve">StudyData.subset_start("2017-09-01")</w:t>
      </w:r>
      <w:r>
        <w:t xml:space="preserve">.</w:t>
      </w:r>
      <w:r>
        <w:t xml:space="preserve"> </w:t>
      </w:r>
      <w:r>
        <w:t xml:space="preserve">Controls were selected on the citywide period, not on the 2015–2017 partial</w:t>
      </w:r>
      <w:r>
        <w:t xml:space="preserve"> </w:t>
      </w:r>
      <w:r>
        <w:t xml:space="preserve">period. The target window starts in</w:t>
      </w:r>
      <w:r>
        <w:t xml:space="preserve"> </w:t>
      </w:r>
      <w:r>
        <w:rPr>
          <w:b/>
          <w:bCs/>
        </w:rPr>
        <w:t xml:space="preserve">2018-01</w:t>
      </w:r>
      <w:r>
        <w:t xml:space="preserve">, allowing at least four months of</w:t>
      </w:r>
      <w:r>
        <w:t xml:space="preserve"> </w:t>
      </w:r>
      <w:r>
        <w:t xml:space="preserve">history before the first target month and avoiding a target month with no lag</w:t>
      </w:r>
      <w:r>
        <w:t xml:space="preserve"> </w:t>
      </w:r>
      <w:r>
        <w:t xml:space="preserve">structure.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catchments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 sites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 (2018-01…2026-08)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Zero-crash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crashes per location-month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15,912 (2025-09…2026-08)</w:t>
            </w:r>
          </w:p>
        </w:tc>
      </w:tr>
    </w:tbl>
    <w:p>
      <w:pPr>
        <w:pStyle w:val="FirstParagraph"/>
      </w:pPr>
      <w:r>
        <w:t xml:space="preserve">This is not the same task as V1/V2. V1/V2 start in 2017-01 and contain eight</w:t>
      </w:r>
      <w:r>
        <w:t xml:space="preserve"> </w:t>
      </w:r>
      <w:r>
        <w:t xml:space="preserve">months of partial reporting. The coverage-consistent model is compared on the</w:t>
      </w:r>
      <w:r>
        <w:t xml:space="preserve"> </w:t>
      </w:r>
      <w:r>
        <w:t xml:space="preserve">common test location-months, not by assuming identical training populations.</w:t>
      </w:r>
    </w:p>
    <w:p>
      <w:pPr>
        <w:pStyle w:val="Heading3"/>
      </w:pPr>
      <w:bookmarkStart w:id="20" w:name="_d744410bc6f2ea621899d2f548c4b1bab2934c3"/>
      <w:r>
        <w:t xml:space="preserve">3.2 Road-segment dataset</w:t>
      </w:r>
      <w:bookmarkEnd w:id="20"/>
    </w:p>
    <w:p>
      <w:pPr>
        <w:pStyle w:val="FirstParagraph"/>
      </w:pPr>
      <w:r>
        <w:t xml:space="preserve">The road design uses TIGER/Line 2024 EDGES clipped to the union of Chicago</w:t>
      </w:r>
      <w:r>
        <w:t xml:space="preserve"> </w:t>
      </w:r>
      <w:r>
        <w:t xml:space="preserve">community areas:</w:t>
      </w:r>
    </w:p>
    <w:p>
      <w:pPr>
        <w:pStyle w:val="Compact"/>
        <w:numPr>
          <w:ilvl w:val="0"/>
          <w:numId w:val="1002"/>
        </w:numPr>
      </w:pPr>
      <w:r>
        <w:t xml:space="preserve">73,088 road segments; 3,126 major and 69,962 local.</w:t>
      </w:r>
    </w:p>
    <w:p>
      <w:pPr>
        <w:pStyle w:val="Compact"/>
        <w:numPr>
          <w:ilvl w:val="0"/>
          <w:numId w:val="1002"/>
        </w:numPr>
      </w:pPr>
      <w:r>
        <w:t xml:space="preserve">6,659 km of road; median segment length 54.9 m.</w:t>
      </w:r>
    </w:p>
    <w:p>
      <w:pPr>
        <w:pStyle w:val="Compact"/>
        <w:numPr>
          <w:ilvl w:val="0"/>
          <w:numId w:val="1002"/>
        </w:numPr>
      </w:pPr>
      <w:r>
        <w:t xml:space="preserve">98.9% of 2024 Cook segments existed as 2017 TLIDs; 6,633 older segments are</w:t>
      </w:r>
      <w:r>
        <w:t xml:space="preserve"> </w:t>
      </w:r>
      <w:r>
        <w:t xml:space="preserve">absent and 795 are new.</w:t>
      </w:r>
    </w:p>
    <w:p>
      <w:pPr>
        <w:pStyle w:val="FirstParagraph"/>
      </w:pPr>
      <w:r>
        <w:t xml:space="preserve">Crashes are assigned once to the nearest segment within 30 m. Of 982,255 in-city</w:t>
      </w:r>
      <w:r>
        <w:t xml:space="preserve"> </w:t>
      </w:r>
      <w:r>
        <w:t xml:space="preserve">crashes, 975,033 (99.26%) are assigned; 7,222 are unassigned; 331,234 (34.0%)</w:t>
      </w:r>
      <w:r>
        <w:t xml:space="preserve"> </w:t>
      </w:r>
      <w:r>
        <w:t xml:space="preserve">have a second segment within 5 m and are flagged ambiguous; 2,214 (0.23%) are</w:t>
      </w:r>
      <w:r>
        <w:t xml:space="preserve"> </w:t>
      </w:r>
      <w:r>
        <w:t xml:space="preserve">more than 20 m from the chosen segment.</w:t>
      </w:r>
    </w:p>
    <w:p>
      <w:pPr>
        <w:pStyle w:val="BodyText"/>
      </w:pPr>
      <w:r>
        <w:t xml:space="preserve">The modelling sample is all major segments plus 12,000 seeded random local</w:t>
      </w:r>
      <w:r>
        <w:t xml:space="preserve"> </w:t>
      </w:r>
      <w:r>
        <w:t xml:space="preserve">segments: 15,126 segments, 1,633,608 segment-months, 2,440 zero-crash segments,</w:t>
      </w:r>
      <w:r>
        <w:t xml:space="preserve"> </w:t>
      </w:r>
      <w:r>
        <w:t xml:space="preserve">and 23.6% of assigned crashes. This is a transparent sample, not a citywide road</w:t>
      </w:r>
      <w:r>
        <w:t xml:space="preserve"> </w:t>
      </w:r>
      <w:r>
        <w:t xml:space="preserve">census.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c37618ac4a8a65cc0e47532dad292490fea5bd2"/>
      <w:r>
        <w:t xml:space="preserve">4. Geographic representation</w:t>
      </w:r>
      <w:bookmarkEnd w:id="21"/>
    </w:p>
    <w:p>
      <w:pPr>
        <w:pStyle w:val="FirstParagraph"/>
      </w:pPr>
      <w:r>
        <w:t xml:space="preserve">The historical 250 m catchment is retained for comparability with the original</w:t>
      </w:r>
      <w:r>
        <w:t xml:space="preserve"> </w:t>
      </w:r>
      <w:r>
        <w:t xml:space="preserve">study. The road design is an additional prediction-oriented geography, not a</w:t>
      </w:r>
      <w:r>
        <w:t xml:space="preserve"> </w:t>
      </w:r>
      <w:r>
        <w:t xml:space="preserve">replacement for the causal design.</w:t>
      </w:r>
    </w:p>
    <w:p>
      <w:pPr>
        <w:pStyle w:val="BodyText"/>
      </w:pPr>
      <w:r>
        <w:t xml:space="preserve">The two geographies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Camera-zone</w:t>
            </w:r>
          </w:p>
        </w:tc>
        <w:tc>
          <w:tcPr/>
          <w:p>
            <w:pPr>
              <w:pStyle w:val="Compact"/>
            </w:pPr>
            <w:r>
              <w:t xml:space="preserve">Road-segment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 m around a camera or comparison site</w:t>
            </w:r>
          </w:p>
        </w:tc>
        <w:tc>
          <w:tcPr/>
          <w:p>
            <w:pPr>
              <w:pStyle w:val="Compact"/>
            </w:pPr>
            <w:r>
              <w:t xml:space="preserve">TIGER road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Crash-dense, non-random location set</w:t>
            </w:r>
          </w:p>
        </w:tc>
        <w:tc>
          <w:tcPr/>
          <w:p>
            <w:pPr>
              <w:pStyle w:val="Compact"/>
            </w:pPr>
            <w:r>
              <w:t xml:space="preserve">All major segments + seeded local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1,326 locations; 10.7% zeros</w:t>
            </w:r>
          </w:p>
        </w:tc>
        <w:tc>
          <w:tcPr/>
          <w:p>
            <w:pPr>
              <w:pStyle w:val="Compact"/>
            </w:pPr>
            <w:r>
              <w:t xml:space="preserve">15,126 sampled segments; 89.4% zeros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to the causal analysis</w:t>
            </w:r>
          </w:p>
        </w:tc>
        <w:tc>
          <w:tcPr/>
          <w:p>
            <w:pPr>
              <w:pStyle w:val="Compact"/>
            </w:pPr>
            <w:r>
              <w:t xml:space="preserve">Predictive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exposure denominator</w:t>
            </w:r>
          </w:p>
        </w:tc>
        <w:tc>
          <w:tcPr/>
          <w:p>
            <w:pPr>
              <w:pStyle w:val="Compact"/>
            </w:pPr>
            <w:r>
              <w:t xml:space="preserve">No exposure denominator</w:t>
            </w:r>
          </w:p>
        </w:tc>
      </w:tr>
    </w:tbl>
    <w:p>
      <w:pPr>
        <w:pStyle w:val="FirstParagraph"/>
      </w:pPr>
      <w:r>
        <w:t xml:space="preserve">The 2024 road geometry is not treated as a perfect 2017 map. The TIGER 2017</w:t>
      </w:r>
      <w:r>
        <w:t xml:space="preserve"> </w:t>
      </w:r>
      <w:r>
        <w:t xml:space="preserve">comparison documents both continuity and missing older segments. Historical</w:t>
      </w:r>
      <w:r>
        <w:t xml:space="preserve"> </w:t>
      </w:r>
      <w:r>
        <w:t xml:space="preserve">road-network changes remain a limitation at block-face level.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23994800f995365c8133a7fe8c15df8bfe11c2b"/>
      <w:r>
        <w:t xml:space="preserve">5. Traffic exposure</w:t>
      </w:r>
      <w:bookmarkEnd w:id="22"/>
    </w:p>
    <w:p>
      <w:pPr>
        <w:pStyle w:val="FirstParagraph"/>
      </w:pPr>
      <w:r>
        <w:t xml:space="preserve">The AADT dataset (</w:t>
      </w:r>
      <w:r>
        <w:rPr>
          <w:rStyle w:val="VerbatimChar"/>
        </w:rPr>
        <w:t xml:space="preserve">gc7y-n4xa</w:t>
      </w:r>
      <w:r>
        <w:t xml:space="preserve">) does not support the 2017–2026 forecast:</w:t>
      </w:r>
    </w:p>
    <w:p>
      <w:pPr>
        <w:pStyle w:val="Compact"/>
        <w:numPr>
          <w:ilvl w:val="0"/>
          <w:numId w:val="1003"/>
        </w:numPr>
      </w:pPr>
      <w:r>
        <w:t xml:space="preserve">The portal description says data begin in October 2020 and quality improves</w:t>
      </w:r>
      <w:r>
        <w:t xml:space="preserve"> </w:t>
      </w:r>
      <w:r>
        <w:t xml:space="preserve">from May 2026.</w:t>
      </w:r>
    </w:p>
    <w:p>
      <w:pPr>
        <w:pStyle w:val="Compact"/>
        <w:numPr>
          <w:ilvl w:val="0"/>
          <w:numId w:val="1003"/>
        </w:numPr>
      </w:pPr>
      <w:r>
        <w:t xml:space="preserve">The current extract actually begins in</w:t>
      </w:r>
      <w:r>
        <w:t xml:space="preserve"> </w:t>
      </w:r>
      <w:r>
        <w:rPr>
          <w:b/>
          <w:bCs/>
        </w:rPr>
        <w:t xml:space="preserve">July 2022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It contains 2,525 segment IDs and 83,232 segment-months.</w:t>
      </w:r>
    </w:p>
    <w:p>
      <w:pPr>
        <w:pStyle w:val="Compact"/>
        <w:numPr>
          <w:ilvl w:val="0"/>
          <w:numId w:val="1003"/>
        </w:numPr>
      </w:pPr>
      <w:r>
        <w:t xml:space="preserve">1,454 distinct 2024 road segments match within 50 m (2.0% of the 73,088 city</w:t>
      </w:r>
      <w:r>
        <w:t xml:space="preserve"> </w:t>
      </w:r>
      <w:r>
        <w:t xml:space="preserve">segments).</w:t>
      </w:r>
    </w:p>
    <w:p>
      <w:pPr>
        <w:pStyle w:val="Compact"/>
        <w:numPr>
          <w:ilvl w:val="0"/>
          <w:numId w:val="1003"/>
        </w:numPr>
      </w:pPr>
      <w:r>
        <w:t xml:space="preserve">199/209 camera locations have an AADT segment within 250 m, but the segment</w:t>
      </w:r>
      <w:r>
        <w:t xml:space="preserve"> </w:t>
      </w:r>
      <w:r>
        <w:t xml:space="preserve">identity and time coverage are not sufficient for a historical merge.</w:t>
      </w:r>
    </w:p>
    <w:p>
      <w:pPr>
        <w:pStyle w:val="Compact"/>
        <w:numPr>
          <w:ilvl w:val="0"/>
          <w:numId w:val="1003"/>
        </w:numPr>
      </w:pPr>
      <w:r>
        <w:t xml:space="preserve">Counts are camera-derived; using them as an exogenous exposure denominator</w:t>
      </w:r>
      <w:r>
        <w:t xml:space="preserve"> </w:t>
      </w:r>
      <w:r>
        <w:t xml:space="preserve">risks treatment-related measurement bias.</w:t>
      </w:r>
    </w:p>
    <w:p>
      <w:pPr>
        <w:pStyle w:val="FirstParagraph"/>
      </w:pPr>
      <w:r>
        <w:t xml:space="preserve">No 2017–2021 traffic denominator was manufactured. The final forecast remains</w:t>
      </w:r>
      <w:r>
        <w:t xml:space="preserve"> </w:t>
      </w:r>
      <w:r>
        <w:t xml:space="preserve">count-based, and the missing exposure is an explicit limitation. A normalized</w:t>
      </w:r>
      <w:r>
        <w:t xml:space="preserve"> </w:t>
      </w:r>
      <w:r>
        <w:t xml:space="preserve">crash rate is not reported for 2017–2021.</w:t>
      </w:r>
    </w:p>
    <w:p>
      <w:pPr>
        <w:pStyle w:val="CaptionedFigure"/>
      </w:pPr>
      <w:r>
        <w:drawing>
          <wp:inline>
            <wp:extent cx="5334000" cy="2092885"/>
            <wp:effectExtent b="0" l="0" r="0" t="0"/>
            <wp:docPr descr="AADT availability" title="" id="24" name="Picture"/>
            <a:graphic>
              <a:graphicData uri="http://schemas.openxmlformats.org/drawingml/2006/picture">
                <pic:pic>
                  <pic:nvPicPr>
                    <pic:cNvPr descr="../results/bottom_up/figures/exposure_availabilit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2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AADT availability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436e172852ed0982d1de794e3098dd625cefd45"/>
      <w:r>
        <w:t xml:space="preserve">6. Model experiments</w:t>
      </w:r>
      <w:bookmarkEnd w:id="26"/>
    </w:p>
    <w:p>
      <w:pPr>
        <w:pStyle w:val="Heading3"/>
      </w:pPr>
      <w:bookmarkStart w:id="27" w:name="_7b49fc952e94c6a5373ff5711b3be9eb1ef54b8"/>
      <w:r>
        <w:t xml:space="preserve">6.1 Declared protocol</w:t>
      </w:r>
      <w:bookmarkEnd w:id="27"/>
    </w:p>
    <w:p>
      <w:pPr>
        <w:pStyle w:val="FirstParagraph"/>
      </w:pPr>
      <w:r>
        <w:t xml:space="preserve">Before the final test evaluation, the following selection rule was fixed:</w:t>
      </w:r>
    </w:p>
    <w:p>
      <w:pPr>
        <w:pStyle w:val="Compact"/>
        <w:numPr>
          <w:ilvl w:val="0"/>
          <w:numId w:val="1004"/>
        </w:numPr>
      </w:pPr>
      <w:r>
        <w:t xml:space="preserve">a new model may replace the deployed V1 only if validation Poisson deviance</w:t>
      </w:r>
      <w:r>
        <w:t xml:space="preserve"> </w:t>
      </w:r>
      <w:r>
        <w:t xml:space="preserve">improves by at least</w:t>
      </w:r>
      <w:r>
        <w:t xml:space="preserve"> </w:t>
      </w:r>
      <w:r>
        <w:rPr>
          <w:b/>
          <w:bCs/>
        </w:rPr>
        <w:t xml:space="preserve">1%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test MAE must not regress by more than</w:t>
      </w:r>
      <w:r>
        <w:t xml:space="preserve"> </w:t>
      </w:r>
      <w:r>
        <w:rPr>
          <w:b/>
          <w:bCs/>
        </w:rPr>
        <w:t xml:space="preserve">2%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high-crash subgroup MAE must not regress by more than</w:t>
      </w:r>
      <w:r>
        <w:t xml:space="preserve"> </w:t>
      </w:r>
      <w:r>
        <w:rPr>
          <w:b/>
          <w:bCs/>
        </w:rPr>
        <w:t xml:space="preserve">2%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geographic holdout and calibration must remain acceptable.</w:t>
      </w:r>
    </w:p>
    <w:p>
      <w:pPr>
        <w:pStyle w:val="FirstParagraph"/>
      </w:pPr>
      <w:r>
        <w:t xml:space="preserve">This is the existing V2 rule, retained. The coverage-consistent experiments do</w:t>
      </w:r>
      <w:r>
        <w:t xml:space="preserve"> </w:t>
      </w:r>
      <w:r>
        <w:t xml:space="preserve">not change the threshold after seeing results.</w:t>
      </w:r>
    </w:p>
    <w:p>
      <w:pPr>
        <w:pStyle w:val="Heading3"/>
      </w:pPr>
      <w:bookmarkStart w:id="28" w:name="_45fa2871ae78d5b3c80918065765d1a964b259c"/>
      <w:r>
        <w:t xml:space="preserve">6.2 Feature ablation</w:t>
      </w:r>
      <w:bookmarkEnd w:id="28"/>
    </w:p>
    <w:p>
      <w:pPr>
        <w:pStyle w:val="FirstParagraph"/>
      </w:pPr>
      <w:r>
        <w:t xml:space="preserve">All ablation models use the same fixed V1 hyperparameters, so differences are</w:t>
      </w:r>
      <w:r>
        <w:t xml:space="preserve"> </w:t>
      </w:r>
      <w:r>
        <w:t xml:space="preserve">attributable to feature groups.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 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 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minimal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camera 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weather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road network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neighbourhood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citywide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long history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Coverage-aware V1 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1.6081</w:t>
            </w:r>
          </w:p>
        </w:tc>
      </w:tr>
    </w:tbl>
    <w:p>
      <w:pPr>
        <w:pStyle w:val="FirstParagraph"/>
      </w:pPr>
      <w:r>
        <w:t xml:space="preserve">The full feature set lowers validation deviance by about</w:t>
      </w:r>
      <w:r>
        <w:t xml:space="preserve"> </w:t>
      </w:r>
      <w:r>
        <w:rPr>
          <w:b/>
          <w:bCs/>
        </w:rPr>
        <w:t xml:space="preserve">0.67%</w:t>
      </w:r>
      <w:r>
        <w:t xml:space="preserve"> </w:t>
      </w:r>
      <w:r>
        <w:t xml:space="preserve">versus the</w:t>
      </w:r>
      <w:r>
        <w:t xml:space="preserve"> </w:t>
      </w:r>
      <w:r>
        <w:t xml:space="preserve">minimal model. Road features add about 0.11% over the weather model;</w:t>
      </w:r>
      <w:r>
        <w:t xml:space="preserve"> </w:t>
      </w:r>
      <w:r>
        <w:t xml:space="preserve">neighbourhood and citywide features add smaller increments. Camera operation is</w:t>
      </w:r>
      <w:r>
        <w:t xml:space="preserve"> </w:t>
      </w:r>
      <w:r>
        <w:t xml:space="preserve">predictively redundant.</w:t>
      </w:r>
    </w:p>
    <w:p>
      <w:pPr>
        <w:pStyle w:val="CaptionedFigure"/>
      </w:pPr>
      <w:r>
        <w:drawing>
          <wp:inline>
            <wp:extent cx="5334000" cy="2330094"/>
            <wp:effectExtent b="0" l="0" r="0" t="0"/>
            <wp:docPr descr="Feature ablation" title="" id="30" name="Picture"/>
            <a:graphic>
              <a:graphicData uri="http://schemas.openxmlformats.org/drawingml/2006/picture">
                <pic:pic>
                  <pic:nvPicPr>
                    <pic:cNvPr descr="../results/bottom_up/figures/feature_abl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ablation</w:t>
      </w:r>
    </w:p>
    <w:p>
      <w:pPr>
        <w:pStyle w:val="Heading3"/>
      </w:pPr>
      <w:bookmarkStart w:id="32" w:name="_7b252b46f94d7821e82edc9d6298824c57cf02b"/>
      <w:r>
        <w:t xml:space="preserve">6.3 Optuna budget</w:t>
      </w:r>
      <w:bookmarkEnd w:id="32"/>
    </w:p>
    <w:p>
      <w:pPr>
        <w:pStyle w:val="FirstParagraph"/>
      </w:pPr>
      <w:r>
        <w:t xml:space="preserve">The coverage-consistent full model was tuned with</w:t>
      </w:r>
      <w:r>
        <w:t xml:space="preserve"> </w:t>
      </w:r>
      <w:r>
        <w:rPr>
          <w:b/>
          <w:bCs/>
        </w:rPr>
        <w:t xml:space="preserve">8 Optuna trials</w:t>
      </w:r>
      <w:r>
        <w:t xml:space="preserve"> </w:t>
      </w:r>
      <w:r>
        <w:t xml:space="preserve">and a</w:t>
      </w:r>
      <w:r>
        <w:t xml:space="preserve"> </w:t>
      </w:r>
      <w:r>
        <w:t xml:space="preserve">600-second cap. The best validation deviance was 1.21647, a</w:t>
      </w:r>
      <w:r>
        <w:t xml:space="preserve"> </w:t>
      </w:r>
      <w:r>
        <w:rPr>
          <w:b/>
          <w:bCs/>
        </w:rPr>
        <w:t xml:space="preserve">0.48%</w:t>
      </w:r>
      <w:r>
        <w:t xml:space="preserve"> </w:t>
      </w:r>
      <w:r>
        <w:t xml:space="preserve">improvement</w:t>
      </w:r>
      <w:r>
        <w:t xml:space="preserve"> </w:t>
      </w:r>
      <w:r>
        <w:t xml:space="preserve">over coverage-aware V1 (1.22238), still below 1%. The tuned test deviance was</w:t>
      </w:r>
      <w:r>
        <w:t xml:space="preserve"> </w:t>
      </w:r>
      <w:r>
        <w:t xml:space="preserve">1.2162; test MAE 1.5775.</w:t>
      </w:r>
    </w:p>
    <w:p>
      <w:pPr>
        <w:pStyle w:val="Heading3"/>
      </w:pPr>
      <w:bookmarkStart w:id="33" w:name="_defca59fa7c6e6e067adf59ecdeeae8196246f4"/>
      <w:r>
        <w:t xml:space="preserve">6.4 Road-segment experiment</w:t>
      </w:r>
      <w:bookmarkEnd w:id="33"/>
    </w:p>
    <w:p>
      <w:pPr>
        <w:pStyle w:val="FirstParagraph"/>
      </w:pPr>
      <w:r>
        <w:t xml:space="preserve">The road model uses history, calendar and static road attributes; it omits AADT.</w:t>
      </w:r>
      <w:r>
        <w:t xml:space="preserve"> </w:t>
      </w:r>
      <w:r>
        <w:t xml:space="preserve">It achieves test MAE 0.182, Poisson deviance 0.395 and R² 0.351. Overall 90%</w:t>
      </w:r>
      <w:r>
        <w:t xml:space="preserve"> </w:t>
      </w:r>
      <w:r>
        <w:t xml:space="preserve">interval coverage is 90.3%, but the highest-risk decile is only</w:t>
      </w:r>
      <w:r>
        <w:t xml:space="preserve"> </w:t>
      </w:r>
      <w:r>
        <w:rPr>
          <w:b/>
          <w:bCs/>
        </w:rPr>
        <w:t xml:space="preserve">60.2%</w:t>
      </w:r>
      <w:r>
        <w:t xml:space="preserve">.</w:t>
      </w:r>
      <w:r>
        <w:t xml:space="preserve"> </w:t>
      </w:r>
      <w:r>
        <w:t xml:space="preserve">Hotspot precision at the top 10% is 0.48 and recall 0.46.</w:t>
      </w:r>
    </w:p>
    <w:p>
      <w:pPr>
        <w:pStyle w:val="BodyText"/>
      </w:pPr>
      <w:r>
        <w:t xml:space="preserve">These numbers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comparable with camera-zone MAE. The road task has a</w:t>
      </w:r>
      <w:r>
        <w:t xml:space="preserve"> </w:t>
      </w:r>
      <w:r>
        <w:t xml:space="preserve">different unit, a different population, a 90% zero share, and 34% ambiguous</w:t>
      </w:r>
      <w:r>
        <w:t xml:space="preserve"> </w:t>
      </w:r>
      <w:r>
        <w:t xml:space="preserve">assignments.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f48f94a8d3d63280250236f9419417a3db34b46"/>
      <w:r>
        <w:t xml:space="preserve">7. Statistical evaluation</w:t>
      </w:r>
      <w:bookmarkEnd w:id="34"/>
    </w:p>
    <w:p>
      <w:pPr>
        <w:pStyle w:val="Heading3"/>
      </w:pPr>
      <w:bookmarkStart w:id="35" w:name="_1b336a4c6f5fa1bf331c0ea838036bdac143e65"/>
      <w:r>
        <w:t xml:space="preserve">7.1 Common test rows</w:t>
      </w:r>
      <w:bookmarkEnd w:id="35"/>
    </w:p>
    <w:p>
      <w:pPr>
        <w:pStyle w:val="FirstParagraph"/>
      </w:pPr>
      <w:r>
        <w:t xml:space="preserve">The deployed V1, V2 candidate and coverage-consistent models were evaluated on</w:t>
      </w:r>
      <w:r>
        <w:t xml:space="preserve"> </w:t>
      </w:r>
      <w:r>
        <w:t xml:space="preserve">the same 15,912 camera-zone test rows (12 months, 169 2 km blocks).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Poisson 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tuned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</w:t>
            </w:r>
          </w:p>
        </w:tc>
      </w:tr>
    </w:tbl>
    <w:p>
      <w:pPr>
        <w:pStyle w:val="FirstParagraph"/>
      </w:pPr>
      <w:r>
        <w:t xml:space="preserve">Paired spatial-block bootstrap (1,000 draws over 169 blocks) gives a coverage-</w:t>
      </w:r>
      <w:r>
        <w:t xml:space="preserve"> </w:t>
      </w:r>
      <w:r>
        <w:t xml:space="preserve">tuned minus V1 deviance difference of</w:t>
      </w:r>
      <w:r>
        <w:t xml:space="preserve"> </w:t>
      </w:r>
      <w:r>
        <w:rPr>
          <w:b/>
          <w:bCs/>
        </w:rPr>
        <w:t xml:space="preserve">−0.0080</w:t>
      </w:r>
      <w:r>
        <w:t xml:space="preserve"> </w:t>
      </w:r>
      <w:r>
        <w:t xml:space="preserve">[−0.0114, −0.0043]. The</w:t>
      </w:r>
      <w:r>
        <w:t xml:space="preserve"> </w:t>
      </w:r>
      <w:r>
        <w:t xml:space="preserve">improvement is small and below the 1% promotion rule. V2 minus V1 deviance is</w:t>
      </w:r>
      <w:r>
        <w:t xml:space="preserve"> </w:t>
      </w:r>
      <w:r>
        <w:t xml:space="preserve">−0.0050 [−0.0080, −0.0018], also below 1%.</w:t>
      </w:r>
    </w:p>
    <w:p>
      <w:pPr>
        <w:pStyle w:val="Heading3"/>
      </w:pPr>
      <w:bookmarkStart w:id="36" w:name="_a74570a97bdda89aa1fd631c624285fc4c92f16"/>
      <w:r>
        <w:t xml:space="preserve">7.2 Temporal validation</w:t>
      </w:r>
      <w:bookmarkEnd w:id="36"/>
    </w:p>
    <w:p>
      <w:pPr>
        <w:pStyle w:val="FirstParagraph"/>
      </w:pPr>
      <w:r>
        <w:t xml:space="preserve">Coverage V1 has fold mean deviance 1.2224 and MAE 1.6081. Coverage full has</w:t>
      </w:r>
      <w:r>
        <w:t xml:space="preserve"> </w:t>
      </w:r>
      <w:r>
        <w:t xml:space="preserve">1.2167 and 1.6059. The tuned model reaches 1.2165. The temporal folds are</w:t>
      </w:r>
      <w:r>
        <w:t xml:space="preserve"> </w:t>
      </w:r>
      <w:r>
        <w:t xml:space="preserve">2024-01…2024-06, 2024-07…2024-12 and 2025-01…2025-06.</w:t>
      </w:r>
    </w:p>
    <w:p>
      <w:pPr>
        <w:pStyle w:val="Heading3"/>
      </w:pPr>
      <w:bookmarkStart w:id="37" w:name="_795017754378f8cd3f4dbc2850ab87b78031e14"/>
      <w:r>
        <w:t xml:space="preserve">7.3 Geographic holdout</w:t>
      </w:r>
      <w:bookmarkEnd w:id="37"/>
    </w:p>
    <w:p>
      <w:pPr>
        <w:pStyle w:val="FirstParagraph"/>
      </w:pPr>
      <w:r>
        <w:t xml:space="preserve">A 2 km block holdout with a 1 km buffer was evaluated before the test period:</w:t>
      </w:r>
      <w:r>
        <w:t xml:space="preserve"> </w:t>
      </w:r>
      <w:r>
        <w:t xml:space="preserve">34 held-out blocks, 290 locations and 3,480 rows. Coverage V1 deviance is 1.2257;</w:t>
      </w:r>
      <w:r>
        <w:t xml:space="preserve"> </w:t>
      </w:r>
      <w:r>
        <w:t xml:space="preserve">coverage full is 1.2267. The richer model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generalize better on this</w:t>
      </w:r>
      <w:r>
        <w:t xml:space="preserve"> </w:t>
      </w:r>
      <w:r>
        <w:t xml:space="preserve">geographic holdout.</w:t>
      </w:r>
    </w:p>
    <w:p>
      <w:pPr>
        <w:pStyle w:val="Heading3"/>
      </w:pPr>
      <w:bookmarkStart w:id="38" w:name="_811eb9868c96e2ac7a1652ff638c2cb444febc0"/>
      <w:r>
        <w:t xml:space="preserve">7.4 Calibration and intervals</w:t>
      </w:r>
      <w:bookmarkEnd w:id="38"/>
    </w:p>
    <w:p>
      <w:pPr>
        <w:pStyle w:val="FirstParagraph"/>
      </w:pPr>
      <w:r>
        <w:t xml:space="preserve">Coverage V1: 90% interval coverage 90.6% overall, 85.6% in the highest-risk</w:t>
      </w:r>
      <w:r>
        <w:t xml:space="preserve"> </w:t>
      </w:r>
      <w:r>
        <w:t xml:space="preserve">decile. Coverage full: 90.5% overall, 84.7% in the highest decile. Coverage tuned:</w:t>
      </w:r>
      <w:r>
        <w:t xml:space="preserve"> </w:t>
      </w:r>
      <w:r>
        <w:t xml:space="preserve">90.4% overall, 84.9% in the highest decile.</w:t>
      </w:r>
    </w:p>
    <w:p>
      <w:pPr>
        <w:pStyle w:val="BodyText"/>
      </w:pPr>
      <w:r>
        <w:t xml:space="preserve">The high-risk interval undercoverage persists. It is not fixed by adding features</w:t>
      </w:r>
      <w:r>
        <w:t xml:space="preserve"> </w:t>
      </w:r>
      <w:r>
        <w:t xml:space="preserve">or tuning.</w:t>
      </w:r>
    </w:p>
    <w:p>
      <w:pPr>
        <w:pStyle w:val="Heading3"/>
      </w:pPr>
      <w:bookmarkStart w:id="39" w:name="_09391d8926c350eb62d7f852307feeb78187c8e"/>
      <w:r>
        <w:t xml:space="preserve">7.5 Hotspots and tails</w:t>
      </w:r>
      <w:bookmarkEnd w:id="39"/>
    </w:p>
    <w:p>
      <w:pPr>
        <w:pStyle w:val="FirstParagraph"/>
      </w:pPr>
      <w:r>
        <w:t xml:space="preserve">Coverage tuned hotspot precision at the top 10% predicted is 0.72 and recall</w:t>
      </w:r>
      <w:r>
        <w:t xml:space="preserve"> </w:t>
      </w:r>
      <w:r>
        <w:t xml:space="preserve">0.55 using a training-derived high-crash threshold; lift is about 5.5. Zero-crash</w:t>
      </w:r>
      <w:r>
        <w:t xml:space="preserve"> </w:t>
      </w:r>
      <w:r>
        <w:t xml:space="preserve">months are over-predicted and high-crash months under-predicted. The model remains</w:t>
      </w:r>
      <w:r>
        <w:t xml:space="preserve"> </w:t>
      </w:r>
      <w:r>
        <w:t xml:space="preserve">a count forecaster, not a high-risk decision system.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a4cae1efc2a0decad61dbe778ffeac2450b135b"/>
      <w:r>
        <w:t xml:space="preserve">8. Causal sensitivity</w:t>
      </w:r>
      <w:bookmarkEnd w:id="40"/>
    </w:p>
    <w:p>
      <w:pPr>
        <w:pStyle w:val="FirstParagraph"/>
      </w:pPr>
      <w:r>
        <w:t xml:space="preserve">Causal inference remains independent of the forecasting model. The reporting</w:t>
      </w:r>
      <w:r>
        <w:t xml:space="preserve"> </w:t>
      </w:r>
      <w:r>
        <w:t xml:space="preserve">regime changes the pre-treatment history available to later cameras.</w:t>
      </w:r>
    </w:p>
    <w:p>
      <w:pPr>
        <w:pStyle w:val="BodyText"/>
      </w:pPr>
      <w:r>
        <w:t xml:space="preserve">A strict coverage-consistent design requires 24 citywide pre-months and 36</w:t>
      </w:r>
      <w:r>
        <w:t xml:space="preserve"> </w:t>
      </w:r>
      <w:r>
        <w:t xml:space="preserve">post-months. This leaves</w:t>
      </w:r>
      <w:r>
        <w:t xml:space="preserve"> </w:t>
      </w:r>
      <w:r>
        <w:rPr>
          <w:b/>
          <w:bCs/>
        </w:rPr>
        <w:t xml:space="preserve">15 cameras</w:t>
      </w:r>
      <w:r>
        <w:t xml:space="preserve"> </w:t>
      </w:r>
      <w:r>
        <w:t xml:space="preserve">(go-live 2021-07…2023-07) and 5,400 panel</w:t>
      </w:r>
      <w:r>
        <w:t xml:space="preserve"> </w:t>
      </w:r>
      <w:r>
        <w:t xml:space="preserve">rows.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913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Cameras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Conditional Poisson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Cohort 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Pre-trend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notebook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−7.3%</w:t>
            </w:r>
          </w:p>
        </w:tc>
        <w:tc>
          <w:tcPr/>
          <w:p>
            <w:pPr>
              <w:pStyle w:val="Compact"/>
            </w:pPr>
            <w:r>
              <w:t xml:space="preserve">[−13.6, −0.6]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Revised local 2015-start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−2.6%</w:t>
            </w:r>
          </w:p>
        </w:tc>
        <w:tc>
          <w:tcPr/>
          <w:p>
            <w:pPr>
              <w:pStyle w:val="Compact"/>
            </w:pPr>
            <w:r>
              <w:t xml:space="preserve">[−11.5, +7.2]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24/36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−8.6%</w:t>
            </w:r>
          </w:p>
        </w:tc>
        <w:tc>
          <w:tcPr/>
          <w:p>
            <w:pPr>
              <w:pStyle w:val="Compact"/>
            </w:pPr>
            <w:r>
              <w:t xml:space="preserve">[−16.9, +0.4]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12/36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−6.9%</w:t>
            </w:r>
          </w:p>
        </w:tc>
        <w:tc>
          <w:tcPr/>
          <w:p>
            <w:pPr>
              <w:pStyle w:val="Compact"/>
            </w:pPr>
            <w:r>
              <w:t xml:space="preserve">[−15.2, +2.2]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24/24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−6.6%</w:t>
            </w:r>
          </w:p>
        </w:tc>
        <w:tc>
          <w:tcPr/>
          <w:p>
            <w:pPr>
              <w:pStyle w:val="Compact"/>
            </w:pPr>
            <w:r>
              <w:t xml:space="preserve">[−14.3, +1.7]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</w:t>
            </w:r>
          </w:p>
        </w:tc>
      </w:tr>
    </w:tbl>
    <w:p>
      <w:pPr>
        <w:pStyle w:val="FirstParagraph"/>
      </w:pPr>
      <w:r>
        <w:t xml:space="preserve">The strict coverage estimate is more negative than the revised 2015-start</w:t>
      </w:r>
      <w:r>
        <w:t xml:space="preserve"> </w:t>
      </w:r>
      <w:r>
        <w:t xml:space="preserve">estimate, but it is a different sample and remains compatible with zero. The</w:t>
      </w:r>
      <w:r>
        <w:t xml:space="preserve"> </w:t>
      </w:r>
      <w:r>
        <w:t xml:space="preserve">geographic placebo one-sided p-value is 0.25; the estimate sits inside the</w:t>
      </w:r>
      <w:r>
        <w:t xml:space="preserve"> </w:t>
      </w:r>
      <w:r>
        <w:t xml:space="preserve">placebo distribution. The 24/36 cohort estimate is −0.075 [−0.773, +0.605]</w:t>
      </w:r>
      <w:r>
        <w:t xml:space="preserve"> </w:t>
      </w:r>
      <w:r>
        <w:t xml:space="preserve">crashes/site-month.</w:t>
      </w:r>
    </w:p>
    <w:p>
      <w:pPr>
        <w:pStyle w:val="CaptionedFigure"/>
      </w:pPr>
      <w:r>
        <w:drawing>
          <wp:inline>
            <wp:extent cx="5334000" cy="1857233"/>
            <wp:effectExtent b="0" l="0" r="0" t="0"/>
            <wp:docPr descr="Causal coverage" title="" id="42" name="Picture"/>
            <a:graphic>
              <a:graphicData uri="http://schemas.openxmlformats.org/drawingml/2006/picture">
                <pic:pic>
                  <pic:nvPicPr>
                    <pic:cNvPr descr="../results/bottom_up/figures/causal_coverag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Causal coverage</w:t>
      </w:r>
    </w:p>
    <w:p>
      <w:pPr>
        <w:pStyle w:val="FirstParagraph"/>
      </w:pPr>
      <w:r>
        <w:t xml:space="preserve">This does not establish a stronger camera effect. It demonstrates that the</w:t>
      </w:r>
      <w:r>
        <w:t xml:space="preserve"> </w:t>
      </w:r>
      <w:r>
        <w:t xml:space="preserve">reporting regime is material to the estimand and that the public data cannot</w:t>
      </w:r>
      <w:r>
        <w:t xml:space="preserve"> </w:t>
      </w:r>
      <w:r>
        <w:t xml:space="preserve">resolve the effect at policy precision.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_b2946e193deed031950137b64888ce3290f45d7"/>
      <w:r>
        <w:t xml:space="preserve">9. Final model decision</w:t>
      </w:r>
      <w:bookmarkEnd w:id="4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 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High-risk interval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Geographic holdout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1.2233*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1.2181*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1.2189</w:t>
            </w:r>
          </w:p>
        </w:tc>
        <w:tc>
          <w:tcPr/>
          <w:p>
            <w:pPr>
              <w:pStyle w:val="Compact"/>
            </w:pPr>
            <w:r>
              <w:t xml:space="preserve">Research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1.2201†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1.2257</w:t>
            </w:r>
          </w:p>
        </w:tc>
        <w:tc>
          <w:tcPr/>
          <w:p>
            <w:pPr>
              <w:pStyle w:val="Compact"/>
            </w:pPr>
            <w:r>
              <w:t xml:space="preserve">Research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1.2175†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1.2267</w:t>
            </w:r>
          </w:p>
        </w:tc>
        <w:tc>
          <w:tcPr/>
          <w:p>
            <w:pPr>
              <w:pStyle w:val="Compact"/>
            </w:pPr>
            <w:r>
              <w:t xml:space="preserve">Not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tuned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1.2162†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 segment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0.3949†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Separate task</w:t>
            </w:r>
          </w:p>
        </w:tc>
      </w:tr>
    </w:tbl>
    <w:p>
      <w:pPr>
        <w:pStyle w:val="FirstParagraph"/>
      </w:pPr>
      <w:r>
        <w:t xml:space="preserve">* V1/V2 test values are their original retrospective test evaluation (16,260</w:t>
      </w:r>
      <w:r>
        <w:t xml:space="preserve"> </w:t>
      </w:r>
      <w:r>
        <w:t xml:space="preserve">rows). † Common 15,912-row evaluation. The table mixes populations only where</w:t>
      </w:r>
      <w:r>
        <w:t xml:space="preserve"> </w:t>
      </w:r>
      <w:r>
        <w:t xml:space="preserve">explicitly marked; raw MAE across camera-zone and road tasks is not comparable.</w:t>
      </w:r>
    </w:p>
    <w:p>
      <w:pPr>
        <w:pStyle w:val="BodyText"/>
      </w:pPr>
      <w:r>
        <w:t xml:space="preserve">The deployment decision does not change:</w:t>
      </w:r>
    </w:p>
    <w:p>
      <w:pPr>
        <w:pStyle w:val="Compact"/>
        <w:numPr>
          <w:ilvl w:val="0"/>
          <w:numId w:val="1005"/>
        </w:numPr>
      </w:pPr>
      <w:r>
        <w:t xml:space="preserve">V1 remains deployed.</w:t>
      </w:r>
    </w:p>
    <w:p>
      <w:pPr>
        <w:pStyle w:val="Compact"/>
        <w:numPr>
          <w:ilvl w:val="0"/>
          <w:numId w:val="1005"/>
        </w:numPr>
      </w:pPr>
      <w:r>
        <w:t xml:space="preserve">V2 remains a research candidate under the pre-declared 0.243% validation gain.</w:t>
      </w:r>
    </w:p>
    <w:p>
      <w:pPr>
        <w:pStyle w:val="Compact"/>
        <w:numPr>
          <w:ilvl w:val="0"/>
          <w:numId w:val="1005"/>
        </w:numPr>
      </w:pPr>
      <w:r>
        <w:t xml:space="preserve">The coverage-tuned model is retained as a research artifact; it does not meet</w:t>
      </w:r>
      <w:r>
        <w:t xml:space="preserve"> </w:t>
      </w:r>
      <w:r>
        <w:t xml:space="preserve">the 1% rule and does not improve geographic holdout.</w:t>
      </w:r>
    </w:p>
    <w:p>
      <w:pPr>
        <w:pStyle w:val="Compact"/>
        <w:numPr>
          <w:ilvl w:val="0"/>
          <w:numId w:val="1005"/>
        </w:numPr>
      </w:pPr>
      <w:r>
        <w:t xml:space="preserve">The road-segment model is not selected for the camera-zone task.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implications"/>
      <w:r>
        <w:t xml:space="preserve">10. Implications</w:t>
      </w:r>
      <w:bookmarkEnd w:id="45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publication’s forecasting test is not independent of the reporting</w:t>
      </w:r>
      <w:r>
        <w:rPr>
          <w:b/>
          <w:bCs/>
        </w:rPr>
        <w:t xml:space="preserve"> </w:t>
      </w:r>
      <w:r>
        <w:rPr>
          <w:b/>
          <w:bCs/>
        </w:rPr>
        <w:t xml:space="preserve">regime.</w:t>
      </w:r>
      <w:r>
        <w:t xml:space="preserve"> </w:t>
      </w:r>
      <w:r>
        <w:t xml:space="preserve">V1/V2 start eight months before citywide coverage. This should be</w:t>
      </w:r>
      <w:r>
        <w:t xml:space="preserve"> </w:t>
      </w:r>
      <w:r>
        <w:t xml:space="preserve">disclosed and, where feasible, a coverage-consistent sensitivity should be</w:t>
      </w:r>
      <w:r>
        <w:t xml:space="preserve"> </w:t>
      </w:r>
      <w:r>
        <w:t xml:space="preserve">added.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revised causal estimate is not the only defensible estimate.</w:t>
      </w:r>
      <w:r>
        <w:t xml:space="preserve"> </w:t>
      </w:r>
      <w:r>
        <w:t xml:space="preserve">A</w:t>
      </w:r>
      <w:r>
        <w:t xml:space="preserve"> </w:t>
      </w:r>
      <w:r>
        <w:t xml:space="preserve">citywide pre-period design yields a more negative but imprecise estimate on a</w:t>
      </w:r>
      <w:r>
        <w:t xml:space="preserve"> </w:t>
      </w:r>
      <w:r>
        <w:t xml:space="preserve">much smaller cohort. Neither estimate should be described as definitive.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Exposure remains the largest missing measurement.</w:t>
      </w:r>
      <w:r>
        <w:t xml:space="preserve"> </w:t>
      </w:r>
      <w:r>
        <w:t xml:space="preserve">AADT cannot supply a</w:t>
      </w:r>
      <w:r>
        <w:t xml:space="preserve"> </w:t>
      </w:r>
      <w:r>
        <w:t xml:space="preserve">historical denominator, and camera-derived counts are not exogenous.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Road segments are a useful separate task, not a replacement task.</w:t>
      </w:r>
      <w:r>
        <w:t xml:space="preserve"> </w:t>
      </w:r>
      <w:r>
        <w:t xml:space="preserve">The</w:t>
      </w:r>
      <w:r>
        <w:t xml:space="preserve"> </w:t>
      </w:r>
      <w:r>
        <w:t xml:space="preserve">road model has a 90% zero share and 34% assignment ambiguity; its raw MAE is</w:t>
      </w:r>
      <w:r>
        <w:t xml:space="preserve"> </w:t>
      </w:r>
      <w:r>
        <w:t xml:space="preserve">not a better camera-zone score.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More features are not the main lever.</w:t>
      </w:r>
      <w:r>
        <w:t xml:space="preserve"> </w:t>
      </w:r>
      <w:r>
        <w:t xml:space="preserve">The full feature set improves</w:t>
      </w:r>
      <w:r>
        <w:t xml:space="preserve"> </w:t>
      </w:r>
      <w:r>
        <w:t xml:space="preserve">validation deviance by 0.67% over minimal; the 1% rule is not met.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Test-period reuse.</w:t>
      </w:r>
      <w:r>
        <w:t xml:space="preserve"> </w:t>
      </w:r>
      <w:r>
        <w:t xml:space="preserve">The 2025-09…2026-08 period was already inspected in V1.</w:t>
      </w:r>
      <w:r>
        <w:t xml:space="preserve"> </w:t>
      </w:r>
      <w:r>
        <w:t xml:space="preserve">Every coverage-consistent and V2 test result reported here is retrospective,</w:t>
      </w:r>
      <w:r>
        <w:t xml:space="preserve"> </w:t>
      </w:r>
      <w:r>
        <w:t xml:space="preserve">not a new untouched confirmation.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35680585e864c7f60cd404ab306a6ae74f37a8a"/>
      <w:r>
        <w:t xml:space="preserve">Appendix A — Artifacts</w:t>
      </w:r>
      <w:bookmarkEnd w:id="46"/>
    </w:p>
    <w:p>
      <w:pPr>
        <w:pStyle w:val="FirstParagraph"/>
      </w:pPr>
      <w:r>
        <w:t xml:space="preserve">Coverage: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results/bottom_up/coverage/summary.json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results/bottom_up/coverage/monthly_coverage.csv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results/bottom_up/coverage/district_month_coverage.csv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results/bottom_up/coverage/beat_month_coverage.csv</w:t>
      </w:r>
    </w:p>
    <w:p>
      <w:pPr>
        <w:pStyle w:val="FirstParagraph"/>
      </w:pPr>
      <w:r>
        <w:t xml:space="preserve">Exposure: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results/bottom_up/exposure/summary.json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results/bottom_up/exposure/aadt_monthly_coverage.csv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results/bottom_up/exposure/aadt_availability_matrix.parquet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results/bottom_up/exposure/aadt_road_match.json</w:t>
      </w:r>
    </w:p>
    <w:p>
      <w:pPr>
        <w:pStyle w:val="FirstParagraph"/>
      </w:pPr>
      <w:r>
        <w:t xml:space="preserve">Road design: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data/processed/road_segments.parquet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data/processed/crash_road_assignments.parquet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data/processed/road_segment_month_counts.parquet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data/processed/road_model_panel_features.parquet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results/bottom_up/roads/</w:t>
      </w:r>
    </w:p>
    <w:p>
      <w:pPr>
        <w:pStyle w:val="FirstParagraph"/>
      </w:pPr>
      <w:r>
        <w:t xml:space="preserve">Models: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results/bottom_up/coverage_model/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results/bottom_up/road_model/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models/bottom_up/</w:t>
      </w:r>
    </w:p>
    <w:p>
      <w:pPr>
        <w:pStyle w:val="FirstParagraph"/>
      </w:pPr>
      <w:r>
        <w:t xml:space="preserve">Causal: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results/bottom_up/coverage_causal/</w:t>
      </w:r>
    </w:p>
    <w:p>
      <w:pPr>
        <w:pStyle w:val="FirstParagraph"/>
      </w:pPr>
      <w:r>
        <w:t xml:space="preserve">Figures: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results/bottom_up/figures/</w:t>
      </w:r>
    </w:p>
    <w:p>
      <w:pPr>
        <w:pStyle w:val="Heading2"/>
      </w:pPr>
      <w:bookmarkStart w:id="47" w:name="_ae31626e9ee91f98444ca439eaf62a2b06bd47c"/>
      <w:r>
        <w:t xml:space="preserve">Appendix B — Reproduction</w:t>
      </w:r>
      <w:bookmarkEnd w:id="47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chicago_cameras.coverage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chicago_cameras.exposure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chicago_cameras.road_network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chicago_cameras.ml.coverage_dataset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chicago_cameras.ml.reconstruction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chicago_cameras.ml.tune_coverage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chicago_cameras.ml.road_model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scripts/make_bottom_up_figures.py</w:t>
      </w:r>
    </w:p>
    <w:p>
      <w:pPr>
        <w:pStyle w:val="FirstParagraph"/>
      </w:pPr>
      <w:r>
        <w:t xml:space="preserve">The original publication branch, 21-page paper, V1/V2 artifacts and LinkedIn</w:t>
      </w:r>
      <w:r>
        <w:t xml:space="preserve"> </w:t>
      </w:r>
      <w:r>
        <w:t xml:space="preserve">drafts remain intact. No DOI, release, deployment or peer-review claim is added.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2026-10-26T18:56:38Z</dcterms:created>
  <dcterms:modified xsi:type="dcterms:W3CDTF">2026-10-26T18:56:38Z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