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سارة نبيل</w:t>
      </w:r>
    </w:p>
    <w:p>
      <w:r>
        <w:drawing>
          <wp:inline xmlns:a="http://schemas.openxmlformats.org/drawingml/2006/main" xmlns:pic="http://schemas.openxmlformats.org/drawingml/2006/picture">
            <wp:extent cx="101600" cy="1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محاسبة أولى، القاهرة الجديدة</w:t>
      </w:r>
    </w:p>
    <w:p>
      <w:pPr>
        <w:pStyle w:val="Heading2"/>
      </w:pPr>
      <w:r>
        <w:t>Experience</w:t>
      </w:r>
    </w:p>
    <w:p>
      <w:r>
        <w:t>Senior Accountant, Delta Soft, 2019 to 2026</w:t>
      </w:r>
    </w:p>
    <w:p>
      <w:pPr>
        <w:pStyle w:val="ListBullet"/>
      </w:pPr>
      <w:r>
        <w:t>Prepared the quarterly IFRS reports.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اللغة</w:t>
            </w:r>
          </w:p>
        </w:tc>
        <w:tc>
          <w:tcPr>
            <w:tcW w:type="dxa" w:w="4320"/>
          </w:tcPr>
          <w:p>
            <w:r>
              <w:t>Level</w:t>
            </w:r>
          </w:p>
        </w:tc>
      </w:tr>
      <w:tr>
        <w:tc>
          <w:tcPr>
            <w:tcW w:type="dxa" w:w="4320"/>
          </w:tcPr>
          <w:p>
            <w:r>
              <w:t>English</w:t>
            </w:r>
          </w:p>
        </w:tc>
        <w:tc>
          <w:tcPr>
            <w:tcW w:type="dxa" w:w="4320"/>
          </w:tcPr>
          <w:p>
            <w:r>
              <w:t>Fluent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01600" cy="1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tif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Portfolio: </w:t>
      </w:r>
      <w:hyperlink r:id="rId11">
        <w:r>
          <w:t>my work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tiff"/><Relationship Id="rId11" Type="http://schemas.openxmlformats.org/officeDocument/2006/relationships/hyperlink" Target="javascript:alert(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