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77C4" w14:textId="6BAB488C" w:rsidR="00353193" w:rsidRDefault="00353193" w:rsidP="00353193">
      <w:pPr>
        <w:jc w:val="both"/>
        <w:rPr>
          <w:rFonts w:ascii="Arial" w:hAnsi="Arial" w:cs="Arial"/>
          <w:b/>
          <w:sz w:val="20"/>
        </w:rPr>
      </w:pPr>
      <w:bookmarkStart w:id="0" w:name="_dxtcompanion_actionscomplete"/>
      <w:r>
        <w:rPr>
          <w:rFonts w:ascii="Arial" w:hAnsi="Arial" w:cs="Arial"/>
          <w:b/>
          <w:sz w:val="20"/>
        </w:rPr>
        <w:t xml:space="preserve">This </w:t>
      </w:r>
      <w:r w:rsidR="00FB03BD">
        <w:rPr>
          <w:rFonts w:ascii="Arial" w:hAnsi="Arial" w:cs="Arial"/>
          <w:b/>
          <w:sz w:val="20"/>
        </w:rPr>
        <w:t>model</w:t>
      </w:r>
      <w:r>
        <w:rPr>
          <w:rFonts w:ascii="Arial" w:hAnsi="Arial" w:cs="Arial"/>
          <w:b/>
          <w:sz w:val="20"/>
        </w:rPr>
        <w:t xml:space="preserve"> document is the work product of a national coalition of attorneys who represent investors, issuers and bank placement agents in PIPE financings. This document should be tailored to meet your specific requirements, and should not be construed as legal advice for any particular facts or circumstances.</w:t>
      </w:r>
      <w:r w:rsidR="004036E2">
        <w:rPr>
          <w:rStyle w:val="FootnoteReference"/>
          <w:rFonts w:ascii="Arial" w:hAnsi="Arial" w:cs="Arial"/>
          <w:b/>
          <w:sz w:val="20"/>
        </w:rPr>
        <w:footnoteReference w:id="1"/>
      </w:r>
      <w:r w:rsidR="00154224">
        <w:rPr>
          <w:rFonts w:ascii="Arial" w:hAnsi="Arial" w:cs="Arial"/>
          <w:b/>
          <w:sz w:val="20"/>
        </w:rPr>
        <w:t xml:space="preserve">  </w:t>
      </w:r>
    </w:p>
    <w:p w14:paraId="71A81E6B" w14:textId="77777777" w:rsidR="00353193" w:rsidRPr="00353193" w:rsidRDefault="00353193">
      <w:pPr>
        <w:spacing w:after="0" w:line="240" w:lineRule="auto"/>
        <w:jc w:val="center"/>
        <w:rPr>
          <w:rFonts w:ascii="Times New Roman" w:eastAsia="Times New Roman" w:hAnsi="Times New Roman" w:cs="Times New Roman"/>
          <w:color w:val="000000"/>
        </w:rPr>
      </w:pPr>
    </w:p>
    <w:p w14:paraId="4E110FE1" w14:textId="7D6F2820" w:rsidR="00B35FD8" w:rsidRDefault="002161C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REGISTRATION RIGHTS AGREEMENT</w:t>
      </w:r>
      <w:r w:rsidR="002D13F4">
        <w:rPr>
          <w:rFonts w:ascii="Times New Roman" w:eastAsia="Times New Roman" w:hAnsi="Times New Roman" w:cs="Times New Roman"/>
          <w:b/>
          <w:bCs/>
          <w:color w:val="000000"/>
        </w:rPr>
        <w:t xml:space="preserve"> </w:t>
      </w:r>
    </w:p>
    <w:p w14:paraId="7F9B16EE" w14:textId="77777777" w:rsidR="00B35FD8" w:rsidRDefault="00B35FD8">
      <w:pPr>
        <w:spacing w:after="0" w:line="240" w:lineRule="auto"/>
        <w:rPr>
          <w:rFonts w:ascii="Times New Roman" w:eastAsia="Times New Roman" w:hAnsi="Times New Roman" w:cs="Times New Roman"/>
          <w:color w:val="000000"/>
        </w:rPr>
      </w:pPr>
    </w:p>
    <w:p w14:paraId="7BCBB3C0" w14:textId="14377838" w:rsidR="00B35FD8" w:rsidRDefault="002161CA" w:rsidP="00D40035">
      <w:pPr>
        <w:spacing w:after="0" w:line="240" w:lineRule="auto"/>
        <w:ind w:firstLine="720"/>
        <w:jc w:val="both"/>
        <w:rPr>
          <w:rFonts w:ascii="Times New Roman" w:eastAsia="Times New Roman" w:hAnsi="Times New Roman" w:cs="Times New Roman"/>
          <w:color w:val="000000"/>
        </w:rPr>
      </w:pPr>
      <w:bookmarkStart w:id="1" w:name="_DV_M2"/>
      <w:bookmarkStart w:id="2" w:name="_DV_M1"/>
      <w:bookmarkEnd w:id="1"/>
      <w:bookmarkEnd w:id="2"/>
      <w:r>
        <w:rPr>
          <w:rFonts w:ascii="Times New Roman" w:eastAsia="Times New Roman" w:hAnsi="Times New Roman" w:cs="Times New Roman"/>
          <w:b/>
          <w:bCs/>
          <w:color w:val="000000"/>
        </w:rPr>
        <w:t>THIS REGISTRATION RIGHTS AGREEMENT</w:t>
      </w:r>
      <w:r>
        <w:rPr>
          <w:rFonts w:ascii="Times New Roman" w:eastAsia="Times New Roman" w:hAnsi="Times New Roman" w:cs="Times New Roman"/>
          <w:color w:val="000000"/>
        </w:rPr>
        <w:t xml:space="preserve"> (this “</w:t>
      </w:r>
      <w:r w:rsidRPr="000C7987">
        <w:rPr>
          <w:rFonts w:ascii="Times New Roman" w:eastAsia="Times New Roman" w:hAnsi="Times New Roman" w:cs="Times New Roman"/>
          <w:b/>
          <w:color w:val="000000"/>
        </w:rPr>
        <w:t>Agreement</w:t>
      </w:r>
      <w:r>
        <w:rPr>
          <w:rFonts w:ascii="Times New Roman" w:eastAsia="Times New Roman" w:hAnsi="Times New Roman" w:cs="Times New Roman"/>
          <w:color w:val="000000"/>
        </w:rPr>
        <w:t xml:space="preserve">”), dated as of </w:t>
      </w:r>
      <w:r w:rsidR="001B7EC0">
        <w:rPr>
          <w:rFonts w:ascii="Times New Roman" w:eastAsia="Times New Roman" w:hAnsi="Times New Roman" w:cs="Times New Roman"/>
          <w:color w:val="000000"/>
        </w:rPr>
        <w:t>[</w:t>
      </w:r>
      <w:r w:rsidR="001B7EC0">
        <w:rPr>
          <w:rFonts w:ascii="Times New Roman" w:eastAsia="Times New Roman" w:hAnsi="Times New Roman" w:cs="Times New Roman"/>
          <w:color w:val="000000"/>
          <w:u w:val="single"/>
        </w:rPr>
        <w:tab/>
      </w:r>
      <w:r w:rsidR="00044105">
        <w:rPr>
          <w:rFonts w:ascii="Times New Roman" w:eastAsia="Times New Roman" w:hAnsi="Times New Roman" w:cs="Times New Roman"/>
          <w:color w:val="000000"/>
          <w:u w:val="single"/>
        </w:rPr>
        <w:tab/>
      </w:r>
      <w:r w:rsidR="00044105">
        <w:rPr>
          <w:rFonts w:ascii="Times New Roman" w:eastAsia="Times New Roman" w:hAnsi="Times New Roman" w:cs="Times New Roman"/>
          <w:color w:val="000000"/>
          <w:u w:val="single"/>
        </w:rPr>
        <w:tab/>
      </w:r>
      <w:r w:rsidR="000A7938" w:rsidRPr="003A559E">
        <w:t>]</w:t>
      </w:r>
      <w:r>
        <w:rPr>
          <w:rFonts w:ascii="Times New Roman" w:hAnsi="Times New Roman" w:cs="Times New Roman"/>
        </w:rPr>
        <w:t>, 20</w:t>
      </w:r>
      <w:r w:rsidR="001B7EC0">
        <w:rPr>
          <w:rFonts w:ascii="Times New Roman" w:hAnsi="Times New Roman" w:cs="Times New Roman"/>
        </w:rPr>
        <w:t>[</w:t>
      </w:r>
      <w:r w:rsidR="001B7EC0">
        <w:rPr>
          <w:rFonts w:ascii="Times New Roman" w:hAnsi="Times New Roman" w:cs="Times New Roman"/>
          <w:u w:val="single"/>
        </w:rPr>
        <w:tab/>
        <w:t>]</w:t>
      </w:r>
      <w:r>
        <w:rPr>
          <w:rFonts w:ascii="Times New Roman" w:eastAsia="Times New Roman" w:hAnsi="Times New Roman" w:cs="Times New Roman"/>
          <w:color w:val="000000"/>
        </w:rPr>
        <w:t xml:space="preserve">, is entered into </w:t>
      </w:r>
      <w:r w:rsidRPr="00D40035">
        <w:rPr>
          <w:rFonts w:ascii="Times New Roman" w:eastAsia="Times New Roman" w:hAnsi="Times New Roman" w:cs="Times New Roman"/>
          <w:color w:val="000000"/>
        </w:rPr>
        <w:t xml:space="preserve">by and </w:t>
      </w:r>
      <w:r w:rsidR="00E01157" w:rsidRPr="00D40035">
        <w:rPr>
          <w:rFonts w:ascii="Times New Roman" w:eastAsia="Times New Roman" w:hAnsi="Times New Roman" w:cs="Times New Roman"/>
          <w:color w:val="000000"/>
        </w:rPr>
        <w:t>among</w:t>
      </w:r>
      <w:r w:rsidR="00C06BCC">
        <w:rPr>
          <w:rFonts w:ascii="Times New Roman" w:eastAsia="Times New Roman" w:hAnsi="Times New Roman" w:cs="Times New Roman"/>
          <w:color w:val="000000"/>
        </w:rPr>
        <w:t xml:space="preserve"> </w:t>
      </w:r>
      <w:r w:rsidR="009336DC">
        <w:rPr>
          <w:rFonts w:ascii="Times New Roman" w:eastAsia="Times New Roman" w:hAnsi="Times New Roman" w:cs="Times New Roman"/>
          <w:color w:val="000000"/>
        </w:rPr>
        <w:t>[</w:t>
      </w:r>
      <w:r w:rsidR="009336DC">
        <w:rPr>
          <w:rFonts w:ascii="Times New Roman" w:eastAsia="Times New Roman" w:hAnsi="Times New Roman" w:cs="Times New Roman"/>
          <w:b/>
          <w:bCs/>
          <w:color w:val="000000"/>
          <w:u w:val="single"/>
        </w:rPr>
        <w:tab/>
      </w:r>
      <w:r w:rsidR="009336DC">
        <w:rPr>
          <w:rFonts w:ascii="Times New Roman" w:eastAsia="Times New Roman" w:hAnsi="Times New Roman" w:cs="Times New Roman"/>
          <w:b/>
          <w:bCs/>
          <w:color w:val="000000"/>
          <w:u w:val="single"/>
        </w:rPr>
        <w:tab/>
      </w:r>
      <w:r w:rsidR="009336DC">
        <w:rPr>
          <w:rFonts w:ascii="Times New Roman" w:eastAsia="Times New Roman" w:hAnsi="Times New Roman" w:cs="Times New Roman"/>
          <w:b/>
          <w:bCs/>
          <w:color w:val="000000"/>
          <w:u w:val="single"/>
        </w:rPr>
        <w:tab/>
      </w:r>
      <w:r w:rsidR="009336DC" w:rsidRPr="00FA58E0">
        <w:rPr>
          <w:rFonts w:ascii="Times New Roman" w:eastAsia="Times New Roman" w:hAnsi="Times New Roman" w:cs="Times New Roman"/>
          <w:color w:val="000000"/>
        </w:rPr>
        <w:t>]</w:t>
      </w:r>
      <w:r w:rsidR="00D40035" w:rsidRPr="00FA58E0">
        <w:rPr>
          <w:rFonts w:ascii="Times New Roman" w:eastAsia="Times New Roman" w:hAnsi="Times New Roman" w:cs="Times New Roman"/>
          <w:color w:val="000000"/>
        </w:rPr>
        <w:t>,</w:t>
      </w:r>
      <w:r w:rsidR="00D40035">
        <w:rPr>
          <w:rFonts w:ascii="Times New Roman" w:eastAsia="Times New Roman" w:hAnsi="Times New Roman" w:cs="Times New Roman"/>
          <w:b/>
          <w:bCs/>
          <w:color w:val="000000"/>
        </w:rPr>
        <w:t xml:space="preserve"> </w:t>
      </w:r>
      <w:r>
        <w:rPr>
          <w:rFonts w:ascii="Times New Roman" w:eastAsia="Times New Roman" w:hAnsi="Times New Roman" w:cs="Times New Roman"/>
          <w:bCs/>
          <w:color w:val="000000"/>
        </w:rPr>
        <w:t xml:space="preserve">a </w:t>
      </w:r>
      <w:r w:rsidR="00E0502C">
        <w:rPr>
          <w:rFonts w:ascii="Times New Roman" w:eastAsia="Times New Roman" w:hAnsi="Times New Roman" w:cs="Times New Roman"/>
          <w:bCs/>
          <w:color w:val="000000"/>
        </w:rPr>
        <w:t>[</w:t>
      </w:r>
      <w:r w:rsidR="003F18FD">
        <w:rPr>
          <w:rFonts w:ascii="Times New Roman" w:eastAsia="Times New Roman" w:hAnsi="Times New Roman" w:cs="Times New Roman"/>
          <w:bCs/>
          <w:i/>
          <w:iCs/>
          <w:color w:val="000000"/>
        </w:rPr>
        <w:t>type of entity</w:t>
      </w:r>
      <w:r w:rsidR="00E0502C">
        <w:rPr>
          <w:rFonts w:ascii="Times New Roman" w:eastAsia="Times New Roman" w:hAnsi="Times New Roman" w:cs="Times New Roman"/>
          <w:bCs/>
          <w:color w:val="000000"/>
        </w:rPr>
        <w:t>]</w:t>
      </w:r>
      <w:r>
        <w:rPr>
          <w:rFonts w:ascii="Times New Roman" w:eastAsia="Times New Roman" w:hAnsi="Times New Roman" w:cs="Times New Roman"/>
          <w:bCs/>
          <w:color w:val="000000"/>
        </w:rPr>
        <w:t xml:space="preserve"> </w:t>
      </w:r>
      <w:r w:rsidR="003F18FD">
        <w:rPr>
          <w:rFonts w:ascii="Times New Roman" w:eastAsia="Times New Roman" w:hAnsi="Times New Roman" w:cs="Times New Roman"/>
          <w:bCs/>
          <w:color w:val="000000"/>
        </w:rPr>
        <w:t>[incorporated/organized] under the laws of [</w:t>
      </w:r>
      <w:r w:rsidR="003F18FD">
        <w:rPr>
          <w:rFonts w:ascii="Times New Roman" w:eastAsia="Times New Roman" w:hAnsi="Times New Roman" w:cs="Times New Roman"/>
          <w:bCs/>
          <w:i/>
          <w:iCs/>
          <w:color w:val="000000"/>
        </w:rPr>
        <w:t xml:space="preserve">jurisdiction of </w:t>
      </w:r>
      <w:r w:rsidR="0088083F">
        <w:rPr>
          <w:rFonts w:ascii="Times New Roman" w:eastAsia="Times New Roman" w:hAnsi="Times New Roman" w:cs="Times New Roman"/>
          <w:bCs/>
          <w:i/>
          <w:iCs/>
          <w:color w:val="000000"/>
        </w:rPr>
        <w:t>incorporation</w:t>
      </w:r>
      <w:r w:rsidR="00460805">
        <w:rPr>
          <w:rFonts w:ascii="Times New Roman" w:eastAsia="Times New Roman" w:hAnsi="Times New Roman" w:cs="Times New Roman"/>
          <w:bCs/>
          <w:i/>
          <w:iCs/>
          <w:color w:val="000000"/>
        </w:rPr>
        <w:t>/organization</w:t>
      </w:r>
      <w:r w:rsidR="003F18FD">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(the “</w:t>
      </w:r>
      <w:r w:rsidRPr="005E47E2">
        <w:rPr>
          <w:rFonts w:ascii="Times New Roman" w:eastAsia="Times New Roman" w:hAnsi="Times New Roman" w:cs="Times New Roman"/>
          <w:b/>
          <w:color w:val="000000"/>
        </w:rPr>
        <w:t>Company</w:t>
      </w:r>
      <w:r>
        <w:rPr>
          <w:rFonts w:ascii="Times New Roman" w:eastAsia="Times New Roman" w:hAnsi="Times New Roman" w:cs="Times New Roman"/>
          <w:color w:val="000000"/>
        </w:rPr>
        <w:t xml:space="preserve">”), and </w:t>
      </w:r>
      <w:r w:rsidR="0011750E">
        <w:rPr>
          <w:rFonts w:ascii="Times New Roman" w:hAnsi="Times New Roman" w:cs="Times New Roman"/>
          <w:bCs/>
        </w:rPr>
        <w:t>the several investors signatory hereto</w:t>
      </w:r>
      <w:r>
        <w:rPr>
          <w:rFonts w:ascii="Times New Roman" w:eastAsia="Times New Roman" w:hAnsi="Times New Roman" w:cs="Times New Roman"/>
          <w:color w:val="000000"/>
        </w:rPr>
        <w:t xml:space="preserve"> (</w:t>
      </w:r>
      <w:r w:rsidR="00E01157">
        <w:rPr>
          <w:rFonts w:ascii="Times New Roman" w:eastAsia="Times New Roman" w:hAnsi="Times New Roman" w:cs="Times New Roman"/>
          <w:color w:val="000000"/>
        </w:rPr>
        <w:t>individually as an “</w:t>
      </w:r>
      <w:r w:rsidR="00E01157" w:rsidRPr="00FC096C">
        <w:rPr>
          <w:rFonts w:ascii="Times New Roman" w:eastAsia="Times New Roman" w:hAnsi="Times New Roman" w:cs="Times New Roman"/>
          <w:b/>
          <w:bCs/>
          <w:color w:val="000000"/>
        </w:rPr>
        <w:t>Investor</w:t>
      </w:r>
      <w:r w:rsidR="00E01157">
        <w:rPr>
          <w:rFonts w:ascii="Times New Roman" w:eastAsia="Times New Roman" w:hAnsi="Times New Roman" w:cs="Times New Roman"/>
          <w:color w:val="000000"/>
        </w:rPr>
        <w:t xml:space="preserve">” and collectively </w:t>
      </w:r>
      <w:r>
        <w:rPr>
          <w:rFonts w:ascii="Times New Roman" w:eastAsia="Times New Roman" w:hAnsi="Times New Roman" w:cs="Times New Roman"/>
          <w:color w:val="000000"/>
        </w:rPr>
        <w:t xml:space="preserve">together with </w:t>
      </w:r>
      <w:r w:rsidR="0011750E">
        <w:rPr>
          <w:rFonts w:ascii="Times New Roman" w:eastAsia="Times New Roman" w:hAnsi="Times New Roman" w:cs="Times New Roman"/>
          <w:color w:val="000000"/>
        </w:rPr>
        <w:t>their respective</w:t>
      </w:r>
      <w:r>
        <w:rPr>
          <w:rFonts w:ascii="Times New Roman" w:eastAsia="Times New Roman" w:hAnsi="Times New Roman" w:cs="Times New Roman"/>
          <w:color w:val="000000"/>
        </w:rPr>
        <w:t xml:space="preserve"> permitted assigns, the “</w:t>
      </w:r>
      <w:r w:rsidRPr="005E47E2">
        <w:rPr>
          <w:rFonts w:ascii="Times New Roman" w:eastAsia="Times New Roman" w:hAnsi="Times New Roman" w:cs="Times New Roman"/>
          <w:b/>
          <w:color w:val="000000"/>
        </w:rPr>
        <w:t>Investor</w:t>
      </w:r>
      <w:r w:rsidR="0011750E" w:rsidRPr="005E47E2">
        <w:rPr>
          <w:rFonts w:ascii="Times New Roman" w:eastAsia="Times New Roman" w:hAnsi="Times New Roman" w:cs="Times New Roman"/>
          <w:b/>
          <w:color w:val="000000"/>
        </w:rPr>
        <w:t>s</w:t>
      </w:r>
      <w:r>
        <w:rPr>
          <w:rFonts w:ascii="Times New Roman" w:eastAsia="Times New Roman" w:hAnsi="Times New Roman" w:cs="Times New Roman"/>
          <w:color w:val="000000"/>
        </w:rPr>
        <w:t xml:space="preserve">”). Capitalized terms used herein and not otherwise defined herein shall have the respective meanings set forth in the </w:t>
      </w:r>
      <w:r w:rsidR="00A6401E">
        <w:rPr>
          <w:rFonts w:ascii="Times New Roman" w:eastAsia="Times New Roman" w:hAnsi="Times New Roman" w:cs="Times New Roman"/>
          <w:color w:val="000000"/>
        </w:rPr>
        <w:t xml:space="preserve">Securities </w:t>
      </w:r>
      <w:r>
        <w:rPr>
          <w:rFonts w:ascii="Times New Roman" w:eastAsia="Times New Roman" w:hAnsi="Times New Roman" w:cs="Times New Roman"/>
          <w:color w:val="000000"/>
        </w:rPr>
        <w:t xml:space="preserve">Purchase Agreement by and </w:t>
      </w:r>
      <w:r w:rsidR="0011750E">
        <w:rPr>
          <w:rFonts w:ascii="Times New Roman" w:eastAsia="Times New Roman" w:hAnsi="Times New Roman" w:cs="Times New Roman"/>
          <w:color w:val="000000"/>
        </w:rPr>
        <w:t>among</w:t>
      </w:r>
      <w:r>
        <w:rPr>
          <w:rFonts w:ascii="Times New Roman" w:eastAsia="Times New Roman" w:hAnsi="Times New Roman" w:cs="Times New Roman"/>
          <w:color w:val="000000"/>
        </w:rPr>
        <w:t xml:space="preserve"> the parties hereto, dated as of the date hereof (as amended, restated, supplemented or otherwise modified from time to time, the “</w:t>
      </w:r>
      <w:r w:rsidRPr="005E47E2">
        <w:rPr>
          <w:rFonts w:ascii="Times New Roman" w:eastAsia="Times New Roman" w:hAnsi="Times New Roman" w:cs="Times New Roman"/>
          <w:b/>
          <w:color w:val="000000"/>
        </w:rPr>
        <w:t>Purchase Agreement</w:t>
      </w:r>
      <w:r>
        <w:rPr>
          <w:rFonts w:ascii="Times New Roman" w:eastAsia="Times New Roman" w:hAnsi="Times New Roman" w:cs="Times New Roman"/>
          <w:color w:val="000000"/>
        </w:rPr>
        <w:t xml:space="preserve">”).   </w:t>
      </w:r>
    </w:p>
    <w:p w14:paraId="50BBC05D" w14:textId="2B6C6308" w:rsidR="00B35FD8" w:rsidRDefault="000B592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DCF941D" w14:textId="77777777" w:rsidR="00B35FD8" w:rsidRDefault="002161CA">
      <w:pPr>
        <w:spacing w:after="0" w:line="240" w:lineRule="auto"/>
        <w:jc w:val="center"/>
        <w:rPr>
          <w:rFonts w:ascii="Times New Roman" w:eastAsia="Times New Roman" w:hAnsi="Times New Roman" w:cs="Times New Roman"/>
          <w:color w:val="000000"/>
        </w:rPr>
      </w:pPr>
      <w:bookmarkStart w:id="3" w:name="_DV_M3"/>
      <w:bookmarkEnd w:id="3"/>
      <w:r>
        <w:rPr>
          <w:rFonts w:ascii="Times New Roman" w:eastAsia="Times New Roman" w:hAnsi="Times New Roman" w:cs="Times New Roman"/>
          <w:b/>
          <w:bCs/>
          <w:color w:val="000000"/>
        </w:rPr>
        <w:t>WHEREAS:</w:t>
      </w:r>
    </w:p>
    <w:p w14:paraId="2F71FEB1" w14:textId="77777777" w:rsidR="00B35FD8" w:rsidRDefault="00B35FD8">
      <w:pPr>
        <w:spacing w:after="0" w:line="240" w:lineRule="auto"/>
        <w:jc w:val="both"/>
        <w:rPr>
          <w:rFonts w:ascii="Times New Roman" w:eastAsia="Times New Roman" w:hAnsi="Times New Roman" w:cs="Times New Roman"/>
          <w:color w:val="000000"/>
        </w:rPr>
      </w:pPr>
    </w:p>
    <w:p w14:paraId="4344A431" w14:textId="0E979B8A" w:rsidR="00B35FD8" w:rsidRPr="00460805" w:rsidRDefault="002161CA" w:rsidP="00110EC6">
      <w:pPr>
        <w:pStyle w:val="UpperLetteroutlinedc1"/>
        <w:rPr>
          <w:rFonts w:cs="Times New Roman"/>
        </w:rPr>
      </w:pPr>
      <w:bookmarkStart w:id="4" w:name="_DV_M4"/>
      <w:bookmarkEnd w:id="4"/>
      <w:r>
        <w:t>Upon the terms and subject to the conditions of the Purchase Agreement, the Company has agreed to issue to the Investor</w:t>
      </w:r>
      <w:r w:rsidR="0011750E">
        <w:t>s</w:t>
      </w:r>
      <w:r>
        <w:t>, and the Investor</w:t>
      </w:r>
      <w:r w:rsidR="0011750E">
        <w:t>s</w:t>
      </w:r>
      <w:r>
        <w:t xml:space="preserve"> ha</w:t>
      </w:r>
      <w:r w:rsidR="0011750E">
        <w:t>ve</w:t>
      </w:r>
      <w:r>
        <w:t xml:space="preserve"> agreed to purchase,</w:t>
      </w:r>
      <w:r w:rsidR="0011750E">
        <w:t xml:space="preserve"> severally and not jointly, an aggregate of</w:t>
      </w:r>
      <w:r>
        <w:t xml:space="preserve"> up to </w:t>
      </w:r>
      <w:r w:rsidR="003864F2">
        <w:t>$</w:t>
      </w:r>
      <w:r w:rsidR="000A7938" w:rsidRPr="003A559E">
        <w:t>[●]</w:t>
      </w:r>
      <w:r w:rsidR="00C06BCC">
        <w:t xml:space="preserve"> </w:t>
      </w:r>
      <w:r>
        <w:t xml:space="preserve">of </w:t>
      </w:r>
      <w:r w:rsidR="00117C1A">
        <w:t xml:space="preserve">(x) </w:t>
      </w:r>
      <w:r w:rsidR="00460805">
        <w:t>[ordinary shares (the “</w:t>
      </w:r>
      <w:r w:rsidR="00460805" w:rsidRPr="00460805">
        <w:rPr>
          <w:b/>
          <w:bCs/>
        </w:rPr>
        <w:t>Ordinary Shares</w:t>
      </w:r>
      <w:r w:rsidR="00460805">
        <w:t>”), [par/nominal] value $[ ]</w:t>
      </w:r>
      <w:r w:rsidR="00670C16">
        <w:rPr>
          <w:rStyle w:val="FootnoteReference"/>
        </w:rPr>
        <w:footnoteReference w:id="2"/>
      </w:r>
      <w:r w:rsidR="00460805">
        <w:t xml:space="preserve"> per share, of the Company (the </w:t>
      </w:r>
      <w:r w:rsidR="00666127">
        <w:t>“</w:t>
      </w:r>
      <w:r w:rsidR="00666127">
        <w:rPr>
          <w:b/>
          <w:bCs/>
        </w:rPr>
        <w:t xml:space="preserve">Initial </w:t>
      </w:r>
      <w:r w:rsidR="00460805" w:rsidRPr="00666127">
        <w:rPr>
          <w:b/>
          <w:bCs/>
        </w:rPr>
        <w:t>Shares</w:t>
      </w:r>
      <w:r w:rsidR="00460805">
        <w:t>”)]</w:t>
      </w:r>
      <w:r w:rsidR="00670C16">
        <w:rPr>
          <w:rStyle w:val="FootnoteReference"/>
        </w:rPr>
        <w:footnoteReference w:id="3"/>
      </w:r>
      <w:r w:rsidR="00753920">
        <w:t>[American Depositary Shares (“</w:t>
      </w:r>
      <w:r w:rsidR="00753920" w:rsidRPr="00460805">
        <w:rPr>
          <w:b/>
          <w:bCs/>
        </w:rPr>
        <w:t>ADSs</w:t>
      </w:r>
      <w:r w:rsidR="00753920">
        <w:t xml:space="preserve">”), each representing [    ] ordinary </w:t>
      </w:r>
      <w:r w:rsidR="00753920" w:rsidRPr="00E14331">
        <w:t xml:space="preserve">shares </w:t>
      </w:r>
      <w:r w:rsidR="00753920">
        <w:t>(the “</w:t>
      </w:r>
      <w:r w:rsidR="00753920" w:rsidRPr="00460805">
        <w:rPr>
          <w:b/>
          <w:bCs/>
        </w:rPr>
        <w:t>Ordinary Shares</w:t>
      </w:r>
      <w:r w:rsidR="00753920">
        <w:t>”)</w:t>
      </w:r>
      <w:r w:rsidR="00753920" w:rsidRPr="00224E35">
        <w:t xml:space="preserve">, </w:t>
      </w:r>
      <w:r w:rsidR="00753920">
        <w:t>[</w:t>
      </w:r>
      <w:r w:rsidR="00753920" w:rsidRPr="00224E35">
        <w:t>par</w:t>
      </w:r>
      <w:r w:rsidR="00753920">
        <w:t>/nominal]</w:t>
      </w:r>
      <w:r w:rsidR="00753920" w:rsidRPr="00224E35">
        <w:t xml:space="preserve"> value $</w:t>
      </w:r>
      <w:r w:rsidR="00753920">
        <w:t>[</w:t>
      </w:r>
      <w:r w:rsidR="00753920">
        <w:tab/>
        <w:t>]</w:t>
      </w:r>
      <w:r w:rsidR="00753920">
        <w:rPr>
          <w:rStyle w:val="FootnoteReference"/>
        </w:rPr>
        <w:footnoteReference w:id="4"/>
      </w:r>
      <w:r w:rsidR="00753920" w:rsidRPr="00224E35">
        <w:t xml:space="preserve"> per </w:t>
      </w:r>
      <w:r w:rsidR="00117C1A">
        <w:t>share</w:t>
      </w:r>
      <w:r w:rsidR="00753920">
        <w:t>, of the Company</w:t>
      </w:r>
      <w:r w:rsidR="00117C1A">
        <w:t xml:space="preserve"> (the “</w:t>
      </w:r>
      <w:r w:rsidR="00117C1A" w:rsidRPr="00460805">
        <w:rPr>
          <w:b/>
        </w:rPr>
        <w:t xml:space="preserve">Initial </w:t>
      </w:r>
      <w:r w:rsidR="00AC532C">
        <w:rPr>
          <w:b/>
        </w:rPr>
        <w:t>ADSs</w:t>
      </w:r>
      <w:r w:rsidR="00117C1A">
        <w:t>”)</w:t>
      </w:r>
      <w:r w:rsidR="00AC532C">
        <w:t>]</w:t>
      </w:r>
      <w:r w:rsidR="00670C16">
        <w:rPr>
          <w:rStyle w:val="FootnoteReference"/>
        </w:rPr>
        <w:footnoteReference w:id="5"/>
      </w:r>
      <w:r w:rsidR="00117C1A">
        <w:t>, and</w:t>
      </w:r>
      <w:r w:rsidR="002501FA">
        <w:t>/or</w:t>
      </w:r>
      <w:r w:rsidR="00117C1A">
        <w:t xml:space="preserve"> (y) </w:t>
      </w:r>
      <w:r w:rsidR="0007081C">
        <w:t xml:space="preserve">pre-funded </w:t>
      </w:r>
      <w:r w:rsidR="00117C1A">
        <w:t>warrants</w:t>
      </w:r>
      <w:r w:rsidR="00215F4D">
        <w:t xml:space="preserve"> </w:t>
      </w:r>
      <w:r w:rsidR="00154224">
        <w:t xml:space="preserve">to purchase </w:t>
      </w:r>
      <w:r w:rsidR="00F65A7D">
        <w:t>[</w:t>
      </w:r>
      <w:r w:rsidR="00F16D38">
        <w:t>Ordinary Share</w:t>
      </w:r>
      <w:r w:rsidR="00F65A7D">
        <w:t>s][ADSs]</w:t>
      </w:r>
      <w:r w:rsidR="00154224">
        <w:t xml:space="preserve"> </w:t>
      </w:r>
      <w:r w:rsidR="00117C1A">
        <w:t xml:space="preserve"> </w:t>
      </w:r>
      <w:r w:rsidR="009E1309">
        <w:t>[, and (z) warrants (the “</w:t>
      </w:r>
      <w:r w:rsidR="00767190" w:rsidRPr="00460805">
        <w:rPr>
          <w:b/>
          <w:bCs/>
        </w:rPr>
        <w:t>[</w:t>
      </w:r>
      <w:r w:rsidR="00F16D38" w:rsidRPr="00460805">
        <w:rPr>
          <w:b/>
          <w:bCs/>
        </w:rPr>
        <w:t>Ordinary</w:t>
      </w:r>
      <w:r w:rsidR="00AC532C">
        <w:rPr>
          <w:b/>
          <w:bCs/>
        </w:rPr>
        <w:t xml:space="preserve"> Warrants</w:t>
      </w:r>
      <w:r w:rsidR="00767190" w:rsidRPr="00460805">
        <w:rPr>
          <w:b/>
          <w:bCs/>
        </w:rPr>
        <w:t>][ADS</w:t>
      </w:r>
      <w:r w:rsidR="00F16D38" w:rsidRPr="00460805">
        <w:rPr>
          <w:b/>
          <w:bCs/>
        </w:rPr>
        <w:t xml:space="preserve"> </w:t>
      </w:r>
      <w:r w:rsidR="009E1309" w:rsidRPr="00460805">
        <w:rPr>
          <w:b/>
          <w:bCs/>
        </w:rPr>
        <w:t>Warrants</w:t>
      </w:r>
      <w:r w:rsidR="00AC532C">
        <w:rPr>
          <w:b/>
          <w:bCs/>
        </w:rPr>
        <w:t>]</w:t>
      </w:r>
      <w:r w:rsidR="009E1309">
        <w:t xml:space="preserve">” </w:t>
      </w:r>
      <w:r w:rsidR="00227FD0">
        <w:t>(</w:t>
      </w:r>
      <w:r w:rsidR="009E1309">
        <w:t xml:space="preserve">together with the </w:t>
      </w:r>
      <w:r w:rsidR="00227FD0">
        <w:t>p</w:t>
      </w:r>
      <w:r w:rsidR="009E1309">
        <w:t>re-</w:t>
      </w:r>
      <w:r w:rsidR="00227FD0">
        <w:t>f</w:t>
      </w:r>
      <w:r w:rsidR="009E1309">
        <w:t xml:space="preserve">unded </w:t>
      </w:r>
      <w:r w:rsidR="00227FD0">
        <w:t>w</w:t>
      </w:r>
      <w:r w:rsidR="009E1309">
        <w:t>arrants,</w:t>
      </w:r>
      <w:r w:rsidR="00227FD0">
        <w:t>] (</w:t>
      </w:r>
      <w:r w:rsidR="009E1309">
        <w:t>the “</w:t>
      </w:r>
      <w:r w:rsidR="009E1309" w:rsidRPr="00460805">
        <w:rPr>
          <w:b/>
          <w:bCs/>
        </w:rPr>
        <w:t>Warrants</w:t>
      </w:r>
      <w:r w:rsidR="009E1309">
        <w:t xml:space="preserve">”) </w:t>
      </w:r>
      <w:r w:rsidR="00117C1A">
        <w:t xml:space="preserve">to purchase </w:t>
      </w:r>
      <w:r w:rsidR="00767190">
        <w:t>[</w:t>
      </w:r>
      <w:r w:rsidR="00F16D38">
        <w:t>Ordinary Shares</w:t>
      </w:r>
      <w:r w:rsidR="00767190">
        <w:t>][ADSs]</w:t>
      </w:r>
      <w:r>
        <w:t xml:space="preserve">, </w:t>
      </w:r>
      <w:r w:rsidR="00117C1A">
        <w:t xml:space="preserve">in each case, </w:t>
      </w:r>
      <w:r>
        <w:t>pursuant to the Purchase Agreement</w:t>
      </w:r>
      <w:r w:rsidR="00215F4D">
        <w:t xml:space="preserve">.  The </w:t>
      </w:r>
      <w:r w:rsidR="00AE7F49">
        <w:t>[</w:t>
      </w:r>
      <w:r w:rsidR="00215F4D">
        <w:t>Initial Shares</w:t>
      </w:r>
      <w:r w:rsidR="00AE7F49">
        <w:t>][Initial ADSs]</w:t>
      </w:r>
      <w:r w:rsidR="00215F4D">
        <w:t xml:space="preserve"> and the </w:t>
      </w:r>
      <w:r w:rsidR="00767190">
        <w:t>[</w:t>
      </w:r>
      <w:r w:rsidR="00F16D38">
        <w:t>Ordinary Shares</w:t>
      </w:r>
      <w:r w:rsidR="00767190">
        <w:t>][ADSs]</w:t>
      </w:r>
      <w:r w:rsidR="00215F4D">
        <w:t xml:space="preserve"> issuable upon exercise of the Warrants</w:t>
      </w:r>
      <w:r w:rsidR="00025F17">
        <w:t xml:space="preserve">, without giving effect to any limitations on exercise of the </w:t>
      </w:r>
      <w:r w:rsidR="00227FD0">
        <w:t>p</w:t>
      </w:r>
      <w:r w:rsidR="00FB03BD">
        <w:t>re-</w:t>
      </w:r>
      <w:r w:rsidR="00227FD0">
        <w:t>f</w:t>
      </w:r>
      <w:r w:rsidR="00FB03BD">
        <w:t xml:space="preserve">unded </w:t>
      </w:r>
      <w:r w:rsidR="00227FD0">
        <w:t>w</w:t>
      </w:r>
      <w:r w:rsidR="00025F17">
        <w:t xml:space="preserve">arrants, and assuming all of the </w:t>
      </w:r>
      <w:r w:rsidR="00227FD0">
        <w:t>p</w:t>
      </w:r>
      <w:r w:rsidR="00FB03BD">
        <w:t>re-</w:t>
      </w:r>
      <w:r w:rsidR="00227FD0">
        <w:t>f</w:t>
      </w:r>
      <w:r w:rsidR="00FB03BD">
        <w:t xml:space="preserve">unded </w:t>
      </w:r>
      <w:r w:rsidR="00227FD0">
        <w:t>w</w:t>
      </w:r>
      <w:r w:rsidR="00025F17">
        <w:t>arrants are exercised for cash,</w:t>
      </w:r>
      <w:r w:rsidR="00215F4D">
        <w:t xml:space="preserve"> are collectively referred to herein as the </w:t>
      </w:r>
      <w:r w:rsidR="00974861">
        <w:t>[</w:t>
      </w:r>
      <w:r w:rsidR="00215F4D">
        <w:t>“</w:t>
      </w:r>
      <w:r w:rsidR="00215F4D" w:rsidRPr="00460805">
        <w:rPr>
          <w:b/>
          <w:bCs/>
        </w:rPr>
        <w:t>Shares</w:t>
      </w:r>
      <w:r w:rsidR="00215F4D">
        <w:t>.”</w:t>
      </w:r>
      <w:r w:rsidR="00974861">
        <w:t>][“</w:t>
      </w:r>
      <w:r w:rsidR="00974861">
        <w:rPr>
          <w:b/>
          <w:bCs/>
        </w:rPr>
        <w:t>Registrable ADSs</w:t>
      </w:r>
      <w:r w:rsidR="00974861">
        <w:t>.”]</w:t>
      </w:r>
    </w:p>
    <w:p w14:paraId="3B5BC81D" w14:textId="77777777" w:rsidR="00B35FD8" w:rsidRDefault="00B35FD8">
      <w:pPr>
        <w:spacing w:after="0" w:line="240" w:lineRule="auto"/>
        <w:jc w:val="both"/>
        <w:rPr>
          <w:rFonts w:ascii="Times New Roman" w:eastAsia="Times New Roman" w:hAnsi="Times New Roman" w:cs="Times New Roman"/>
          <w:color w:val="000000"/>
        </w:rPr>
      </w:pPr>
    </w:p>
    <w:p w14:paraId="4B18D1FB" w14:textId="3F890276" w:rsidR="00B35FD8" w:rsidRDefault="002161CA">
      <w:pPr>
        <w:pStyle w:val="UpperLetteroutlinedc1"/>
        <w:rPr>
          <w:rFonts w:cs="Times New Roman"/>
        </w:rPr>
      </w:pPr>
      <w:bookmarkStart w:id="5" w:name="_DV_M5"/>
      <w:bookmarkEnd w:id="5"/>
      <w:r>
        <w:t>To induce the Investor</w:t>
      </w:r>
      <w:r w:rsidR="00671C11">
        <w:t>s</w:t>
      </w:r>
      <w:r>
        <w:t xml:space="preserve"> to enter into the Purchase Agreement, the Company has agreed to provide certain registration rights under the </w:t>
      </w:r>
      <w:r w:rsidR="009E1309">
        <w:t xml:space="preserve">U.S. </w:t>
      </w:r>
      <w:r>
        <w:t>Securities Act of 1933, as amended, and the rules and regulations thereunder, or any similar successor statute (collectively, the “</w:t>
      </w:r>
      <w:r w:rsidRPr="00A96A6A">
        <w:rPr>
          <w:b/>
        </w:rPr>
        <w:t>Securities Act</w:t>
      </w:r>
      <w:r>
        <w:t>”), and applicable state securities laws</w:t>
      </w:r>
      <w:bookmarkStart w:id="6" w:name="_DV_C3"/>
      <w:bookmarkEnd w:id="6"/>
      <w:r>
        <w:t>.</w:t>
      </w:r>
    </w:p>
    <w:p w14:paraId="123C7509" w14:textId="77777777" w:rsidR="00B35FD8" w:rsidRDefault="00B35FD8">
      <w:pPr>
        <w:spacing w:after="0" w:line="240" w:lineRule="auto"/>
        <w:jc w:val="both"/>
        <w:rPr>
          <w:rFonts w:ascii="Times New Roman" w:eastAsia="Times New Roman" w:hAnsi="Times New Roman" w:cs="Times New Roman"/>
          <w:color w:val="000000"/>
        </w:rPr>
      </w:pPr>
    </w:p>
    <w:p w14:paraId="34628E7F" w14:textId="5D0D2C9B" w:rsidR="00B35FD8" w:rsidRDefault="002161CA">
      <w:pPr>
        <w:spacing w:after="0" w:line="240" w:lineRule="auto"/>
        <w:ind w:firstLine="720"/>
        <w:jc w:val="both"/>
        <w:rPr>
          <w:rFonts w:ascii="Times New Roman" w:eastAsia="Times New Roman" w:hAnsi="Times New Roman" w:cs="Times New Roman"/>
          <w:color w:val="000000"/>
        </w:rPr>
      </w:pPr>
      <w:bookmarkStart w:id="7" w:name="_DV_M6"/>
      <w:bookmarkEnd w:id="7"/>
      <w:r>
        <w:rPr>
          <w:rFonts w:ascii="Times New Roman" w:eastAsia="Times New Roman" w:hAnsi="Times New Roman" w:cs="Times New Roman"/>
          <w:b/>
          <w:bCs/>
          <w:color w:val="000000"/>
        </w:rPr>
        <w:t>NOW, THEREFORE,</w:t>
      </w:r>
      <w:r>
        <w:rPr>
          <w:rFonts w:ascii="Times New Roman" w:eastAsia="Times New Roman" w:hAnsi="Times New Roman" w:cs="Times New Roman"/>
          <w:color w:val="000000"/>
        </w:rPr>
        <w:t xml:space="preserve"> in consideration of the promises and the mutual covenants contained herein and other good and valuable consideration, the receipt and sufficiency of which are hereby </w:t>
      </w:r>
      <w:bookmarkStart w:id="8" w:name="LastSpot"/>
      <w:bookmarkStart w:id="9" w:name="_DV_M7"/>
      <w:bookmarkEnd w:id="8"/>
      <w:bookmarkEnd w:id="9"/>
      <w:r>
        <w:rPr>
          <w:rFonts w:ascii="Times New Roman" w:eastAsia="Times New Roman" w:hAnsi="Times New Roman" w:cs="Times New Roman"/>
          <w:color w:val="000000"/>
        </w:rPr>
        <w:t>acknowledged, the Company and the Investor</w:t>
      </w:r>
      <w:r w:rsidR="00671C11">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hereby agree as follows:</w:t>
      </w:r>
    </w:p>
    <w:p w14:paraId="440168C4" w14:textId="77777777" w:rsidR="00B35FD8" w:rsidRDefault="00B35FD8">
      <w:pPr>
        <w:spacing w:after="0" w:line="240" w:lineRule="auto"/>
        <w:rPr>
          <w:rFonts w:ascii="Times New Roman" w:eastAsia="Times New Roman" w:hAnsi="Times New Roman" w:cs="Times New Roman"/>
          <w:color w:val="000000"/>
        </w:rPr>
      </w:pPr>
    </w:p>
    <w:p w14:paraId="051CFDC0" w14:textId="77777777" w:rsidR="00B35FD8" w:rsidRDefault="002161CA">
      <w:pPr>
        <w:pStyle w:val="Decimaloutlinedc1"/>
        <w:rPr>
          <w:rFonts w:cs="Times New Roman"/>
        </w:rPr>
      </w:pPr>
      <w:bookmarkStart w:id="10" w:name="_DV_M8"/>
      <w:bookmarkEnd w:id="10"/>
      <w:r>
        <w:t>DEFINITIONS.</w:t>
      </w:r>
    </w:p>
    <w:p w14:paraId="443F5A5C" w14:textId="77777777" w:rsidR="00B35FD8" w:rsidRDefault="00B35FD8">
      <w:pPr>
        <w:spacing w:after="0" w:line="240" w:lineRule="auto"/>
        <w:rPr>
          <w:rFonts w:ascii="Times New Roman" w:eastAsia="Times New Roman" w:hAnsi="Times New Roman" w:cs="Times New Roman"/>
          <w:color w:val="000000"/>
        </w:rPr>
      </w:pPr>
    </w:p>
    <w:p w14:paraId="4D7A4A52" w14:textId="77777777" w:rsidR="00B35FD8" w:rsidRDefault="002161CA">
      <w:pPr>
        <w:spacing w:after="0" w:line="240" w:lineRule="auto"/>
        <w:ind w:firstLine="1440"/>
        <w:jc w:val="both"/>
        <w:rPr>
          <w:rFonts w:ascii="Times New Roman" w:hAnsi="Times New Roman" w:cs="Times New Roman"/>
        </w:rPr>
      </w:pPr>
      <w:bookmarkStart w:id="11" w:name="_DV_M9"/>
      <w:bookmarkEnd w:id="11"/>
      <w:r>
        <w:rPr>
          <w:rFonts w:ascii="Times New Roman" w:hAnsi="Times New Roman" w:cs="Times New Roman"/>
        </w:rPr>
        <w:t>For purposes of this Agreement,</w:t>
      </w:r>
      <w:r>
        <w:rPr>
          <w:rFonts w:ascii="Times New Roman" w:eastAsia="Times New Roman" w:hAnsi="Times New Roman" w:cs="Times New Roman"/>
          <w:color w:val="000000"/>
        </w:rPr>
        <w:t xml:space="preserve"> the following terms shall have the following meanings:</w:t>
      </w:r>
      <w:bookmarkStart w:id="12" w:name="_DV_M10"/>
      <w:bookmarkEnd w:id="12"/>
    </w:p>
    <w:p w14:paraId="066EC574" w14:textId="77777777" w:rsidR="00667C95" w:rsidRPr="00667C95" w:rsidRDefault="00667C95" w:rsidP="0051576A">
      <w:pPr>
        <w:pStyle w:val="Decimaloutlinedc2"/>
        <w:numPr>
          <w:ilvl w:val="0"/>
          <w:numId w:val="0"/>
        </w:numPr>
        <w:rPr>
          <w:rFonts w:cs="Times New Roman"/>
        </w:rPr>
      </w:pPr>
    </w:p>
    <w:p w14:paraId="03A89172" w14:textId="5DADA6CA" w:rsidR="00B35FD8" w:rsidRDefault="002161CA">
      <w:pPr>
        <w:pStyle w:val="Decimaloutlinedc2"/>
        <w:rPr>
          <w:rFonts w:cs="Times New Roman"/>
        </w:rPr>
      </w:pPr>
      <w:r>
        <w:rPr>
          <w:rFonts w:eastAsia="Times New Roman" w:cs="Times New Roman"/>
          <w:color w:val="000000"/>
        </w:rPr>
        <w:lastRenderedPageBreak/>
        <w:t>“</w:t>
      </w:r>
      <w:r w:rsidRPr="00597193">
        <w:rPr>
          <w:rFonts w:eastAsia="Times New Roman" w:cs="Times New Roman"/>
          <w:b/>
          <w:bCs/>
          <w:color w:val="000000"/>
        </w:rPr>
        <w:t>Person</w:t>
      </w:r>
      <w:r>
        <w:rPr>
          <w:rFonts w:eastAsia="Times New Roman" w:cs="Times New Roman"/>
          <w:color w:val="000000"/>
        </w:rPr>
        <w:t>” means an individual</w:t>
      </w:r>
      <w:r w:rsidR="002360F8">
        <w:rPr>
          <w:rFonts w:eastAsia="Times New Roman" w:cs="Times New Roman"/>
          <w:color w:val="000000"/>
        </w:rPr>
        <w:t xml:space="preserve">, partnership, corporation, </w:t>
      </w:r>
      <w:r>
        <w:rPr>
          <w:rFonts w:eastAsia="Times New Roman" w:cs="Times New Roman"/>
          <w:color w:val="000000"/>
        </w:rPr>
        <w:t xml:space="preserve">limited liability company, </w:t>
      </w:r>
      <w:r w:rsidR="002360F8">
        <w:rPr>
          <w:rFonts w:eastAsia="Times New Roman" w:cs="Times New Roman"/>
          <w:color w:val="000000"/>
        </w:rPr>
        <w:t xml:space="preserve">business trust, joint stock company, trust, unincorporated </w:t>
      </w:r>
      <w:r>
        <w:rPr>
          <w:rFonts w:eastAsia="Times New Roman" w:cs="Times New Roman"/>
          <w:color w:val="000000"/>
        </w:rPr>
        <w:t xml:space="preserve">association, </w:t>
      </w:r>
      <w:r w:rsidR="002360F8">
        <w:rPr>
          <w:rFonts w:eastAsia="Times New Roman" w:cs="Times New Roman"/>
          <w:color w:val="000000"/>
        </w:rPr>
        <w:t>joint venture or any other entity or organization</w:t>
      </w:r>
      <w:r>
        <w:rPr>
          <w:rFonts w:eastAsia="Times New Roman" w:cs="Times New Roman"/>
          <w:color w:val="000000"/>
        </w:rPr>
        <w:t>.</w:t>
      </w:r>
    </w:p>
    <w:p w14:paraId="74E0804D" w14:textId="77777777" w:rsidR="00B35FD8" w:rsidRDefault="00B35FD8">
      <w:pPr>
        <w:pStyle w:val="Decimaloutlinedc2"/>
        <w:numPr>
          <w:ilvl w:val="0"/>
          <w:numId w:val="0"/>
        </w:numPr>
        <w:rPr>
          <w:rFonts w:cs="Times New Roman"/>
        </w:rPr>
      </w:pPr>
    </w:p>
    <w:p w14:paraId="63A70B86" w14:textId="705A7F66" w:rsidR="00B35FD8" w:rsidRDefault="002161CA">
      <w:pPr>
        <w:pStyle w:val="Decimaloutlinedc2"/>
        <w:rPr>
          <w:rFonts w:cs="Times New Roman"/>
        </w:rPr>
      </w:pPr>
      <w:r>
        <w:t>“</w:t>
      </w:r>
      <w:r w:rsidRPr="00597193">
        <w:rPr>
          <w:b/>
        </w:rPr>
        <w:t>Register</w:t>
      </w:r>
      <w:r>
        <w:t>,” “</w:t>
      </w:r>
      <w:r w:rsidRPr="00597193">
        <w:rPr>
          <w:b/>
        </w:rPr>
        <w:t>Registered</w:t>
      </w:r>
      <w:r>
        <w:t>,” and “</w:t>
      </w:r>
      <w:r w:rsidRPr="00597193">
        <w:rPr>
          <w:b/>
        </w:rPr>
        <w:t>Registration</w:t>
      </w:r>
      <w:r>
        <w:t xml:space="preserve">” refer to a registration effected by preparing and filing one or more registration statements of the Company in compliance with the Securities Act and providing for offering securities on a continuous basis, and the declaration or ordering of effectiveness of such registration statement(s) by the </w:t>
      </w:r>
      <w:r w:rsidR="009E1309">
        <w:t>U.S.</w:t>
      </w:r>
      <w:r w:rsidR="0068364D">
        <w:t xml:space="preserve"> Securities and Exchange Commission (the “</w:t>
      </w:r>
      <w:r w:rsidR="0068364D" w:rsidRPr="00387C65">
        <w:rPr>
          <w:b/>
          <w:bCs/>
        </w:rPr>
        <w:t>SEC</w:t>
      </w:r>
      <w:r w:rsidR="0068364D">
        <w:t>”)</w:t>
      </w:r>
      <w:r>
        <w:t>.</w:t>
      </w:r>
    </w:p>
    <w:p w14:paraId="1A71EFC5" w14:textId="77777777" w:rsidR="00B35FD8" w:rsidRDefault="00B35FD8">
      <w:pPr>
        <w:pStyle w:val="Decimaloutlinedc2"/>
        <w:numPr>
          <w:ilvl w:val="0"/>
          <w:numId w:val="0"/>
        </w:numPr>
        <w:rPr>
          <w:rFonts w:cs="Times New Roman"/>
        </w:rPr>
      </w:pPr>
    </w:p>
    <w:p w14:paraId="2008151C" w14:textId="11D62921" w:rsidR="00B35FD8" w:rsidRPr="005823B3" w:rsidRDefault="002161CA">
      <w:pPr>
        <w:pStyle w:val="Decimaloutlinedc2"/>
        <w:rPr>
          <w:rFonts w:eastAsia="Times New Roman" w:cs="Times New Roman"/>
          <w:color w:val="000000"/>
        </w:rPr>
      </w:pPr>
      <w:r>
        <w:t>“</w:t>
      </w:r>
      <w:r w:rsidRPr="00597193">
        <w:rPr>
          <w:b/>
        </w:rPr>
        <w:t>Registrable Securities</w:t>
      </w:r>
      <w:r>
        <w:t xml:space="preserve">” means the </w:t>
      </w:r>
      <w:r w:rsidR="00670C16">
        <w:t>[</w:t>
      </w:r>
      <w:r>
        <w:t>Shares</w:t>
      </w:r>
      <w:r w:rsidR="00670C16">
        <w:t>][Registrable ADSs]</w:t>
      </w:r>
      <w:r>
        <w:t xml:space="preserve"> and any </w:t>
      </w:r>
      <w:r w:rsidR="00025D95">
        <w:t>[</w:t>
      </w:r>
      <w:r w:rsidR="0076561F">
        <w:t>Ordinary Shares</w:t>
      </w:r>
      <w:r w:rsidR="00025D95">
        <w:t>][ADSs]</w:t>
      </w:r>
      <w:r>
        <w:t xml:space="preserve"> issued or issuable with respect to the </w:t>
      </w:r>
      <w:r w:rsidR="00670C16">
        <w:t>[</w:t>
      </w:r>
      <w:r w:rsidR="0068364D">
        <w:t>Shares</w:t>
      </w:r>
      <w:r w:rsidR="00670C16">
        <w:t>][Registrable ADSs]</w:t>
      </w:r>
      <w:r>
        <w:t xml:space="preserve"> as a result of any </w:t>
      </w:r>
      <w:r w:rsidR="00B51902">
        <w:t xml:space="preserve">share </w:t>
      </w:r>
      <w:r>
        <w:t>split</w:t>
      </w:r>
      <w:r w:rsidR="001E5D8C">
        <w:t xml:space="preserve"> or subdivision</w:t>
      </w:r>
      <w:r>
        <w:t xml:space="preserve">, </w:t>
      </w:r>
      <w:r w:rsidR="00B51902">
        <w:t xml:space="preserve">share </w:t>
      </w:r>
      <w:r>
        <w:t>dividend, recapitalization, exchange or similar event.</w:t>
      </w:r>
      <w:r w:rsidR="00E01157">
        <w:t xml:space="preserve"> </w:t>
      </w:r>
      <w:r w:rsidR="00E01157" w:rsidRPr="00E01157">
        <w:t xml:space="preserve">Registrable Securities shall cease to be Registrable Securities upon </w:t>
      </w:r>
      <w:r w:rsidR="00E01157">
        <w:t>the date on which the Investors shall have resold all the Registrable Securities covered by the</w:t>
      </w:r>
      <w:r w:rsidR="00E01157" w:rsidRPr="00E01157">
        <w:t xml:space="preserve"> Registration Statement.</w:t>
      </w:r>
      <w:r w:rsidR="00E01157">
        <w:t xml:space="preserve"> </w:t>
      </w:r>
    </w:p>
    <w:p w14:paraId="19321FCB" w14:textId="77777777" w:rsidR="005823B3" w:rsidRPr="005823B3" w:rsidRDefault="005823B3" w:rsidP="005823B3">
      <w:pPr>
        <w:pStyle w:val="Decimaloutlinedc2"/>
        <w:numPr>
          <w:ilvl w:val="0"/>
          <w:numId w:val="0"/>
        </w:numPr>
        <w:ind w:left="1440"/>
        <w:rPr>
          <w:rFonts w:eastAsia="Times New Roman" w:cs="Times New Roman"/>
          <w:color w:val="000000"/>
        </w:rPr>
      </w:pPr>
    </w:p>
    <w:p w14:paraId="331BBDF0" w14:textId="5AD664C3" w:rsidR="005823B3" w:rsidRDefault="005823B3" w:rsidP="00573D42">
      <w:pPr>
        <w:pStyle w:val="Decimaloutlinedc2"/>
      </w:pPr>
      <w:r w:rsidRPr="005823B3">
        <w:t>“</w:t>
      </w:r>
      <w:r w:rsidRPr="006A64C5">
        <w:rPr>
          <w:b/>
          <w:bCs/>
        </w:rPr>
        <w:t>Registration Expenses</w:t>
      </w:r>
      <w:r w:rsidRPr="005823B3">
        <w:t xml:space="preserve">” </w:t>
      </w:r>
      <w:r w:rsidR="007B7585">
        <w:t>means</w:t>
      </w:r>
      <w:r w:rsidRPr="005823B3">
        <w:t xml:space="preserve"> all registration and filing fee expenses incurred by the Company in effecting any registration pursuant to this Agreement, including (i) all registration, qualification, and filing fees, printing expenses, and any other fees and expenses associated with filings required to be made with the </w:t>
      </w:r>
      <w:r>
        <w:t>SEC</w:t>
      </w:r>
      <w:r w:rsidRPr="005823B3">
        <w:t>, FINRA or any other regulatory authority, (ii) all fees and expenses in connection with compliance with</w:t>
      </w:r>
      <w:r w:rsidR="00D77010">
        <w:t xml:space="preserve"> or clearing the Registrable Securities for sale under</w:t>
      </w:r>
      <w:r w:rsidRPr="005823B3">
        <w:t xml:space="preserve"> any securities or “Blue Sky” laws, (iii) all printing, duplicating, word processing, messenger, telephone, facsimile and delivery expenses, </w:t>
      </w:r>
      <w:r w:rsidR="0051576A">
        <w:t xml:space="preserve">and </w:t>
      </w:r>
      <w:r w:rsidRPr="005823B3">
        <w:t>(iv) all fees and disbursements of counsel for the Company and of all independent certified public accountants of the Company (including the expenses of any special audit and cold comfort letters required by or incident to such performance).</w:t>
      </w:r>
      <w:r>
        <w:t xml:space="preserve"> </w:t>
      </w:r>
    </w:p>
    <w:p w14:paraId="711EA404" w14:textId="77777777" w:rsidR="00B35FD8" w:rsidRDefault="00B35FD8">
      <w:pPr>
        <w:pStyle w:val="Decimaloutlinedc2"/>
        <w:numPr>
          <w:ilvl w:val="0"/>
          <w:numId w:val="0"/>
        </w:numPr>
        <w:rPr>
          <w:rFonts w:cs="Times New Roman"/>
        </w:rPr>
      </w:pPr>
    </w:p>
    <w:p w14:paraId="3F872D48" w14:textId="767B6E69" w:rsidR="00B35FD8" w:rsidRPr="005823B3" w:rsidRDefault="002161CA" w:rsidP="005823B3">
      <w:pPr>
        <w:pStyle w:val="Decimaloutlinedc2"/>
        <w:rPr>
          <w:rFonts w:cs="Times New Roman"/>
        </w:rPr>
      </w:pPr>
      <w:r>
        <w:t>“</w:t>
      </w:r>
      <w:r w:rsidRPr="00B026B7">
        <w:rPr>
          <w:b/>
        </w:rPr>
        <w:t>Registration Statement</w:t>
      </w:r>
      <w:r>
        <w:t xml:space="preserve">” means any registration statement of the </w:t>
      </w:r>
      <w:r w:rsidR="00543DB2">
        <w:t xml:space="preserve">Company </w:t>
      </w:r>
      <w:r w:rsidR="00543DB2" w:rsidRPr="005823B3">
        <w:t>filed</w:t>
      </w:r>
      <w:r w:rsidR="005823B3" w:rsidRPr="005823B3">
        <w:t xml:space="preserve"> with, or to be filed with, the </w:t>
      </w:r>
      <w:r w:rsidR="005823B3">
        <w:t>SEC</w:t>
      </w:r>
      <w:r w:rsidR="005823B3" w:rsidRPr="005823B3">
        <w:t xml:space="preserve"> under the Securities Act, </w:t>
      </w:r>
      <w:r>
        <w:t>that Registers Registrable Securities,</w:t>
      </w:r>
      <w:r w:rsidR="005823B3">
        <w:t xml:space="preserve"> </w:t>
      </w:r>
      <w:r w:rsidR="005823B3" w:rsidRPr="005823B3">
        <w:t>including the related prospectus, amendments and supplements to such registration statement, including pre- and post-effective amendments, and all exhibits and all material incorporated by reference in such registration statement as may be necessary to comply with applicable securities laws</w:t>
      </w:r>
      <w:r w:rsidR="005823B3">
        <w:t>. “Registration Statement” shall also</w:t>
      </w:r>
      <w:r>
        <w:t xml:space="preserve"> </w:t>
      </w:r>
      <w:r w:rsidR="005823B3">
        <w:t>inclu</w:t>
      </w:r>
      <w:r w:rsidR="005823B3" w:rsidRPr="00C22C0E">
        <w:t xml:space="preserve">de </w:t>
      </w:r>
      <w:r w:rsidRPr="00C22C0E">
        <w:t>a New Registration Statement,</w:t>
      </w:r>
      <w:r>
        <w:t xml:space="preserve"> as amended when each became effective, including all documents filed as part thereof or incorporated by reference therein, and including any information contained in a </w:t>
      </w:r>
      <w:r w:rsidR="0068364D">
        <w:t>p</w:t>
      </w:r>
      <w:r>
        <w:t>rospectus subsequently filed with the SEC.</w:t>
      </w:r>
    </w:p>
    <w:p w14:paraId="565CAF86" w14:textId="77777777" w:rsidR="005823B3" w:rsidRPr="005823B3" w:rsidRDefault="005823B3" w:rsidP="005823B3">
      <w:pPr>
        <w:pStyle w:val="Decimaloutlinedc2"/>
        <w:numPr>
          <w:ilvl w:val="0"/>
          <w:numId w:val="0"/>
        </w:numPr>
        <w:ind w:left="1440"/>
        <w:rPr>
          <w:rFonts w:cs="Times New Roman"/>
        </w:rPr>
      </w:pPr>
    </w:p>
    <w:p w14:paraId="76537B43" w14:textId="6DE47EA7" w:rsidR="005823B3" w:rsidRPr="005823B3" w:rsidRDefault="005823B3" w:rsidP="005823B3">
      <w:pPr>
        <w:pStyle w:val="Decimaloutlinedc2"/>
        <w:rPr>
          <w:rFonts w:cs="Times New Roman"/>
        </w:rPr>
      </w:pPr>
      <w:r w:rsidRPr="005823B3">
        <w:rPr>
          <w:rFonts w:cs="Times New Roman"/>
        </w:rPr>
        <w:t>“</w:t>
      </w:r>
      <w:r w:rsidRPr="00EB63D2">
        <w:rPr>
          <w:rFonts w:cs="Times New Roman"/>
          <w:b/>
          <w:bCs/>
        </w:rPr>
        <w:t>Selling Expenses</w:t>
      </w:r>
      <w:r w:rsidRPr="005823B3">
        <w:rPr>
          <w:rFonts w:cs="Times New Roman"/>
        </w:rPr>
        <w:t xml:space="preserve">” </w:t>
      </w:r>
      <w:r w:rsidR="007B7585">
        <w:rPr>
          <w:rFonts w:cs="Times New Roman"/>
        </w:rPr>
        <w:t>means</w:t>
      </w:r>
      <w:r w:rsidRPr="005823B3">
        <w:rPr>
          <w:rFonts w:cs="Times New Roman"/>
        </w:rPr>
        <w:t xml:space="preserve"> all underwriting discounts and selling commissions applicable to the sale of Registrable Securities</w:t>
      </w:r>
      <w:r>
        <w:rPr>
          <w:rFonts w:cs="Times New Roman"/>
        </w:rPr>
        <w:t xml:space="preserve"> </w:t>
      </w:r>
      <w:r w:rsidRPr="005823B3">
        <w:rPr>
          <w:rFonts w:cs="Times New Roman"/>
        </w:rPr>
        <w:t>and all similar fees and commissions relating to the Investors’ disposition of the Registrable Securities.</w:t>
      </w:r>
    </w:p>
    <w:p w14:paraId="3FE0F880" w14:textId="77777777" w:rsidR="00B35FD8" w:rsidRDefault="00B35FD8">
      <w:pPr>
        <w:pStyle w:val="ListParagraph"/>
        <w:spacing w:after="0" w:line="240" w:lineRule="auto"/>
        <w:ind w:left="0"/>
        <w:jc w:val="both"/>
        <w:rPr>
          <w:rFonts w:ascii="Times New Roman" w:eastAsia="Times New Roman" w:hAnsi="Times New Roman" w:cs="Times New Roman"/>
          <w:color w:val="000000"/>
        </w:rPr>
      </w:pPr>
    </w:p>
    <w:p w14:paraId="7D03A2A5" w14:textId="77777777" w:rsidR="00B35FD8" w:rsidRDefault="00B35FD8">
      <w:pPr>
        <w:spacing w:after="0" w:line="240" w:lineRule="auto"/>
        <w:rPr>
          <w:rFonts w:ascii="Times New Roman" w:eastAsia="Times New Roman" w:hAnsi="Times New Roman" w:cs="Times New Roman"/>
          <w:color w:val="000000"/>
        </w:rPr>
      </w:pPr>
      <w:bookmarkStart w:id="13" w:name="_DV_M13"/>
      <w:bookmarkStart w:id="14" w:name="_DV_M11"/>
      <w:bookmarkStart w:id="15" w:name="_DV_M12"/>
      <w:bookmarkStart w:id="16" w:name="_DV_M14"/>
      <w:bookmarkStart w:id="17" w:name="_DV_M15"/>
      <w:bookmarkStart w:id="18" w:name="_DV_M17"/>
      <w:bookmarkEnd w:id="13"/>
      <w:bookmarkEnd w:id="14"/>
      <w:bookmarkEnd w:id="15"/>
      <w:bookmarkEnd w:id="16"/>
      <w:bookmarkEnd w:id="17"/>
      <w:bookmarkEnd w:id="18"/>
    </w:p>
    <w:p w14:paraId="0F83986B" w14:textId="77777777" w:rsidR="00B35FD8" w:rsidRDefault="002161CA">
      <w:pPr>
        <w:pStyle w:val="Decimaloutlinedc1"/>
        <w:rPr>
          <w:rFonts w:cs="Times New Roman"/>
        </w:rPr>
      </w:pPr>
      <w:bookmarkStart w:id="19" w:name="_DV_M19"/>
      <w:bookmarkStart w:id="20" w:name="_DV_M18"/>
      <w:bookmarkEnd w:id="19"/>
      <w:bookmarkEnd w:id="20"/>
      <w:r>
        <w:t>REGISTRATION.</w:t>
      </w:r>
    </w:p>
    <w:p w14:paraId="467AF9BE" w14:textId="77777777" w:rsidR="00B35FD8" w:rsidRDefault="00B35FD8">
      <w:pPr>
        <w:pStyle w:val="Decimaloutlinedc1"/>
        <w:numPr>
          <w:ilvl w:val="0"/>
          <w:numId w:val="0"/>
        </w:numPr>
        <w:ind w:left="1080"/>
        <w:rPr>
          <w:rFonts w:cs="Times New Roman"/>
        </w:rPr>
      </w:pPr>
    </w:p>
    <w:p w14:paraId="5CFC6740" w14:textId="376C8D36" w:rsidR="005823B3" w:rsidRPr="005823B3" w:rsidRDefault="002161CA">
      <w:pPr>
        <w:pStyle w:val="Decimaloutlinedc2"/>
        <w:rPr>
          <w:rFonts w:cs="Times New Roman"/>
        </w:rPr>
      </w:pPr>
      <w:bookmarkStart w:id="21" w:name="_DV_M20"/>
      <w:bookmarkEnd w:id="21"/>
      <w:r>
        <w:rPr>
          <w:rStyle w:val="Decimaloutlinedc2runinChar"/>
        </w:rPr>
        <w:t>Mandatory Registration</w:t>
      </w:r>
      <w:r>
        <w:rPr>
          <w:rFonts w:eastAsia="Times New Roman"/>
          <w:color w:val="000000"/>
        </w:rPr>
        <w:t>. </w:t>
      </w:r>
      <w:r w:rsidR="0068364D">
        <w:t>The Company shall,</w:t>
      </w:r>
      <w:r w:rsidR="00845B46">
        <w:t xml:space="preserve"> as promptly as reasonably practicable and in any event no later than</w:t>
      </w:r>
      <w:r w:rsidR="0068364D">
        <w:t xml:space="preserve"> </w:t>
      </w:r>
      <w:r w:rsidR="00597378">
        <w:t>[</w:t>
      </w:r>
      <w:r w:rsidR="00025F17">
        <w:t>30-45]</w:t>
      </w:r>
      <w:r w:rsidR="00025F17">
        <w:rPr>
          <w:rStyle w:val="FootnoteReference"/>
        </w:rPr>
        <w:footnoteReference w:id="6"/>
      </w:r>
      <w:r w:rsidR="00025F17">
        <w:t xml:space="preserve"> days after the Closing</w:t>
      </w:r>
      <w:r w:rsidR="00FF6DC4">
        <w:t xml:space="preserve"> </w:t>
      </w:r>
      <w:r w:rsidR="00025F17">
        <w:t xml:space="preserve">Date </w:t>
      </w:r>
      <w:r w:rsidR="00FF6DC4">
        <w:t>(the “</w:t>
      </w:r>
      <w:r w:rsidR="00FF6DC4" w:rsidRPr="00270E80">
        <w:rPr>
          <w:b/>
          <w:bCs/>
        </w:rPr>
        <w:t>Filing Deadline</w:t>
      </w:r>
      <w:r w:rsidR="00FF6DC4">
        <w:t>”)</w:t>
      </w:r>
      <w:r w:rsidR="0068364D" w:rsidRPr="00ED3608">
        <w:t>,</w:t>
      </w:r>
      <w:r w:rsidR="001E5D8C">
        <w:t xml:space="preserve"> prepare and</w:t>
      </w:r>
      <w:r w:rsidR="0068364D" w:rsidRPr="00ED3608">
        <w:t xml:space="preserve"> file</w:t>
      </w:r>
      <w:r w:rsidR="0068364D">
        <w:t xml:space="preserve"> with the SEC an initial Registration Statement </w:t>
      </w:r>
      <w:r w:rsidR="00D33B29">
        <w:t>(the “</w:t>
      </w:r>
      <w:r w:rsidR="00D33B29" w:rsidRPr="00270E80">
        <w:rPr>
          <w:b/>
          <w:bCs/>
        </w:rPr>
        <w:t>Initial Registration Statement</w:t>
      </w:r>
      <w:r w:rsidR="00D33B29">
        <w:t xml:space="preserve">”) </w:t>
      </w:r>
      <w:r w:rsidR="0068364D">
        <w:t xml:space="preserve">covering the </w:t>
      </w:r>
      <w:r w:rsidR="008530BD">
        <w:t>resale of all</w:t>
      </w:r>
      <w:r w:rsidR="0068364D">
        <w:t xml:space="preserve"> Registrable Securities. </w:t>
      </w:r>
      <w:r w:rsidR="005823B3">
        <w:t xml:space="preserve">Before filing the Registration Statement, the Company shall furnish to the Investors a copy of the Registration Statement. </w:t>
      </w:r>
      <w:r w:rsidR="0068364D">
        <w:t xml:space="preserve">The Investors and </w:t>
      </w:r>
      <w:r w:rsidR="00353BF0">
        <w:t>their</w:t>
      </w:r>
      <w:r w:rsidR="0068364D">
        <w:t xml:space="preserve"> counsel shall have </w:t>
      </w:r>
      <w:r w:rsidR="00671C11">
        <w:t xml:space="preserve">at least </w:t>
      </w:r>
      <w:r w:rsidR="00BB7CB3">
        <w:t xml:space="preserve">three </w:t>
      </w:r>
      <w:r w:rsidR="00671C11">
        <w:t>Business Days</w:t>
      </w:r>
      <w:r w:rsidR="001E5D8C">
        <w:t xml:space="preserve"> prior to the anticipated filing date of a Registration Statement</w:t>
      </w:r>
      <w:r w:rsidR="0068364D">
        <w:t xml:space="preserve"> to review and comment upon such Registration Statement and any amendment or supplement to such Registration </w:t>
      </w:r>
      <w:r w:rsidR="0068364D">
        <w:lastRenderedPageBreak/>
        <w:t>Statement and any related prospectus</w:t>
      </w:r>
      <w:r w:rsidR="001E5D8C" w:rsidRPr="001E5D8C">
        <w:t xml:space="preserve">, </w:t>
      </w:r>
      <w:r w:rsidR="0068364D">
        <w:t>prior to its filing with the SEC</w:t>
      </w:r>
      <w:r w:rsidR="001E5D8C">
        <w:t xml:space="preserve">. </w:t>
      </w:r>
      <w:r w:rsidR="00025F17">
        <w:t xml:space="preserve">Subject to any SEC comments, such Registration Statement shall include the plan of distribution substantially in the form attached hereto as </w:t>
      </w:r>
      <w:r w:rsidR="00025F17" w:rsidRPr="00025F17">
        <w:rPr>
          <w:u w:val="single"/>
        </w:rPr>
        <w:t>Exhibit A</w:t>
      </w:r>
      <w:r w:rsidR="00025F17">
        <w:t xml:space="preserve">. </w:t>
      </w:r>
      <w:r w:rsidR="001E5D8C">
        <w:t>The</w:t>
      </w:r>
      <w:r w:rsidR="0068364D">
        <w:t xml:space="preserve"> Company shall </w:t>
      </w:r>
      <w:r w:rsidR="008530BD">
        <w:t xml:space="preserve">(a) </w:t>
      </w:r>
      <w:r w:rsidR="001E5D8C" w:rsidRPr="001E5D8C">
        <w:t xml:space="preserve">use </w:t>
      </w:r>
      <w:r w:rsidR="00601013">
        <w:t xml:space="preserve">commercially </w:t>
      </w:r>
      <w:r w:rsidR="001E5D8C" w:rsidRPr="001E5D8C">
        <w:t xml:space="preserve"> reasonable efforts to address in each such document prior to being so filed with the SEC such comments as the Investor or its counsel reasonably proposed by the Investor</w:t>
      </w:r>
      <w:r w:rsidR="008530BD">
        <w:t>,</w:t>
      </w:r>
      <w:r w:rsidR="001E5D8C" w:rsidRPr="001E5D8C">
        <w:t xml:space="preserve"> and </w:t>
      </w:r>
      <w:r w:rsidR="008530BD">
        <w:t>(b)</w:t>
      </w:r>
      <w:r w:rsidR="001E5D8C" w:rsidRPr="001E5D8C">
        <w:t xml:space="preserve"> not file any Registration Statement or related </w:t>
      </w:r>
      <w:r w:rsidR="001E5D8C">
        <w:t>p</w:t>
      </w:r>
      <w:r w:rsidR="001E5D8C" w:rsidRPr="001E5D8C">
        <w:t xml:space="preserve">rospectus or any amendment or supplement thereto containing information regarding the Investor to which Investor reasonably objects, unless such information is required to comply with any applicable law or regulation. </w:t>
      </w:r>
      <w:r w:rsidR="0068364D">
        <w:t>The Investor</w:t>
      </w:r>
      <w:r w:rsidR="00353BF0">
        <w:t>s</w:t>
      </w:r>
      <w:r w:rsidR="0068364D">
        <w:t xml:space="preserve"> shall furnish all information reasonably requested by the Company </w:t>
      </w:r>
      <w:r w:rsidR="005823B3" w:rsidRPr="005823B3">
        <w:t>and as shall be reasonably required in connection with any registration referred to in this Agreemen</w:t>
      </w:r>
      <w:r w:rsidR="005823B3">
        <w:t>t</w:t>
      </w:r>
      <w:r w:rsidR="0068364D">
        <w:t xml:space="preserve">. </w:t>
      </w:r>
      <w:r w:rsidR="003B6C7F">
        <w:t xml:space="preserve"> </w:t>
      </w:r>
    </w:p>
    <w:p w14:paraId="0D28E3FD" w14:textId="77777777" w:rsidR="005823B3" w:rsidRDefault="005823B3" w:rsidP="005823B3">
      <w:pPr>
        <w:pStyle w:val="Decimaloutlinedc2"/>
        <w:numPr>
          <w:ilvl w:val="0"/>
          <w:numId w:val="0"/>
        </w:numPr>
      </w:pPr>
    </w:p>
    <w:p w14:paraId="76CBC2B0" w14:textId="2AFBE547" w:rsidR="00B35FD8" w:rsidRPr="0069051F" w:rsidRDefault="009E1309" w:rsidP="0069051F">
      <w:pPr>
        <w:pStyle w:val="Decimaloutlinedc2"/>
      </w:pPr>
      <w:r w:rsidRPr="00C272D2">
        <w:rPr>
          <w:u w:val="single"/>
        </w:rPr>
        <w:t>Effectiveness</w:t>
      </w:r>
      <w:r w:rsidR="006D0B94" w:rsidRPr="00C272D2">
        <w:rPr>
          <w:u w:val="single"/>
        </w:rPr>
        <w:t>.</w:t>
      </w:r>
      <w:r w:rsidR="00171CE1">
        <w:rPr>
          <w:rFonts w:eastAsia="Times New Roman"/>
          <w:color w:val="000000"/>
        </w:rPr>
        <w:t> </w:t>
      </w:r>
      <w:r w:rsidR="0068364D" w:rsidRPr="0069051F">
        <w:t xml:space="preserve">The Company shall use its reasonable best efforts to have the </w:t>
      </w:r>
      <w:r w:rsidR="00D33B29" w:rsidRPr="0069051F">
        <w:t xml:space="preserve">Initial </w:t>
      </w:r>
      <w:r w:rsidR="0068364D" w:rsidRPr="0069051F">
        <w:t>Registration Statement and any amendment declared effective by the SEC at the earliest possible date</w:t>
      </w:r>
      <w:r w:rsidR="00797305" w:rsidRPr="0069051F">
        <w:t xml:space="preserve"> but no later than the earlier of the </w:t>
      </w:r>
      <w:r w:rsidR="00B45F7C" w:rsidRPr="0069051F">
        <w:t>75</w:t>
      </w:r>
      <w:r w:rsidR="00797305" w:rsidRPr="0069051F">
        <w:t xml:space="preserve">th calendar day following the initial filing date of the Initial Registration Statement if the SEC notifies the Company that it will “review” the Initial Registration Statement and (b) the </w:t>
      </w:r>
      <w:r w:rsidR="00BB7CB3" w:rsidRPr="0069051F">
        <w:t>fifth</w:t>
      </w:r>
      <w:r w:rsidR="00797305" w:rsidRPr="0069051F">
        <w:t xml:space="preserve"> </w:t>
      </w:r>
      <w:r w:rsidR="00E01157" w:rsidRPr="0069051F">
        <w:t>B</w:t>
      </w:r>
      <w:r w:rsidR="00797305" w:rsidRPr="0069051F">
        <w:t xml:space="preserve">usiness </w:t>
      </w:r>
      <w:r w:rsidR="00E01157" w:rsidRPr="0069051F">
        <w:t>D</w:t>
      </w:r>
      <w:r w:rsidR="00797305" w:rsidRPr="0069051F">
        <w:t>ay after the date the Company is notified (orally or in writing, whichever is earlier) by the SEC that the Initial Registration Statement will not be “reviewed” or will not be subject to further review (the “</w:t>
      </w:r>
      <w:r w:rsidR="00797305" w:rsidRPr="008228BC">
        <w:rPr>
          <w:b/>
          <w:bCs/>
        </w:rPr>
        <w:t>Effectiveness Deadline</w:t>
      </w:r>
      <w:r w:rsidR="004A6B63" w:rsidRPr="0069051F">
        <w:t>”</w:t>
      </w:r>
      <w:r w:rsidR="00797305" w:rsidRPr="0069051F">
        <w:t>)</w:t>
      </w:r>
      <w:r w:rsidR="0068364D" w:rsidRPr="0069051F">
        <w:t xml:space="preserve">. </w:t>
      </w:r>
      <w:r w:rsidR="001E5D8C" w:rsidRPr="0069051F">
        <w:t xml:space="preserve">The Company shall notify the Investor by e-mail as promptly as practicable, and in any event, within </w:t>
      </w:r>
      <w:r w:rsidR="00BB7CB3" w:rsidRPr="0069051F">
        <w:t>24</w:t>
      </w:r>
      <w:r w:rsidR="001E5D8C" w:rsidRPr="0069051F">
        <w:t xml:space="preserve"> hours, after the Registration Statement is declared effective or is supplemented and shall provide the Investor with copies of any related </w:t>
      </w:r>
      <w:r w:rsidR="00945A8D">
        <w:t>p</w:t>
      </w:r>
      <w:r w:rsidR="001E5D8C" w:rsidRPr="0069051F">
        <w:t xml:space="preserve">rospectus to be used in connection with the sale or other disposition of the securities covered thereby. </w:t>
      </w:r>
      <w:r w:rsidR="0068364D" w:rsidRPr="0069051F">
        <w:t xml:space="preserve">The Company shall use reasonable best efforts to keep the </w:t>
      </w:r>
      <w:r w:rsidR="00D33B29" w:rsidRPr="0069051F">
        <w:t xml:space="preserve">Initial </w:t>
      </w:r>
      <w:r w:rsidR="0068364D" w:rsidRPr="0069051F">
        <w:t xml:space="preserve">Registration Statement </w:t>
      </w:r>
      <w:r w:rsidR="00FF6DC4" w:rsidRPr="0069051F">
        <w:t xml:space="preserve">continuously </w:t>
      </w:r>
      <w:r w:rsidR="0068364D" w:rsidRPr="0069051F">
        <w:t>effective pursuant to Rule 415 promulgated under the Securities Act and available for the resale by the Investor</w:t>
      </w:r>
      <w:r w:rsidR="00671C11" w:rsidRPr="0069051F">
        <w:t>s</w:t>
      </w:r>
      <w:r w:rsidR="0068364D" w:rsidRPr="0069051F">
        <w:t xml:space="preserve"> of all of the Registrable Securities covered thereby at all times until the </w:t>
      </w:r>
      <w:r w:rsidR="00353BF0" w:rsidRPr="0069051F">
        <w:t>earlie</w:t>
      </w:r>
      <w:r w:rsidR="0051576A" w:rsidRPr="0069051F">
        <w:t>st</w:t>
      </w:r>
      <w:r w:rsidR="00353BF0" w:rsidRPr="0069051F">
        <w:t xml:space="preserve"> to occur of</w:t>
      </w:r>
      <w:r w:rsidR="00E01157" w:rsidRPr="0069051F">
        <w:t xml:space="preserve"> the following events:</w:t>
      </w:r>
      <w:r w:rsidR="00353BF0" w:rsidRPr="0069051F">
        <w:t xml:space="preserve"> (i) </w:t>
      </w:r>
      <w:r w:rsidR="00D33B29" w:rsidRPr="0069051F">
        <w:t xml:space="preserve">the date </w:t>
      </w:r>
      <w:r w:rsidR="0068364D" w:rsidRPr="0069051F">
        <w:t>on which the Investor</w:t>
      </w:r>
      <w:r w:rsidR="00671C11" w:rsidRPr="0069051F">
        <w:t>s</w:t>
      </w:r>
      <w:r w:rsidR="0068364D" w:rsidRPr="0069051F">
        <w:t xml:space="preserve"> shall have resold all the Registrable Securities covered thereby</w:t>
      </w:r>
      <w:r w:rsidR="0051576A" w:rsidRPr="0069051F">
        <w:t>; and (ii) the date on which the Registrable Securities may be resold by the Investors without registration and without regard to any volume or manner-of-sale limitations by reason of Rule 144, without the requirement for the Company to be in compliance with the current public information requirement under Rule 144 under the Securities Act or any other rule of similar effect</w:t>
      </w:r>
      <w:r w:rsidR="0068364D" w:rsidRPr="0069051F">
        <w:t xml:space="preserve"> (the “</w:t>
      </w:r>
      <w:r w:rsidR="0068364D" w:rsidRPr="00BC5AAF">
        <w:rPr>
          <w:b/>
          <w:bCs/>
        </w:rPr>
        <w:t>Registration Period</w:t>
      </w:r>
      <w:r w:rsidR="0068364D" w:rsidRPr="0069051F">
        <w:t xml:space="preserve">”). The </w:t>
      </w:r>
      <w:r w:rsidR="00D33B29" w:rsidRPr="0069051F">
        <w:t xml:space="preserve">Initial </w:t>
      </w:r>
      <w:r w:rsidR="0068364D" w:rsidRPr="0069051F">
        <w:t>Registration Statement (including any amendments or supplements thereto and prospectuses contained therein) shall not contain any untrue statement of a material fact or omit to state a material fact required to be stated therein, or necessary to make the statements therein, in light of the circumstances in which they were made, not misleading</w:t>
      </w:r>
      <w:r w:rsidR="002161CA" w:rsidRPr="0069051F">
        <w:t xml:space="preserve">. </w:t>
      </w:r>
    </w:p>
    <w:p w14:paraId="772F088E" w14:textId="77777777" w:rsidR="00B35FD8" w:rsidRDefault="00B35FD8" w:rsidP="00D33B29">
      <w:pPr>
        <w:spacing w:after="0" w:line="240" w:lineRule="auto"/>
        <w:jc w:val="both"/>
        <w:rPr>
          <w:rFonts w:ascii="Times New Roman" w:eastAsia="Times New Roman" w:hAnsi="Times New Roman" w:cs="Times New Roman"/>
          <w:color w:val="000000"/>
        </w:rPr>
      </w:pPr>
      <w:bookmarkStart w:id="22" w:name="_DV_M23"/>
      <w:bookmarkStart w:id="23" w:name="_DV_M26"/>
      <w:bookmarkEnd w:id="22"/>
      <w:bookmarkEnd w:id="23"/>
    </w:p>
    <w:p w14:paraId="626825F9" w14:textId="640586E3" w:rsidR="00B35FD8" w:rsidRPr="00797305" w:rsidRDefault="002161CA">
      <w:pPr>
        <w:pStyle w:val="Decimaloutlinedc2"/>
        <w:rPr>
          <w:rFonts w:cs="Times New Roman"/>
        </w:rPr>
      </w:pPr>
      <w:bookmarkStart w:id="24" w:name="_Ref_ContractCompanion_9kb9Ur014"/>
      <w:r>
        <w:rPr>
          <w:rStyle w:val="Decimaloutlinedc2runinChar"/>
        </w:rPr>
        <w:t>Sufficient Number of S</w:t>
      </w:r>
      <w:r w:rsidR="00CE41D9">
        <w:rPr>
          <w:rStyle w:val="Decimaloutlinedc2runinChar"/>
        </w:rPr>
        <w:t>ecurities</w:t>
      </w:r>
      <w:r>
        <w:rPr>
          <w:rStyle w:val="Decimaloutlinedc2runinChar"/>
        </w:rPr>
        <w:t xml:space="preserve"> Registered</w:t>
      </w:r>
      <w:r>
        <w:t xml:space="preserve">. In the event the number of </w:t>
      </w:r>
      <w:r w:rsidR="00CE41D9">
        <w:t xml:space="preserve">securities </w:t>
      </w:r>
      <w:r>
        <w:t xml:space="preserve">available under the </w:t>
      </w:r>
      <w:r w:rsidR="00D33B29">
        <w:t>Initial</w:t>
      </w:r>
      <w:r>
        <w:t xml:space="preserve"> Registration Statement at any time is insufficient to cover the Registrable Securities, the Company shall, to the extent necessary and permissible, amend the </w:t>
      </w:r>
      <w:r w:rsidR="00D33B29">
        <w:t>Initial</w:t>
      </w:r>
      <w:r>
        <w:t xml:space="preserve"> Registration Statement or file a new registration statement (together with any prospectuses or prospectus supplements thereunder, a “</w:t>
      </w:r>
      <w:r w:rsidRPr="00B57BC6">
        <w:rPr>
          <w:b/>
        </w:rPr>
        <w:t>New Registration Statement</w:t>
      </w:r>
      <w:r>
        <w:t>”), so as to cover all of such Registrable Securities as soon as reasonably practicable, but in any event not later than ten Business Days after the necessity therefor arises</w:t>
      </w:r>
      <w:r w:rsidR="00FF6DC4">
        <w:t xml:space="preserve"> (the “</w:t>
      </w:r>
      <w:r w:rsidR="00FF6DC4" w:rsidRPr="00B57BC6">
        <w:rPr>
          <w:b/>
          <w:bCs/>
        </w:rPr>
        <w:t>New Registration Filing Deadline</w:t>
      </w:r>
      <w:r w:rsidR="00FF6DC4">
        <w:t>”)</w:t>
      </w:r>
      <w:r>
        <w:t>. The Company shall use its reasonable best efforts to have such amendment and/or New Registration Statement become effective as soon as reasonably practicable following the filing thereof</w:t>
      </w:r>
      <w:r w:rsidR="00FF6DC4">
        <w:t xml:space="preserve"> but </w:t>
      </w:r>
      <w:r w:rsidR="00FF6DC4" w:rsidRPr="00FF6DC4">
        <w:t xml:space="preserve">no later than the earlier of the 75th calendar day following the initial filing date of the </w:t>
      </w:r>
      <w:r w:rsidR="00FF6DC4">
        <w:t>New</w:t>
      </w:r>
      <w:r w:rsidR="00FF6DC4" w:rsidRPr="00FF6DC4">
        <w:t xml:space="preserve"> Registration Statement if the SEC notifies the Company that it will “review” the </w:t>
      </w:r>
      <w:r w:rsidR="00FF6DC4">
        <w:t>New</w:t>
      </w:r>
      <w:r w:rsidR="00FF6DC4" w:rsidRPr="00FF6DC4">
        <w:t xml:space="preserve"> Registration Statement and (b) the fifth  Business Day after the date the Company is notified (orally or in writing, whichever is earlier) by the SEC that the </w:t>
      </w:r>
      <w:r w:rsidR="00FF6DC4">
        <w:t>New</w:t>
      </w:r>
      <w:r w:rsidR="00FF6DC4" w:rsidRPr="00FF6DC4">
        <w:t xml:space="preserve"> Registration Statement will not be “reviewed” or will not be subject to further review</w:t>
      </w:r>
      <w:r w:rsidR="00FF6DC4">
        <w:t xml:space="preserve"> (the earlier of such dates, the “</w:t>
      </w:r>
      <w:r w:rsidR="00FF6DC4" w:rsidRPr="00CF7CFE">
        <w:rPr>
          <w:b/>
          <w:bCs/>
        </w:rPr>
        <w:t>New Registration</w:t>
      </w:r>
      <w:r w:rsidR="00FF6DC4" w:rsidRPr="001F672E">
        <w:t xml:space="preserve"> </w:t>
      </w:r>
      <w:r w:rsidR="00FF6DC4" w:rsidRPr="002C3CF9">
        <w:rPr>
          <w:b/>
          <w:bCs/>
        </w:rPr>
        <w:t>Effectiveness Deadline</w:t>
      </w:r>
      <w:r w:rsidR="00FF6DC4">
        <w:t>”)</w:t>
      </w:r>
      <w:r>
        <w:t>.</w:t>
      </w:r>
      <w:r w:rsidR="00FF6DC4">
        <w:t xml:space="preserve">  The provisions of </w:t>
      </w:r>
      <w:r w:rsidR="00FF6DC4" w:rsidRPr="002360F8">
        <w:rPr>
          <w:u w:val="single"/>
        </w:rPr>
        <w:t>Section 2(a)</w:t>
      </w:r>
      <w:r w:rsidR="00FF6DC4">
        <w:t xml:space="preserve"> and </w:t>
      </w:r>
      <w:r w:rsidR="00FF6DC4" w:rsidRPr="002360F8">
        <w:rPr>
          <w:u w:val="single"/>
        </w:rPr>
        <w:t>(b)</w:t>
      </w:r>
      <w:r w:rsidR="00FF6DC4">
        <w:t xml:space="preserve"> shall apply to the New Registration Statement, except as modified hereby.</w:t>
      </w:r>
      <w:r>
        <w:t xml:space="preserve">    </w:t>
      </w:r>
      <w:bookmarkEnd w:id="24"/>
    </w:p>
    <w:p w14:paraId="3F7CC6FA" w14:textId="77777777" w:rsidR="00797305" w:rsidRPr="00797305" w:rsidRDefault="00797305" w:rsidP="00797305">
      <w:pPr>
        <w:pStyle w:val="Decimaloutlinedc2"/>
        <w:numPr>
          <w:ilvl w:val="0"/>
          <w:numId w:val="0"/>
        </w:numPr>
        <w:ind w:left="1440"/>
        <w:rPr>
          <w:rFonts w:cs="Times New Roman"/>
        </w:rPr>
      </w:pPr>
    </w:p>
    <w:p w14:paraId="2DF52E6A" w14:textId="06C6A641" w:rsidR="009D36F0" w:rsidRPr="009D36F0" w:rsidRDefault="0036552E" w:rsidP="00797305">
      <w:pPr>
        <w:pStyle w:val="Decimaloutlinedc2"/>
        <w:rPr>
          <w:rFonts w:cs="Times New Roman"/>
        </w:rPr>
      </w:pPr>
      <w:r>
        <w:rPr>
          <w:rFonts w:cs="Times New Roman"/>
          <w:u w:val="single"/>
        </w:rPr>
        <w:t>[</w:t>
      </w:r>
      <w:r w:rsidR="00BD44DB" w:rsidRPr="00BD44DB">
        <w:rPr>
          <w:rFonts w:cs="Times New Roman"/>
          <w:u w:val="single"/>
        </w:rPr>
        <w:t>Liquidated Damages</w:t>
      </w:r>
      <w:r w:rsidR="00BD44DB">
        <w:rPr>
          <w:rFonts w:cs="Times New Roman"/>
        </w:rPr>
        <w:t>.</w:t>
      </w:r>
      <w:r w:rsidR="009351C0">
        <w:rPr>
          <w:rStyle w:val="FootnoteReference"/>
          <w:rFonts w:cs="Times New Roman"/>
        </w:rPr>
        <w:footnoteReference w:id="7"/>
      </w:r>
      <w:r w:rsidR="001102C0">
        <w:t> </w:t>
      </w:r>
      <w:r w:rsidR="00797305">
        <w:rPr>
          <w:rFonts w:cs="Times New Roman"/>
        </w:rPr>
        <w:t xml:space="preserve">If (i) </w:t>
      </w:r>
      <w:r w:rsidR="00FF6DC4">
        <w:rPr>
          <w:rFonts w:cs="Times New Roman"/>
        </w:rPr>
        <w:t xml:space="preserve">the Initial Registration Statement has not been filed by the Filing Deadline, (ii) </w:t>
      </w:r>
      <w:r w:rsidR="00797305">
        <w:rPr>
          <w:rFonts w:cs="Times New Roman"/>
        </w:rPr>
        <w:t>the Initial Registration Statement has not been declared effective by the Effectiveness Deadline</w:t>
      </w:r>
      <w:r w:rsidR="00FF6DC4">
        <w:rPr>
          <w:rFonts w:cs="Times New Roman"/>
        </w:rPr>
        <w:t>, (iii) the New Registration Statement has not been filed by the New Registration Filing Deadline, (iv) the New Registration Statement has not been declared effective by the New Registration Effectiveness Deadline</w:t>
      </w:r>
      <w:r w:rsidR="00797305">
        <w:rPr>
          <w:rFonts w:cs="Times New Roman"/>
        </w:rPr>
        <w:t xml:space="preserve"> or</w:t>
      </w:r>
      <w:r w:rsidR="00797305" w:rsidRPr="00275EA4">
        <w:t xml:space="preserve"> (</w:t>
      </w:r>
      <w:r w:rsidR="00FF6DC4">
        <w:t>v</w:t>
      </w:r>
      <w:r w:rsidR="00797305" w:rsidRPr="00275EA4">
        <w:t xml:space="preserve">) after </w:t>
      </w:r>
      <w:r w:rsidR="00797305">
        <w:t xml:space="preserve">any </w:t>
      </w:r>
      <w:r w:rsidR="00797305" w:rsidRPr="00275EA4">
        <w:t>Registration Statement has been declared</w:t>
      </w:r>
      <w:r w:rsidR="00797305">
        <w:t xml:space="preserve"> </w:t>
      </w:r>
      <w:r w:rsidR="00797305" w:rsidRPr="00275EA4">
        <w:t>effective by the SEC, sales cannot be made pursuant to such Registration Statement for any</w:t>
      </w:r>
      <w:r w:rsidR="00797305">
        <w:t xml:space="preserve"> </w:t>
      </w:r>
      <w:r w:rsidR="00797305" w:rsidRPr="00275EA4">
        <w:t>reason (including without limitation by reason of a stop order, or the Company’s failure to</w:t>
      </w:r>
      <w:r w:rsidR="00797305">
        <w:t xml:space="preserve"> </w:t>
      </w:r>
      <w:r w:rsidR="00797305" w:rsidRPr="00275EA4">
        <w:t>update such Registration Statement), but excluding any Allowed Delay (as defined below) or, if</w:t>
      </w:r>
      <w:r w:rsidR="00797305">
        <w:t xml:space="preserve"> </w:t>
      </w:r>
      <w:r w:rsidR="00797305" w:rsidRPr="00275EA4">
        <w:t xml:space="preserve">the Registration Statement is on Form </w:t>
      </w:r>
      <w:r w:rsidR="00555765">
        <w:t>F</w:t>
      </w:r>
      <w:r w:rsidR="00797305" w:rsidRPr="00275EA4">
        <w:t>-1, for a period of 20 days following the date on</w:t>
      </w:r>
      <w:r w:rsidR="00797305">
        <w:t xml:space="preserve"> </w:t>
      </w:r>
      <w:r w:rsidR="00797305" w:rsidRPr="00275EA4">
        <w:t>which the Company files a post-effective amendment to incorporate the Company’s Annual</w:t>
      </w:r>
      <w:r w:rsidR="00797305">
        <w:t xml:space="preserve"> </w:t>
      </w:r>
      <w:r w:rsidR="00797305" w:rsidRPr="00275EA4">
        <w:t xml:space="preserve">Report on Form </w:t>
      </w:r>
      <w:r w:rsidR="00555765">
        <w:t>20-F</w:t>
      </w:r>
      <w:r w:rsidR="00797305" w:rsidRPr="00275EA4">
        <w:t xml:space="preserve"> (a “</w:t>
      </w:r>
      <w:r w:rsidR="00797305" w:rsidRPr="00376DE9">
        <w:rPr>
          <w:b/>
          <w:bCs/>
        </w:rPr>
        <w:t>Maintenance Failure</w:t>
      </w:r>
      <w:r w:rsidR="00797305" w:rsidRPr="00275EA4">
        <w:t>”), then the Company will make pro rata payments</w:t>
      </w:r>
      <w:r w:rsidR="00797305">
        <w:t xml:space="preserve"> </w:t>
      </w:r>
      <w:r w:rsidR="00797305" w:rsidRPr="00275EA4">
        <w:t>to each Investor then holding Registrable Securities, as liquidated damages and not as a penalty,</w:t>
      </w:r>
      <w:r w:rsidR="00797305">
        <w:t xml:space="preserve"> </w:t>
      </w:r>
      <w:r w:rsidR="00797305" w:rsidRPr="00275EA4">
        <w:t xml:space="preserve">in an amount equal to </w:t>
      </w:r>
      <w:r w:rsidR="00071E25">
        <w:t>[</w:t>
      </w:r>
      <w:r w:rsidR="00797305" w:rsidRPr="00275EA4">
        <w:t>1</w:t>
      </w:r>
      <w:r w:rsidR="001E5D8C">
        <w:t>.0</w:t>
      </w:r>
      <w:r w:rsidR="00071E25">
        <w:t>]</w:t>
      </w:r>
      <w:r w:rsidR="00797305" w:rsidRPr="00275EA4">
        <w:t>% of the aggregate amount paid pursuant to the Purchase Agreement by</w:t>
      </w:r>
      <w:r w:rsidR="00797305">
        <w:t xml:space="preserve"> </w:t>
      </w:r>
      <w:r w:rsidR="00797305" w:rsidRPr="00275EA4">
        <w:t>such Investor for such Registrable Securities then held by such Investor for each 30-day period or</w:t>
      </w:r>
      <w:r w:rsidR="00797305">
        <w:t xml:space="preserve"> </w:t>
      </w:r>
      <w:r w:rsidR="00797305" w:rsidRPr="00275EA4">
        <w:t xml:space="preserve">pro rata for any portion thereof </w:t>
      </w:r>
      <w:r w:rsidR="00FF6DC4">
        <w:t>during which the failure continues</w:t>
      </w:r>
      <w:r w:rsidR="00797305" w:rsidRPr="00275EA4">
        <w:t xml:space="preserve"> (the “</w:t>
      </w:r>
      <w:r w:rsidR="00797305" w:rsidRPr="00376DE9">
        <w:rPr>
          <w:b/>
          <w:bCs/>
        </w:rPr>
        <w:t>Blackout Period</w:t>
      </w:r>
      <w:r w:rsidR="00797305" w:rsidRPr="00275EA4">
        <w:t>”). Such payments shall constitute the Investors’</w:t>
      </w:r>
      <w:r w:rsidR="00797305">
        <w:t xml:space="preserve"> </w:t>
      </w:r>
      <w:r w:rsidR="00797305" w:rsidRPr="00275EA4">
        <w:t>exclusive monetary remedy for such events, but shall not affect the right of the Investors to seek</w:t>
      </w:r>
      <w:r w:rsidR="00797305">
        <w:t xml:space="preserve"> </w:t>
      </w:r>
      <w:r w:rsidR="00797305" w:rsidRPr="00275EA4">
        <w:t>injunctive relief. The amounts payable as liquidated damages pursuant to this paragraph shall be</w:t>
      </w:r>
      <w:r w:rsidR="00797305">
        <w:t xml:space="preserve"> </w:t>
      </w:r>
      <w:r w:rsidR="00797305" w:rsidRPr="00275EA4">
        <w:t>paid in cash no later than five  Business Days after each such 30-day period following the</w:t>
      </w:r>
      <w:r w:rsidR="00797305">
        <w:t xml:space="preserve"> </w:t>
      </w:r>
      <w:r w:rsidR="00797305" w:rsidRPr="00275EA4">
        <w:t>commencement of the Blackout Period until the termination of the Blackout Period (the</w:t>
      </w:r>
      <w:r w:rsidR="00797305">
        <w:t xml:space="preserve"> </w:t>
      </w:r>
      <w:r w:rsidR="00797305" w:rsidRPr="00275EA4">
        <w:t>“</w:t>
      </w:r>
      <w:r w:rsidR="00797305" w:rsidRPr="00376DE9">
        <w:rPr>
          <w:b/>
          <w:bCs/>
        </w:rPr>
        <w:t>Blackout Period Payment Date</w:t>
      </w:r>
      <w:r w:rsidR="00797305" w:rsidRPr="00275EA4">
        <w:t xml:space="preserve">”). Interest shall accrue at the rate of </w:t>
      </w:r>
      <w:r w:rsidR="00071E25">
        <w:t>[</w:t>
      </w:r>
      <w:r w:rsidR="00797305" w:rsidRPr="00275EA4">
        <w:t>1</w:t>
      </w:r>
      <w:r w:rsidR="008530BD">
        <w:t>.0</w:t>
      </w:r>
      <w:r w:rsidR="00071E25">
        <w:t>]</w:t>
      </w:r>
      <w:r w:rsidR="00797305" w:rsidRPr="00275EA4">
        <w:t>% per month on any such</w:t>
      </w:r>
      <w:r w:rsidR="00797305">
        <w:t xml:space="preserve"> </w:t>
      </w:r>
      <w:r w:rsidR="00797305" w:rsidRPr="00275EA4">
        <w:t>liquidated damages payments that shall not be paid by the Blackout Period Payment Date until</w:t>
      </w:r>
      <w:r w:rsidR="00797305">
        <w:t xml:space="preserve"> </w:t>
      </w:r>
      <w:r w:rsidR="00797305" w:rsidRPr="00275EA4">
        <w:t>such amount is paid in full.</w:t>
      </w:r>
      <w:r w:rsidR="00BD44DB">
        <w:t xml:space="preserve"> Notwithstanding the above, </w:t>
      </w:r>
      <w:r w:rsidR="00BD44DB" w:rsidRPr="00D92000">
        <w:t xml:space="preserve">in no event shall the aggregate amount of liquidated damages (or interest thereon) paid </w:t>
      </w:r>
      <w:r w:rsidR="00BD44DB">
        <w:t>under this Agreement</w:t>
      </w:r>
      <w:r w:rsidR="00BD44DB" w:rsidRPr="00D92000">
        <w:t xml:space="preserve"> </w:t>
      </w:r>
      <w:r w:rsidR="00BD44DB">
        <w:t xml:space="preserve">to any Investor </w:t>
      </w:r>
      <w:r w:rsidR="00BD44DB" w:rsidRPr="00D92000">
        <w:t xml:space="preserve">exceed, in the aggregate, </w:t>
      </w:r>
      <w:r w:rsidR="0055276E">
        <w:t>[</w:t>
      </w:r>
      <w:r w:rsidR="00BD44DB">
        <w:t>5</w:t>
      </w:r>
      <w:r w:rsidR="008530BD">
        <w:t>.0</w:t>
      </w:r>
      <w:r w:rsidR="0055276E">
        <w:t>]</w:t>
      </w:r>
      <w:r w:rsidR="00BD44DB" w:rsidRPr="00D92000">
        <w:t xml:space="preserve">% of the aggregate purchase price of the </w:t>
      </w:r>
      <w:r w:rsidR="00D45142">
        <w:t>[</w:t>
      </w:r>
      <w:r w:rsidR="00BD44DB">
        <w:t>Shares</w:t>
      </w:r>
      <w:r w:rsidR="00D45142">
        <w:t>][Registrable ADSs]</w:t>
      </w:r>
      <w:r w:rsidR="00BD44DB">
        <w:t xml:space="preserve"> </w:t>
      </w:r>
      <w:r w:rsidR="00BD44DB" w:rsidRPr="00B82DA3">
        <w:t xml:space="preserve">purchased by </w:t>
      </w:r>
      <w:r w:rsidR="00BD44DB">
        <w:t xml:space="preserve">such </w:t>
      </w:r>
      <w:r w:rsidR="00BD44DB" w:rsidRPr="00B82DA3">
        <w:t>Investor under the Purchase Agreement</w:t>
      </w:r>
      <w:r w:rsidR="00916DD6">
        <w:t xml:space="preserve">.  Notwithstanding anything in this </w:t>
      </w:r>
      <w:r w:rsidR="00916DD6" w:rsidRPr="00BB0AFF">
        <w:rPr>
          <w:u w:val="single"/>
        </w:rPr>
        <w:t>Section 2(d)</w:t>
      </w:r>
      <w:r w:rsidR="00916DD6">
        <w:t xml:space="preserve"> to the contrary, during any periods that the Company is unable to meet its obligations hereunder with respect to the registration of the Registrable Securities because any Investor fails to furnish information required to be provided pursuant to </w:t>
      </w:r>
      <w:r w:rsidR="00916DD6" w:rsidRPr="00BB0AFF">
        <w:rPr>
          <w:u w:val="single"/>
        </w:rPr>
        <w:t>Section 2(a)</w:t>
      </w:r>
      <w:r w:rsidR="00916DD6">
        <w:t xml:space="preserve"> or </w:t>
      </w:r>
      <w:r w:rsidR="00916DD6" w:rsidRPr="00BB0AFF">
        <w:rPr>
          <w:u w:val="single"/>
        </w:rPr>
        <w:t>Section 4(a)</w:t>
      </w:r>
      <w:r w:rsidR="00916DD6">
        <w:t xml:space="preserve"> within three  Business Days of the Company’s request, any liquidated damages that would otherwise accrue as to such Investor only shall be tolled until such information is delivered to the Company</w:t>
      </w:r>
      <w:r w:rsidR="009D36F0">
        <w:t>.</w:t>
      </w:r>
      <w:r>
        <w:t>]</w:t>
      </w:r>
    </w:p>
    <w:p w14:paraId="3D3D43C0" w14:textId="77777777" w:rsidR="009D36F0" w:rsidRPr="009D36F0" w:rsidRDefault="009D36F0" w:rsidP="009D36F0">
      <w:pPr>
        <w:pStyle w:val="Decimaloutlinedc2"/>
        <w:numPr>
          <w:ilvl w:val="0"/>
          <w:numId w:val="0"/>
        </w:numPr>
        <w:ind w:left="1440"/>
        <w:rPr>
          <w:rFonts w:cs="Times New Roman"/>
        </w:rPr>
      </w:pPr>
    </w:p>
    <w:p w14:paraId="70C4A943" w14:textId="1A09E7B6" w:rsidR="00797305" w:rsidRPr="009D36F0" w:rsidRDefault="009E1309" w:rsidP="009D36F0">
      <w:pPr>
        <w:pStyle w:val="Decimaloutlinedc2"/>
        <w:rPr>
          <w:rFonts w:cs="Times New Roman"/>
        </w:rPr>
      </w:pPr>
      <w:r w:rsidRPr="006E53C5">
        <w:rPr>
          <w:u w:val="single"/>
        </w:rPr>
        <w:t>Allowable Delays.</w:t>
      </w:r>
      <w:r w:rsidR="001102C0">
        <w:t> </w:t>
      </w:r>
      <w:r w:rsidR="002501FA">
        <w:t>On no more than two occasions and f</w:t>
      </w:r>
      <w:r w:rsidR="009D36F0" w:rsidRPr="009D36F0">
        <w:t xml:space="preserve">or not more than </w:t>
      </w:r>
      <w:r w:rsidR="009351C0">
        <w:t>3</w:t>
      </w:r>
      <w:r w:rsidR="009D36F0" w:rsidRPr="009D36F0">
        <w:t xml:space="preserve">0 consecutive days or for a total of not more than </w:t>
      </w:r>
      <w:r w:rsidR="009351C0">
        <w:t>60</w:t>
      </w:r>
      <w:r w:rsidR="009D36F0" w:rsidRPr="009D36F0">
        <w:t xml:space="preserve"> days in any 12 month period, the Company may</w:t>
      </w:r>
      <w:r w:rsidR="009D36F0">
        <w:t xml:space="preserve"> delay the effectiveness of the Initial Registration Statement or any other Registration Statement, or </w:t>
      </w:r>
      <w:r w:rsidR="009D36F0" w:rsidRPr="009D36F0">
        <w:t>suspend the use of  any prospectus included in any Registration Statement</w:t>
      </w:r>
      <w:r w:rsidR="009D36F0">
        <w:t>,</w:t>
      </w:r>
      <w:r w:rsidR="009D36F0" w:rsidRPr="009D36F0">
        <w:t xml:space="preserve"> in the event that the Company determines in good faith that such </w:t>
      </w:r>
      <w:r w:rsidR="009D36F0">
        <w:t xml:space="preserve">delay or </w:t>
      </w:r>
      <w:r w:rsidR="009D36F0" w:rsidRPr="009D36F0">
        <w:t xml:space="preserve">suspension is necessary to (A) delay the disclosure of material non-public information concerning the Company, the disclosure of which at the time is not, in the good faith opinion of the Company, in the best interests of the Company or (B) amend or supplement the affected Registration Statement or the related </w:t>
      </w:r>
      <w:r w:rsidR="00945A8D">
        <w:t>p</w:t>
      </w:r>
      <w:r w:rsidR="009D36F0" w:rsidRPr="009D36F0">
        <w:t xml:space="preserve">rospectus so that such Registration Statement or </w:t>
      </w:r>
      <w:r w:rsidR="00945A8D">
        <w:t>p</w:t>
      </w:r>
      <w:r w:rsidR="009D36F0" w:rsidRPr="009D36F0">
        <w:t xml:space="preserve">rospectus shall not include an untrue statement of a material fact or omit to state a material fact required to be stated therein or necessary to make the statements therein, in the case of the </w:t>
      </w:r>
      <w:r w:rsidR="00945A8D">
        <w:t>p</w:t>
      </w:r>
      <w:r w:rsidR="009D36F0" w:rsidRPr="009D36F0">
        <w:t>rospectus in light of the circumstances under which they were made, not misleading (an “</w:t>
      </w:r>
      <w:r w:rsidR="009D36F0" w:rsidRPr="00D40B83">
        <w:rPr>
          <w:b/>
          <w:bCs/>
        </w:rPr>
        <w:t>Allowed Delay</w:t>
      </w:r>
      <w:r w:rsidR="009D36F0" w:rsidRPr="009D36F0">
        <w:t>”); provided, that the Company shall promptly (a) notify each Investor in writing of the commencement of an Allowed Delay, but shall not (without the prior written consent of an Investor) disclose to such Investor any material non-public information giving rise to an Allowed Delay, (b) advise the Investors in writing to cease all sales under the Registration Statement until the end of the Allowed Delay and (c) use commercially reasonable efforts to terminate an Allowed Delay as promptly as practicable</w:t>
      </w:r>
      <w:r w:rsidR="009D36F0">
        <w:t>.</w:t>
      </w:r>
    </w:p>
    <w:p w14:paraId="18E4A443" w14:textId="77777777" w:rsidR="009D36F0" w:rsidRPr="009D36F0" w:rsidRDefault="009D36F0" w:rsidP="009D36F0">
      <w:pPr>
        <w:pStyle w:val="Decimaloutlinedc2"/>
        <w:numPr>
          <w:ilvl w:val="0"/>
          <w:numId w:val="0"/>
        </w:numPr>
        <w:rPr>
          <w:rFonts w:cs="Times New Roman"/>
        </w:rPr>
      </w:pPr>
    </w:p>
    <w:p w14:paraId="50859AFF" w14:textId="27030ACC" w:rsidR="00B35FD8" w:rsidRDefault="00BD44DB" w:rsidP="00BD44DB">
      <w:pPr>
        <w:pStyle w:val="Decimaloutlinedc2"/>
        <w:rPr>
          <w:rFonts w:eastAsia="Times New Roman" w:cs="Times New Roman"/>
          <w:color w:val="000000"/>
        </w:rPr>
      </w:pPr>
      <w:r>
        <w:rPr>
          <w:u w:val="single"/>
        </w:rPr>
        <w:t>Rule 415; Cutback</w:t>
      </w:r>
      <w:r>
        <w:t xml:space="preserve">.  If at any time the SEC takes the position that the offering of some or all of the Registrable Securities in any Registration Statement is not eligible to be made on a delayed or continuous basis under the provisions of Rule 415 under the </w:t>
      </w:r>
      <w:r w:rsidR="00BA0840">
        <w:t>Securities</w:t>
      </w:r>
      <w:r>
        <w:t xml:space="preserve"> Act </w:t>
      </w:r>
      <w:r w:rsidRPr="00DD4D37">
        <w:t>(</w:t>
      </w:r>
      <w:r w:rsidRPr="00096FF7">
        <w:t>provided</w:t>
      </w:r>
      <w:r w:rsidRPr="00FA7704">
        <w:t xml:space="preserve">, however, the Company shall be obligated to use </w:t>
      </w:r>
      <w:r>
        <w:t>reasonable</w:t>
      </w:r>
      <w:r w:rsidRPr="00FA7704">
        <w:t xml:space="preserve"> </w:t>
      </w:r>
      <w:r>
        <w:t xml:space="preserve">best </w:t>
      </w:r>
      <w:r w:rsidRPr="00FA7704">
        <w:t xml:space="preserve">efforts to advocate with the SEC for the </w:t>
      </w:r>
      <w:r w:rsidRPr="00CE68B5">
        <w:t>registration of all of the Registrable Securities</w:t>
      </w:r>
      <w:r w:rsidRPr="00DE5EF5">
        <w:t>)</w:t>
      </w:r>
      <w:r>
        <w:t xml:space="preserve"> or requires any Investor to be named as an “underwriter,” the Company shall (i) promptly notify each holder of Registrable Securities thereof and (ii) make commercially reasonable efforts to persuade the SEC that the offering contemplated by such Registration Statement is a valid secondary offering and not an offering “by or on behalf of the issuer” as defined in Rule 415 and that none of the Investors is an “underwriter.” The Investors shall have the right to </w:t>
      </w:r>
      <w:r w:rsidR="00550407">
        <w:t xml:space="preserve">select one </w:t>
      </w:r>
      <w:r>
        <w:t xml:space="preserve">legal counsel, at such Investor’s expense, to review and oversee any registration or matters pursuant to this </w:t>
      </w:r>
      <w:r w:rsidRPr="005B0F5E">
        <w:rPr>
          <w:u w:val="single"/>
        </w:rPr>
        <w:t>Section 2(</w:t>
      </w:r>
      <w:r w:rsidR="00FF6DC4">
        <w:rPr>
          <w:u w:val="single"/>
        </w:rPr>
        <w:t>f</w:t>
      </w:r>
      <w:r w:rsidRPr="005B0F5E">
        <w:rPr>
          <w:u w:val="single"/>
        </w:rPr>
        <w:t>)</w:t>
      </w:r>
      <w:r>
        <w:t xml:space="preserve">, including participation in any meetings or discussions with the SEC regarding the SEC’s position and to comment on any written submission made to the SEC with respect thereto. No such written submission with respect to this matter shall be made to the SEC to which any Investor’s counsel reasonably objects. In the event that, despite the Company’s reasonable best efforts and compliance with the terms of this </w:t>
      </w:r>
      <w:r w:rsidRPr="005B0F5E">
        <w:rPr>
          <w:u w:val="single"/>
        </w:rPr>
        <w:t>Section 2(</w:t>
      </w:r>
      <w:r w:rsidR="00FF6DC4">
        <w:rPr>
          <w:u w:val="single"/>
        </w:rPr>
        <w:t>f</w:t>
      </w:r>
      <w:r w:rsidRPr="005B0F5E">
        <w:rPr>
          <w:u w:val="single"/>
        </w:rPr>
        <w:t>)</w:t>
      </w:r>
      <w:r>
        <w:t>, the SEC refuses to alter its position, the Company shall (i) remove from such Registration Statement such portion of the Registrable Securities (the “</w:t>
      </w:r>
      <w:r w:rsidRPr="00ED7ACA">
        <w:rPr>
          <w:b/>
          <w:bCs/>
        </w:rPr>
        <w:t>Cut Back Shares</w:t>
      </w:r>
      <w:r>
        <w:t>”) and/or (ii) agree to such restrictions and limitations on the registration and resale of the Registrable Securities as the SEC may require to assure the Company’s compliance with the requirements of Rule 415 (collectively, the “</w:t>
      </w:r>
      <w:r w:rsidRPr="00537182">
        <w:rPr>
          <w:b/>
          <w:bCs/>
        </w:rPr>
        <w:t>SEC Restrictions</w:t>
      </w:r>
      <w:r>
        <w:t xml:space="preserve">”); </w:t>
      </w:r>
      <w:r w:rsidRPr="00BD44DB">
        <w:t>provided, however</w:t>
      </w:r>
      <w:r>
        <w:t>, that the Company shall not name any Investor as an “underwriter” in such Registration Statement without the prior written consent of such Investor (</w:t>
      </w:r>
      <w:r w:rsidRPr="00BD44DB">
        <w:t>provided</w:t>
      </w:r>
      <w:r>
        <w:t xml:space="preserve"> that, in the event an Investor withholds such consent, the Company shall have no obligation hereunder to include any Registrable Securities of such Investor in any Registration Statement covering the resale thereof until such time as the SEC no longer requires such Investor to be named as an “underwriter” in such Registration Statement or such Investor otherwise consents in writing to being so named). Any cut-back imposed on the Investors pursuant to this </w:t>
      </w:r>
      <w:r w:rsidRPr="005B0F5E">
        <w:rPr>
          <w:u w:val="single"/>
        </w:rPr>
        <w:t>Section 2(</w:t>
      </w:r>
      <w:r w:rsidR="00FF6DC4">
        <w:rPr>
          <w:u w:val="single"/>
        </w:rPr>
        <w:t>f</w:t>
      </w:r>
      <w:r w:rsidRPr="005B0F5E">
        <w:rPr>
          <w:u w:val="single"/>
        </w:rPr>
        <w:t>)</w:t>
      </w:r>
      <w:r>
        <w:t xml:space="preserve"> shall be allocated among the Investors on a pro rata basis and shall be applied first to any of the Registrable Securities of such Investor as such Investor shall designate, unless the SEC Restrictions otherwise require or provide or the Investors otherwise agree. No liquidated damages shall accrue as to any Cut Back Shares until such date as the Company is able to effect the registration of such Cut Back Shares in accordance with any SEC Restrictions applicable to such Cut Back Shares (such date, the “</w:t>
      </w:r>
      <w:r w:rsidRPr="00FA36AC">
        <w:rPr>
          <w:b/>
          <w:bCs/>
        </w:rPr>
        <w:t>Restriction Termination Date</w:t>
      </w:r>
      <w:r>
        <w:t xml:space="preserve">”). From and after the Restriction Termination Date applicable to any Cut Back Shares, all of the provisions of this </w:t>
      </w:r>
      <w:r w:rsidRPr="005B0F5E">
        <w:rPr>
          <w:u w:val="single"/>
        </w:rPr>
        <w:t>Section 2</w:t>
      </w:r>
      <w:r>
        <w:t xml:space="preserve"> (including the Company’s obligations with respect to the filing of a Registration Statement and its obligations to use reasonable efforts to have such Registration Statement declared effective within the time periods set forth herein and the liquidated damages provisions relating thereto) shall again be applicable to such Cut Back Shares; </w:t>
      </w:r>
      <w:r w:rsidRPr="002360F8">
        <w:t>provided, however,</w:t>
      </w:r>
      <w:r>
        <w:t xml:space="preserve"> that the date by which the Company is required to </w:t>
      </w:r>
      <w:r w:rsidR="00FF6DC4">
        <w:t>file the Registration Statement</w:t>
      </w:r>
      <w:r>
        <w:t xml:space="preserve"> with respect to such Cut Back Shares shall be the </w:t>
      </w:r>
      <w:r w:rsidR="00FF6DC4">
        <w:t xml:space="preserve">tenth  day following the Restriction Termination Date and the date by which the Company is required to have the Registration Statement effective with respect to such Cut Back Shares shall be the </w:t>
      </w:r>
      <w:r>
        <w:t>55</w:t>
      </w:r>
      <w:r w:rsidRPr="00BD44DB">
        <w:rPr>
          <w:vertAlign w:val="superscript"/>
        </w:rPr>
        <w:t>th</w:t>
      </w:r>
      <w:r w:rsidR="009D36F0">
        <w:t xml:space="preserve"> </w:t>
      </w:r>
      <w:r>
        <w:t>day immediately after the Restriction Termination Date.</w:t>
      </w:r>
    </w:p>
    <w:p w14:paraId="52FCEFFB" w14:textId="77777777" w:rsidR="00B35FD8" w:rsidRDefault="00B35FD8">
      <w:pPr>
        <w:spacing w:after="0" w:line="240" w:lineRule="auto"/>
        <w:rPr>
          <w:rFonts w:ascii="Times New Roman" w:eastAsia="Times New Roman" w:hAnsi="Times New Roman" w:cs="Times New Roman"/>
          <w:color w:val="000000"/>
        </w:rPr>
      </w:pPr>
    </w:p>
    <w:p w14:paraId="4C8F6346" w14:textId="102A5F69" w:rsidR="00B35FD8" w:rsidRDefault="002161CA">
      <w:pPr>
        <w:pStyle w:val="Decimaloutlinedc1"/>
        <w:rPr>
          <w:rFonts w:cs="Times New Roman"/>
        </w:rPr>
      </w:pPr>
      <w:bookmarkStart w:id="25" w:name="_DV_M27"/>
      <w:bookmarkEnd w:id="25"/>
      <w:r>
        <w:t>RELATED</w:t>
      </w:r>
      <w:r w:rsidR="000F6EC4">
        <w:t xml:space="preserve"> COMPANY</w:t>
      </w:r>
      <w:r>
        <w:t xml:space="preserve"> OBLIGATIONS.</w:t>
      </w:r>
    </w:p>
    <w:p w14:paraId="33E04E45" w14:textId="77777777" w:rsidR="00B35FD8" w:rsidRDefault="00B35FD8">
      <w:pPr>
        <w:spacing w:after="0" w:line="240" w:lineRule="auto"/>
        <w:rPr>
          <w:rFonts w:ascii="Times New Roman" w:eastAsia="Times New Roman" w:hAnsi="Times New Roman" w:cs="Times New Roman"/>
          <w:color w:val="000000"/>
        </w:rPr>
      </w:pPr>
    </w:p>
    <w:p w14:paraId="3F277EBD" w14:textId="007C2E2E" w:rsidR="00B35FD8" w:rsidRDefault="002161CA">
      <w:pPr>
        <w:spacing w:after="0" w:line="240" w:lineRule="auto"/>
        <w:ind w:firstLine="720"/>
        <w:jc w:val="both"/>
        <w:rPr>
          <w:rFonts w:ascii="Times New Roman" w:eastAsia="Times New Roman" w:hAnsi="Times New Roman" w:cs="Times New Roman"/>
          <w:color w:val="000000"/>
        </w:rPr>
      </w:pPr>
      <w:bookmarkStart w:id="26" w:name="_DV_M28"/>
      <w:bookmarkEnd w:id="26"/>
      <w:r>
        <w:rPr>
          <w:rFonts w:ascii="Times New Roman" w:eastAsia="Times New Roman" w:hAnsi="Times New Roman" w:cs="Times New Roman"/>
          <w:color w:val="000000"/>
        </w:rPr>
        <w:t xml:space="preserve">With respect to the Registration Statement and whenever any Registrable Securities are to be Registered pursuant to </w:t>
      </w:r>
      <w:r>
        <w:rPr>
          <w:rFonts w:ascii="Times New Roman" w:eastAsia="Times New Roman" w:hAnsi="Times New Roman" w:cs="Times New Roman"/>
          <w:color w:val="000000"/>
          <w:u w:val="single"/>
        </w:rPr>
        <w:t xml:space="preserve">Section </w:t>
      </w:r>
      <w:r>
        <w:rPr>
          <w:rFonts w:ascii="Times New Roman" w:eastAsia="Times New Roman" w:hAnsi="Times New Roman" w:cs="Times New Roman"/>
          <w:color w:val="000000"/>
          <w:u w:val="single"/>
        </w:rPr>
        <w:fldChar w:fldCharType="begin"/>
      </w:r>
      <w:r>
        <w:rPr>
          <w:rFonts w:ascii="Times New Roman" w:eastAsia="Times New Roman" w:hAnsi="Times New Roman" w:cs="Times New Roman"/>
          <w:color w:val="000000"/>
          <w:u w:val="single"/>
        </w:rPr>
        <w:instrText xml:space="preserve"> REF _DV_M19 \w \n \h \t \* MERGEFORMAT </w:instrText>
      </w:r>
      <w:r>
        <w:rPr>
          <w:rFonts w:ascii="Times New Roman" w:eastAsia="Times New Roman" w:hAnsi="Times New Roman" w:cs="Times New Roman"/>
          <w:color w:val="000000"/>
          <w:u w:val="single"/>
        </w:rPr>
      </w:r>
      <w:r>
        <w:rPr>
          <w:rFonts w:ascii="Times New Roman" w:eastAsia="Times New Roman" w:hAnsi="Times New Roman" w:cs="Times New Roman"/>
          <w:color w:val="000000"/>
          <w:u w:val="single"/>
        </w:rPr>
        <w:fldChar w:fldCharType="separate"/>
      </w:r>
      <w:r w:rsidR="00AE3795">
        <w:rPr>
          <w:rFonts w:ascii="Times New Roman" w:eastAsia="Times New Roman" w:hAnsi="Times New Roman" w:cs="Times New Roman"/>
          <w:color w:val="000000"/>
          <w:u w:val="single"/>
        </w:rPr>
        <w:t>2</w:t>
      </w:r>
      <w:r>
        <w:rPr>
          <w:rFonts w:ascii="Times New Roman" w:eastAsia="Times New Roman" w:hAnsi="Times New Roman" w:cs="Times New Roman"/>
          <w:color w:val="000000"/>
          <w:u w:val="single"/>
        </w:rPr>
        <w:fldChar w:fldCharType="end"/>
      </w:r>
      <w:r>
        <w:rPr>
          <w:rFonts w:ascii="Times New Roman" w:eastAsia="Times New Roman" w:hAnsi="Times New Roman" w:cs="Times New Roman"/>
          <w:color w:val="000000"/>
        </w:rPr>
        <w:t xml:space="preserve">, including on the </w:t>
      </w:r>
      <w:r w:rsidR="00E83EF5">
        <w:rPr>
          <w:rFonts w:ascii="Times New Roman" w:eastAsia="Times New Roman" w:hAnsi="Times New Roman" w:cs="Times New Roman"/>
          <w:color w:val="000000"/>
        </w:rPr>
        <w:t>Initial</w:t>
      </w:r>
      <w:r>
        <w:rPr>
          <w:rFonts w:ascii="Times New Roman" w:eastAsia="Times New Roman" w:hAnsi="Times New Roman" w:cs="Times New Roman"/>
          <w:color w:val="000000"/>
        </w:rPr>
        <w:t xml:space="preserve"> Registration Statement or on any New Registration Statement, the Company shall use its reasonable best efforts to effect the registration of the Registrable Securities in accordance with the intended method of disposition thereof and, pursuant thereto, the Company shall have the following obligations:</w:t>
      </w:r>
    </w:p>
    <w:p w14:paraId="6935F20C" w14:textId="77777777" w:rsidR="00B35FD8" w:rsidRDefault="00B35FD8">
      <w:pPr>
        <w:spacing w:after="0" w:line="240" w:lineRule="auto"/>
        <w:rPr>
          <w:rFonts w:ascii="Times New Roman" w:eastAsia="Times New Roman" w:hAnsi="Times New Roman" w:cs="Times New Roman"/>
          <w:color w:val="000000"/>
        </w:rPr>
      </w:pPr>
    </w:p>
    <w:p w14:paraId="5593AAF2" w14:textId="1C91D1F1" w:rsidR="00B35FD8" w:rsidRDefault="002161CA">
      <w:pPr>
        <w:pStyle w:val="Decimaloutlinedc2"/>
        <w:rPr>
          <w:rFonts w:cs="Times New Roman"/>
        </w:rPr>
      </w:pPr>
      <w:bookmarkStart w:id="27" w:name="_DV_M29"/>
      <w:bookmarkEnd w:id="27"/>
      <w:r>
        <w:rPr>
          <w:rStyle w:val="Decimaloutlinedc2runinChar"/>
        </w:rPr>
        <w:t>Notifications</w:t>
      </w:r>
      <w:r>
        <w:t xml:space="preserve">. The Company will </w:t>
      </w:r>
      <w:r w:rsidR="008530BD">
        <w:t xml:space="preserve">promptly </w:t>
      </w:r>
      <w:r>
        <w:t>notify the Investor</w:t>
      </w:r>
      <w:r w:rsidR="00671C11">
        <w:t>s</w:t>
      </w:r>
      <w:r>
        <w:t xml:space="preserve"> promptly of the time when any subsequent amendment to the </w:t>
      </w:r>
      <w:r w:rsidR="00E83EF5">
        <w:t>Initial</w:t>
      </w:r>
      <w:r>
        <w:t xml:space="preserve"> Registration Statement or any New Registration Statement, other than documents incorporated by reference, has been filed with the SEC and/or has become effective or where a receipt has been issued therefor or any subsequent supplement to a </w:t>
      </w:r>
      <w:r w:rsidR="00E83EF5">
        <w:t>p</w:t>
      </w:r>
      <w:r>
        <w:t xml:space="preserve">rospectus has been filed and of any request by the SEC for any amendment or supplement to the Registration Statement, any New Registration Statement or any </w:t>
      </w:r>
      <w:r w:rsidR="00F36C6B">
        <w:t>p</w:t>
      </w:r>
      <w:r>
        <w:t>rospectus or for additional information.</w:t>
      </w:r>
    </w:p>
    <w:p w14:paraId="1D11F808" w14:textId="77777777" w:rsidR="00B35FD8" w:rsidRDefault="00B35FD8">
      <w:pPr>
        <w:spacing w:after="0" w:line="240" w:lineRule="auto"/>
        <w:rPr>
          <w:rFonts w:ascii="Times New Roman" w:eastAsia="Times New Roman" w:hAnsi="Times New Roman" w:cs="Times New Roman"/>
          <w:color w:val="000000"/>
        </w:rPr>
      </w:pPr>
    </w:p>
    <w:p w14:paraId="556516E2" w14:textId="3C3D12E6" w:rsidR="00B35FD8" w:rsidRDefault="002161CA">
      <w:pPr>
        <w:pStyle w:val="Decimaloutlinedc2"/>
        <w:rPr>
          <w:rFonts w:cs="Times New Roman"/>
        </w:rPr>
      </w:pPr>
      <w:bookmarkStart w:id="28" w:name="_DV_M30"/>
      <w:bookmarkEnd w:id="28"/>
      <w:r>
        <w:rPr>
          <w:rStyle w:val="Decimaloutlinedc2runinChar"/>
        </w:rPr>
        <w:t>Amendments.</w:t>
      </w:r>
      <w:r>
        <w:t xml:space="preserve"> The Company will prepare and file with the SEC</w:t>
      </w:r>
      <w:r w:rsidR="004C7BD5">
        <w:t xml:space="preserve"> </w:t>
      </w:r>
      <w:r>
        <w:t>any amendments</w:t>
      </w:r>
      <w:r w:rsidR="004C7BD5">
        <w:t>, post-effective amendments</w:t>
      </w:r>
      <w:r>
        <w:t xml:space="preserve"> or supplements to the </w:t>
      </w:r>
      <w:r w:rsidR="00E83EF5">
        <w:t>Initial</w:t>
      </w:r>
      <w:r>
        <w:t xml:space="preserve"> Registration Statement, any New Registration Statement or any </w:t>
      </w:r>
      <w:r w:rsidR="004C7BD5">
        <w:t xml:space="preserve">related </w:t>
      </w:r>
      <w:r w:rsidR="00F36C6B">
        <w:t>p</w:t>
      </w:r>
      <w:r>
        <w:t xml:space="preserve">rospectus, as applicable, that, </w:t>
      </w:r>
      <w:r w:rsidR="004C7BD5">
        <w:t xml:space="preserve">(a) </w:t>
      </w:r>
      <w:r w:rsidR="004C7BD5" w:rsidRPr="004C7BD5">
        <w:t xml:space="preserve">as may be necessary to keep such Registration Statement effective for the Effectiveness Period and to comply with the provisions of the </w:t>
      </w:r>
      <w:r w:rsidR="00BA0840">
        <w:t>Securities</w:t>
      </w:r>
      <w:r w:rsidR="004C7BD5" w:rsidRPr="004C7BD5">
        <w:t xml:space="preserve"> Act and the </w:t>
      </w:r>
      <w:r w:rsidR="00BC5AAF" w:rsidRPr="000F6EC4">
        <w:rPr>
          <w:rFonts w:cs="Times New Roman"/>
        </w:rPr>
        <w:t xml:space="preserve"> </w:t>
      </w:r>
      <w:r w:rsidR="00BC5AAF" w:rsidRPr="00BA0840">
        <w:rPr>
          <w:rFonts w:cs="Times New Roman"/>
        </w:rPr>
        <w:t xml:space="preserve">Securities Exchange Act of 1934, as amended </w:t>
      </w:r>
      <w:r w:rsidR="00BC5AAF">
        <w:rPr>
          <w:rFonts w:cs="Times New Roman"/>
        </w:rPr>
        <w:t>(the “</w:t>
      </w:r>
      <w:r w:rsidR="00BC5AAF" w:rsidRPr="00E352D2">
        <w:rPr>
          <w:rFonts w:cs="Times New Roman"/>
          <w:b/>
          <w:bCs/>
        </w:rPr>
        <w:t>Exchange Act</w:t>
      </w:r>
      <w:r w:rsidR="00BC5AAF">
        <w:rPr>
          <w:rFonts w:cs="Times New Roman"/>
        </w:rPr>
        <w:t>”)</w:t>
      </w:r>
      <w:r w:rsidR="004C7BD5" w:rsidRPr="004C7BD5">
        <w:t xml:space="preserve"> with respect to the distribution of all of the Registrable Securities covered thereby</w:t>
      </w:r>
      <w:r w:rsidR="004C7BD5">
        <w:t xml:space="preserve">, or (b) </w:t>
      </w:r>
      <w:r>
        <w:t>in the reasonable opinion of the Investor</w:t>
      </w:r>
      <w:r w:rsidR="00671C11">
        <w:t>s</w:t>
      </w:r>
      <w:r>
        <w:t xml:space="preserve"> and the Company, </w:t>
      </w:r>
      <w:r w:rsidR="004C7BD5">
        <w:t xml:space="preserve">as </w:t>
      </w:r>
      <w:r>
        <w:t>may be necessary or advisable in connection with any acquisition or sale of Registrable Securities by the Investor</w:t>
      </w:r>
      <w:r w:rsidR="00671C11">
        <w:t>s</w:t>
      </w:r>
      <w:r>
        <w:t>.</w:t>
      </w:r>
    </w:p>
    <w:p w14:paraId="222BBCFC" w14:textId="77777777" w:rsidR="00B35FD8" w:rsidRDefault="00B35FD8">
      <w:pPr>
        <w:spacing w:after="0" w:line="240" w:lineRule="auto"/>
        <w:rPr>
          <w:rFonts w:ascii="Times New Roman" w:eastAsia="Times New Roman" w:hAnsi="Times New Roman" w:cs="Times New Roman"/>
          <w:color w:val="000000"/>
        </w:rPr>
      </w:pPr>
    </w:p>
    <w:p w14:paraId="02FDE412" w14:textId="0F8483B0" w:rsidR="00B35FD8" w:rsidRDefault="002161CA">
      <w:pPr>
        <w:pStyle w:val="Decimaloutlinedc2"/>
        <w:rPr>
          <w:rFonts w:cs="Times New Roman"/>
        </w:rPr>
      </w:pPr>
      <w:bookmarkStart w:id="29" w:name="_DV_M33"/>
      <w:bookmarkEnd w:id="29"/>
      <w:r>
        <w:rPr>
          <w:rStyle w:val="Decimaloutlinedc2runinChar"/>
        </w:rPr>
        <w:t>Investor Review</w:t>
      </w:r>
      <w:r>
        <w:t xml:space="preserve">. The Company will not file any amendment or supplement to the Registration Statement, any New Registration Statement or any </w:t>
      </w:r>
      <w:r w:rsidR="00F36C6B">
        <w:t>p</w:t>
      </w:r>
      <w:r>
        <w:t>rospectus, other than documents incorporated by reference, relating to the Investor</w:t>
      </w:r>
      <w:r w:rsidR="00671C11">
        <w:t>s</w:t>
      </w:r>
      <w:r>
        <w:t>, the Registrable Securities or the transactions contemplated hereby unless (A) the Investor</w:t>
      </w:r>
      <w:r w:rsidR="00671C11">
        <w:t>s</w:t>
      </w:r>
      <w:r w:rsidR="004C7BD5">
        <w:t xml:space="preserve"> and their counsel</w:t>
      </w:r>
      <w:r>
        <w:t xml:space="preserve"> shall have been advised and afforded the opportunity to review and comment thereon at least </w:t>
      </w:r>
      <w:r w:rsidR="009C223B">
        <w:t xml:space="preserve">three </w:t>
      </w:r>
      <w:r w:rsidR="0007081C">
        <w:t>(</w:t>
      </w:r>
      <w:r w:rsidR="009C223B">
        <w:t>3</w:t>
      </w:r>
      <w:r w:rsidR="0007081C">
        <w:t>)</w:t>
      </w:r>
      <w:r>
        <w:t xml:space="preserve"> Business Days prior to filing with the SEC</w:t>
      </w:r>
      <w:r w:rsidR="00D33B29">
        <w:t xml:space="preserve"> and </w:t>
      </w:r>
      <w:r>
        <w:t>(B) the Company shall have given</w:t>
      </w:r>
      <w:r w:rsidR="004A6B63">
        <w:t xml:space="preserve"> reasonable</w:t>
      </w:r>
      <w:r>
        <w:t xml:space="preserve"> due consideration to any comments thereon received from the Investor</w:t>
      </w:r>
      <w:r w:rsidR="00671C11">
        <w:t>s</w:t>
      </w:r>
      <w:r>
        <w:t xml:space="preserve"> or </w:t>
      </w:r>
      <w:r w:rsidR="00671C11">
        <w:t>their</w:t>
      </w:r>
      <w:r>
        <w:t xml:space="preserve"> counsel.</w:t>
      </w:r>
    </w:p>
    <w:p w14:paraId="59E6FB24" w14:textId="77777777" w:rsidR="00B35FD8" w:rsidRDefault="00B35FD8" w:rsidP="00907820">
      <w:pPr>
        <w:spacing w:after="0" w:line="240" w:lineRule="auto"/>
        <w:jc w:val="both"/>
        <w:rPr>
          <w:rFonts w:ascii="Times New Roman" w:eastAsia="Times New Roman" w:hAnsi="Times New Roman" w:cs="Times New Roman"/>
          <w:color w:val="000000"/>
        </w:rPr>
      </w:pPr>
    </w:p>
    <w:p w14:paraId="0D3D6AA0" w14:textId="11595551" w:rsidR="00B35FD8" w:rsidRDefault="002161CA">
      <w:pPr>
        <w:pStyle w:val="Decimaloutlinedc2"/>
        <w:rPr>
          <w:rFonts w:cs="Times New Roman"/>
        </w:rPr>
      </w:pPr>
      <w:bookmarkStart w:id="30" w:name="_Ref_ContractCompanion_9kb9Ur025"/>
      <w:bookmarkStart w:id="31" w:name="_Ref_ContractCompanion_9kb9Ur027"/>
      <w:r>
        <w:rPr>
          <w:rStyle w:val="Decimaloutlinedc2runinChar"/>
        </w:rPr>
        <w:t>Copies Available</w:t>
      </w:r>
      <w:r>
        <w:t xml:space="preserve">. The Company will furnish to </w:t>
      </w:r>
      <w:r w:rsidR="00671C11">
        <w:t>any</w:t>
      </w:r>
      <w:r>
        <w:t xml:space="preserve"> Investor</w:t>
      </w:r>
      <w:r w:rsidR="004C7BD5">
        <w:t xml:space="preserve"> whose </w:t>
      </w:r>
      <w:r w:rsidR="00054E1E">
        <w:t>Registrable</w:t>
      </w:r>
      <w:r w:rsidR="004C7BD5">
        <w:t xml:space="preserve"> Securities are included in any Registration Statement</w:t>
      </w:r>
      <w:r>
        <w:t xml:space="preserve"> and </w:t>
      </w:r>
      <w:r w:rsidR="00671C11">
        <w:t>its</w:t>
      </w:r>
      <w:r>
        <w:t xml:space="preserve"> counsel copies of the </w:t>
      </w:r>
      <w:r w:rsidR="00907820">
        <w:t xml:space="preserve">Initial </w:t>
      </w:r>
      <w:r>
        <w:t>Registration Statement</w:t>
      </w:r>
      <w:r w:rsidR="00907820">
        <w:t xml:space="preserve">, any prospectus thereunder </w:t>
      </w:r>
      <w:r>
        <w:t xml:space="preserve">(including all documents incorporated by reference therein), any </w:t>
      </w:r>
      <w:r w:rsidR="00907820">
        <w:t>p</w:t>
      </w:r>
      <w:r>
        <w:t xml:space="preserve">rospectus </w:t>
      </w:r>
      <w:r w:rsidR="00907820">
        <w:t>s</w:t>
      </w:r>
      <w:r>
        <w:t>upplement</w:t>
      </w:r>
      <w:r w:rsidR="00907820">
        <w:t xml:space="preserve"> thereunder</w:t>
      </w:r>
      <w:r>
        <w:t xml:space="preserve">, any New Registration Statement and all amendments to the </w:t>
      </w:r>
      <w:r w:rsidR="00907820">
        <w:t xml:space="preserve">Initial </w:t>
      </w:r>
      <w:r>
        <w:t>Registration Statement</w:t>
      </w:r>
      <w:r w:rsidR="00907820">
        <w:t xml:space="preserve"> </w:t>
      </w:r>
      <w:r>
        <w:t>or any New Registration Statement that are filed with the SEC during the Registration Period (including all documents filed with or furnished to the SEC during such period that are deemed to be incorporated by reference therein)</w:t>
      </w:r>
      <w:r w:rsidR="004C7BD5">
        <w:t xml:space="preserve">, </w:t>
      </w:r>
      <w:r w:rsidR="004C7BD5" w:rsidRPr="004C7BD5">
        <w:t>each letter written by or on behalf of the Company to the SEC or the staff of the SEC, and each item of correspondence from the SEC or the staff of the SEC, in each case relating to such Registration Statement (other than any portion thereof which contains information for which the Company has sought confidential treatment)</w:t>
      </w:r>
      <w:r w:rsidR="004C7BD5">
        <w:t xml:space="preserve"> and </w:t>
      </w:r>
      <w:r w:rsidR="004C7BD5" w:rsidRPr="004C7BD5">
        <w:rPr>
          <w:color w:val="000000"/>
          <w:shd w:val="clear" w:color="auto" w:fill="FFFFFF"/>
        </w:rPr>
        <w:t>such other documents as Investor may reasonably request in order to facilitate the disposition of the Registrable Securities owned by Investor that are covered by such Registration Statement</w:t>
      </w:r>
      <w:r>
        <w:t xml:space="preserve">, in each case as soon as reasonably practicable upon </w:t>
      </w:r>
      <w:r w:rsidR="00671C11">
        <w:t>such</w:t>
      </w:r>
      <w:r>
        <w:t xml:space="preserve"> Investor’s request and in such quantities as </w:t>
      </w:r>
      <w:r w:rsidR="00671C11">
        <w:t>such</w:t>
      </w:r>
      <w:r>
        <w:t xml:space="preserve"> Investor may from time to time reasonably request</w:t>
      </w:r>
      <w:bookmarkStart w:id="32" w:name="_cp_text_2_4"/>
      <w:bookmarkEnd w:id="32"/>
      <w:r>
        <w:t xml:space="preserve">; </w:t>
      </w:r>
      <w:r w:rsidRPr="00BC5AAF">
        <w:t>provided, however</w:t>
      </w:r>
      <w:r>
        <w:t xml:space="preserve">, that the Company shall not be required to furnish any document to the Investor to the extent such document is available on EDGAR. </w:t>
      </w:r>
      <w:bookmarkEnd w:id="30"/>
      <w:bookmarkEnd w:id="31"/>
    </w:p>
    <w:p w14:paraId="083027BD" w14:textId="77777777" w:rsidR="00B35FD8" w:rsidRDefault="00B35FD8">
      <w:pPr>
        <w:spacing w:after="0" w:line="240" w:lineRule="auto"/>
        <w:rPr>
          <w:rFonts w:ascii="Times New Roman" w:eastAsia="Times New Roman" w:hAnsi="Times New Roman" w:cs="Times New Roman"/>
          <w:color w:val="000000"/>
        </w:rPr>
      </w:pPr>
    </w:p>
    <w:p w14:paraId="21D33045" w14:textId="77777777" w:rsidR="00B35FD8" w:rsidRDefault="00B35FD8">
      <w:pPr>
        <w:spacing w:after="0" w:line="240" w:lineRule="auto"/>
        <w:rPr>
          <w:rFonts w:ascii="Times New Roman" w:eastAsia="Times New Roman" w:hAnsi="Times New Roman" w:cs="Times New Roman"/>
          <w:color w:val="000000"/>
        </w:rPr>
      </w:pPr>
      <w:bookmarkStart w:id="33" w:name="_DV_M34"/>
      <w:bookmarkStart w:id="34" w:name="_DV_M35"/>
      <w:bookmarkEnd w:id="33"/>
      <w:bookmarkEnd w:id="34"/>
    </w:p>
    <w:p w14:paraId="2B19CBAE" w14:textId="2B874AFE" w:rsidR="00B35FD8" w:rsidRPr="00F53FE0" w:rsidRDefault="002161CA" w:rsidP="00F53FE0">
      <w:pPr>
        <w:pStyle w:val="Decimaloutlinedc2"/>
        <w:rPr>
          <w:rFonts w:cs="Times New Roman"/>
        </w:rPr>
      </w:pPr>
      <w:bookmarkStart w:id="35" w:name="_DV_M36"/>
      <w:bookmarkEnd w:id="35"/>
      <w:r>
        <w:rPr>
          <w:rStyle w:val="Decimaloutlinedc2runinChar"/>
        </w:rPr>
        <w:t>Notification of Stop Orders; Material Changes</w:t>
      </w:r>
      <w:r>
        <w:t>. The Company</w:t>
      </w:r>
      <w:r w:rsidR="00FF6DC4">
        <w:t xml:space="preserve"> shall</w:t>
      </w:r>
      <w:r>
        <w:t xml:space="preserve"> </w:t>
      </w:r>
      <w:r w:rsidR="004C7BD5" w:rsidRPr="004C7BD5">
        <w:t xml:space="preserve">use </w:t>
      </w:r>
      <w:r w:rsidR="00550407">
        <w:t xml:space="preserve">commercially reasonable </w:t>
      </w:r>
      <w:r w:rsidR="004C7BD5" w:rsidRPr="004C7BD5">
        <w:t>efforts to (i) prevent the issuance of any stop order or other suspension of effectiveness and, (ii) if such order is issued, obtain the withdrawal of any such order as soon as practicable</w:t>
      </w:r>
      <w:r w:rsidR="004C7BD5">
        <w:t xml:space="preserve">. The Company </w:t>
      </w:r>
      <w:r>
        <w:t>shall advise the Investor</w:t>
      </w:r>
      <w:r w:rsidR="00E83EF5">
        <w:t>s</w:t>
      </w:r>
      <w:r>
        <w:t xml:space="preserve"> promptly (but in no event later than </w:t>
      </w:r>
      <w:r w:rsidR="00FF6DC4">
        <w:t>24</w:t>
      </w:r>
      <w:r>
        <w:t xml:space="preserve"> hours) and shall confirm such advice in writing, in each case: (i) of the Company’s receipt of notice of any request by the SEC or any other federal or state governmental authority for amendment of or a supplement to the Registration Statement or any </w:t>
      </w:r>
      <w:r w:rsidR="00907820">
        <w:t>p</w:t>
      </w:r>
      <w:r>
        <w:t xml:space="preserve">rospectus or for any additional information; (ii) of the Company’s receipt of notice of the issuance by the SEC or any other federal or state governmental authority of any stop order suspending the effectiveness of the </w:t>
      </w:r>
      <w:r w:rsidR="00907820">
        <w:t xml:space="preserve">Initial </w:t>
      </w:r>
      <w:r>
        <w:t xml:space="preserve">Registration Statement or prohibiting or suspending the use of </w:t>
      </w:r>
      <w:r w:rsidR="00907820">
        <w:t>any</w:t>
      </w:r>
      <w:r>
        <w:t xml:space="preserve"> </w:t>
      </w:r>
      <w:r w:rsidR="00907820">
        <w:t>p</w:t>
      </w:r>
      <w:r>
        <w:t xml:space="preserve">rospectus or </w:t>
      </w:r>
      <w:r w:rsidR="00907820">
        <w:t>p</w:t>
      </w:r>
      <w:r>
        <w:t xml:space="preserve">rospectus </w:t>
      </w:r>
      <w:r w:rsidR="00907820">
        <w:t>s</w:t>
      </w:r>
      <w:r>
        <w:t xml:space="preserve">upplement, or any New Registration Statement, or of the Company’s receipt of any notification of the suspension of qualification of the Registrable Securities for offering or sale in any jurisdiction or the initiation or contemplated initiation of any proceeding for such purpose; and (iii) of the Company becoming aware of the happening of any event, which makes any statement of a material fact made in </w:t>
      </w:r>
      <w:r w:rsidR="00907820">
        <w:t xml:space="preserve">any </w:t>
      </w:r>
      <w:r>
        <w:t xml:space="preserve">Registration Statement or any </w:t>
      </w:r>
      <w:r w:rsidR="00907820">
        <w:t>p</w:t>
      </w:r>
      <w:r>
        <w:t xml:space="preserve">rospectus untrue or which requires the making of any additions to or changes to the statements then made in </w:t>
      </w:r>
      <w:r w:rsidR="00907820">
        <w:t>any</w:t>
      </w:r>
      <w:r>
        <w:t xml:space="preserve"> Registration Statement or any </w:t>
      </w:r>
      <w:r w:rsidR="00907820">
        <w:t>p</w:t>
      </w:r>
      <w:r>
        <w:t xml:space="preserve">rospectus in order to state a material fact required by the Securities Act to be stated therein or necessary in order to make the statements then made therein (in the case of any </w:t>
      </w:r>
      <w:r w:rsidR="00907820">
        <w:t>p</w:t>
      </w:r>
      <w:r>
        <w:t xml:space="preserve">rospectus, in light of the circumstances under which they were made) not misleading, or of the necessity to amend </w:t>
      </w:r>
      <w:r w:rsidR="00907820">
        <w:t>any</w:t>
      </w:r>
      <w:r>
        <w:t xml:space="preserve"> Registration Statement or any </w:t>
      </w:r>
      <w:r w:rsidR="00907820">
        <w:t>p</w:t>
      </w:r>
      <w:r>
        <w:t xml:space="preserve">rospectus to comply with the Securities Act or any other law. </w:t>
      </w:r>
      <w:r w:rsidR="00454DBF">
        <w:t>The Company shall not be required to disclose to the Investor</w:t>
      </w:r>
      <w:r w:rsidR="00E83EF5">
        <w:t>s</w:t>
      </w:r>
      <w:r w:rsidR="00454DBF">
        <w:t xml:space="preserve"> the substance of specific reasons of any of the events set forth in clause (i) to (iii) of the immediately preceding sentence</w:t>
      </w:r>
      <w:r w:rsidR="00F53FE0">
        <w:t xml:space="preserve"> (each, a “</w:t>
      </w:r>
      <w:r w:rsidR="00F53FE0" w:rsidRPr="002F481E">
        <w:rPr>
          <w:b/>
          <w:bCs/>
        </w:rPr>
        <w:t>Suspension Event</w:t>
      </w:r>
      <w:r w:rsidR="00F53FE0">
        <w:t>”)</w:t>
      </w:r>
      <w:r w:rsidR="00454DBF">
        <w:t xml:space="preserve">, but rather, shall only be required to disclose that the event has occurred. </w:t>
      </w:r>
      <w:r>
        <w:t xml:space="preserve">If at any time the SEC, or any other federal or state governmental authority shall issue any stop order suspending the effectiveness of </w:t>
      </w:r>
      <w:r w:rsidR="00907820">
        <w:t>any</w:t>
      </w:r>
      <w:r>
        <w:t xml:space="preserve"> Registration Statement or prohibiting or suspending the use of </w:t>
      </w:r>
      <w:r w:rsidR="00907820">
        <w:t>any</w:t>
      </w:r>
      <w:r>
        <w:t xml:space="preserve"> </w:t>
      </w:r>
      <w:r w:rsidR="00907820">
        <w:t>p</w:t>
      </w:r>
      <w:r>
        <w:t xml:space="preserve">rospectus or </w:t>
      </w:r>
      <w:r w:rsidR="00907820">
        <w:t>p</w:t>
      </w:r>
      <w:r>
        <w:t xml:space="preserve">rospectus </w:t>
      </w:r>
      <w:r w:rsidR="00907820">
        <w:t>s</w:t>
      </w:r>
      <w:r>
        <w:t>upplement, the Company shall use its reasonable best efforts to obtain the withdrawal of such order at the earliest practicable time. The Company shall furnish to the Investor</w:t>
      </w:r>
      <w:r w:rsidR="00E83EF5">
        <w:t>s</w:t>
      </w:r>
      <w:r>
        <w:t xml:space="preserve">, without charge, a copy of any correspondence from the SEC or the staff of the SEC, or any other federal or state governmental authority to the Company or its representatives relating to the </w:t>
      </w:r>
      <w:r w:rsidR="00907820">
        <w:t>Initial</w:t>
      </w:r>
      <w:r>
        <w:t xml:space="preserve"> Registration Statement, any New Registration Statement or any </w:t>
      </w:r>
      <w:r w:rsidR="00907820">
        <w:t>p</w:t>
      </w:r>
      <w:r>
        <w:t xml:space="preserve">rospectus, or </w:t>
      </w:r>
      <w:r w:rsidR="00907820">
        <w:t>p</w:t>
      </w:r>
      <w:r>
        <w:t xml:space="preserve">rospectus </w:t>
      </w:r>
      <w:r w:rsidR="00907820">
        <w:t>s</w:t>
      </w:r>
      <w:r>
        <w:t>upplement as the case may be.</w:t>
      </w:r>
      <w:r w:rsidR="00D31FE8">
        <w:t xml:space="preserve">  In the event of a </w:t>
      </w:r>
      <w:r w:rsidR="00F53FE0">
        <w:t>Suspension E</w:t>
      </w:r>
      <w:r w:rsidR="00D31FE8">
        <w:t xml:space="preserve">vent set forth in clause (iii) of the first sentence of this </w:t>
      </w:r>
      <w:r w:rsidR="00D31FE8" w:rsidRPr="00F53FE0">
        <w:rPr>
          <w:u w:val="single"/>
        </w:rPr>
        <w:t>Section 3(e)</w:t>
      </w:r>
      <w:r w:rsidR="00D31FE8">
        <w:t xml:space="preserve">, the Company will use its commercially reasonable efforts to publicly disclose such event as soon as reasonably practicable, or otherwise resolve the matter such that sales under </w:t>
      </w:r>
      <w:r w:rsidR="00F53FE0">
        <w:t xml:space="preserve">Registration Statements may resume; </w:t>
      </w:r>
      <w:r w:rsidR="00F53FE0" w:rsidRPr="002360F8">
        <w:t>provided, however,</w:t>
      </w:r>
      <w:r w:rsidR="00F53FE0">
        <w:t xml:space="preserve"> that if the Company has a bona fide business purpose for not making such information public, the Company may suspend the use of all Registration Statements for up to 60 consecutive calendar days; </w:t>
      </w:r>
      <w:r w:rsidR="00F53FE0" w:rsidRPr="002360F8">
        <w:t>provided, further,</w:t>
      </w:r>
      <w:r w:rsidR="00F53FE0">
        <w:t xml:space="preserve"> that the Company may not suspend the use of all Registration Statements more than twice, or for more than 90 total calendar days, in each case during any twelve-month period.</w:t>
      </w:r>
    </w:p>
    <w:p w14:paraId="59A9DFFA" w14:textId="77777777" w:rsidR="00B35FD8" w:rsidRDefault="00B35FD8">
      <w:pPr>
        <w:spacing w:after="0" w:line="240" w:lineRule="auto"/>
        <w:jc w:val="both"/>
        <w:rPr>
          <w:rFonts w:ascii="Times New Roman" w:eastAsia="Times New Roman" w:hAnsi="Times New Roman" w:cs="Times New Roman"/>
          <w:color w:val="000000"/>
        </w:rPr>
      </w:pPr>
      <w:bookmarkStart w:id="36" w:name="_DV_M37"/>
      <w:bookmarkStart w:id="37" w:name="_DV_M43"/>
      <w:bookmarkEnd w:id="36"/>
      <w:bookmarkEnd w:id="37"/>
    </w:p>
    <w:p w14:paraId="65026929" w14:textId="2064EE30" w:rsidR="00B35FD8" w:rsidRPr="00C91766" w:rsidRDefault="002161CA">
      <w:pPr>
        <w:pStyle w:val="Decimaloutlinedc2"/>
        <w:rPr>
          <w:rFonts w:cs="Times New Roman"/>
        </w:rPr>
      </w:pPr>
      <w:bookmarkStart w:id="38" w:name="_DV_M44"/>
      <w:bookmarkEnd w:id="38"/>
      <w:r>
        <w:rPr>
          <w:rStyle w:val="Decimaloutlinedc2runinChar"/>
        </w:rPr>
        <w:t>Confirmation of Effectiveness</w:t>
      </w:r>
      <w:r>
        <w:t xml:space="preserve">. If </w:t>
      </w:r>
      <w:bookmarkStart w:id="39" w:name="_DV_M45"/>
      <w:bookmarkEnd w:id="39"/>
      <w:r>
        <w:t xml:space="preserve">reasonably requested by </w:t>
      </w:r>
      <w:r w:rsidR="00E83EF5">
        <w:t>an</w:t>
      </w:r>
      <w:r>
        <w:t xml:space="preserve"> </w:t>
      </w:r>
      <w:bookmarkStart w:id="40" w:name="_DV_C20"/>
      <w:bookmarkEnd w:id="40"/>
      <w:r>
        <w:t>Investor at any time</w:t>
      </w:r>
      <w:bookmarkStart w:id="41" w:name="_DV_M46"/>
      <w:bookmarkEnd w:id="41"/>
      <w:r w:rsidR="00CC2AE7">
        <w:t xml:space="preserve"> in respect of any Registration Statement</w:t>
      </w:r>
      <w:r>
        <w:t>, the Company shall</w:t>
      </w:r>
      <w:bookmarkStart w:id="42" w:name="_DV_C21"/>
      <w:bookmarkEnd w:id="42"/>
      <w:r>
        <w:t xml:space="preserve"> </w:t>
      </w:r>
      <w:bookmarkStart w:id="43" w:name="_DV_M47"/>
      <w:bookmarkEnd w:id="43"/>
      <w:r>
        <w:t xml:space="preserve">deliver to </w:t>
      </w:r>
      <w:r w:rsidR="00E83EF5">
        <w:t>such</w:t>
      </w:r>
      <w:r>
        <w:t xml:space="preserve"> Investor a written confirmation from Company’s counsel of whether or not the effectiveness of such Registration Statement has lapsed at any time for any reason (including, without limitation, the issuance of a stop order) and whether or not </w:t>
      </w:r>
      <w:r w:rsidR="00CC2AE7">
        <w:t>such</w:t>
      </w:r>
      <w:r>
        <w:t xml:space="preserve"> Registration Statement is currently effective and available to the Company for sale of Registrable Securities.  </w:t>
      </w:r>
    </w:p>
    <w:p w14:paraId="5B126015" w14:textId="77777777" w:rsidR="00C91766" w:rsidRPr="00C91766" w:rsidRDefault="00C91766" w:rsidP="00C91766">
      <w:pPr>
        <w:pStyle w:val="Decimaloutlinedc2"/>
        <w:numPr>
          <w:ilvl w:val="0"/>
          <w:numId w:val="0"/>
        </w:numPr>
        <w:ind w:left="1440"/>
        <w:rPr>
          <w:rFonts w:cs="Times New Roman"/>
        </w:rPr>
      </w:pPr>
    </w:p>
    <w:p w14:paraId="7163014F" w14:textId="4E6D9C2F" w:rsidR="00C91766" w:rsidRDefault="00C91766" w:rsidP="00416907">
      <w:pPr>
        <w:pStyle w:val="Decimaloutlinedc2"/>
        <w:rPr>
          <w:rFonts w:cs="Times New Roman"/>
        </w:rPr>
      </w:pPr>
      <w:r w:rsidRPr="00B45F7C">
        <w:rPr>
          <w:rFonts w:cs="Times New Roman"/>
          <w:u w:val="single"/>
        </w:rPr>
        <w:t>Listing</w:t>
      </w:r>
      <w:r w:rsidRPr="00C91766">
        <w:rPr>
          <w:rFonts w:cs="Times New Roman"/>
        </w:rPr>
        <w:t xml:space="preserve">. The Company shall use </w:t>
      </w:r>
      <w:r w:rsidR="000F6EC4">
        <w:rPr>
          <w:rFonts w:cs="Times New Roman"/>
        </w:rPr>
        <w:t>best</w:t>
      </w:r>
      <w:r w:rsidRPr="00C91766">
        <w:rPr>
          <w:rFonts w:cs="Times New Roman"/>
        </w:rPr>
        <w:t xml:space="preserve"> efforts to cause all Registrable Securities covered by a Registration Statement to be listed on </w:t>
      </w:r>
      <w:r w:rsidR="002874B5">
        <w:rPr>
          <w:rFonts w:cs="Times New Roman"/>
        </w:rPr>
        <w:t>[</w:t>
      </w:r>
      <w:r>
        <w:rPr>
          <w:rFonts w:cs="Times New Roman"/>
        </w:rPr>
        <w:t>t</w:t>
      </w:r>
      <w:r w:rsidRPr="00C91766">
        <w:rPr>
          <w:rFonts w:cs="Times New Roman"/>
        </w:rPr>
        <w:t>he Nasdaq Global Market</w:t>
      </w:r>
      <w:r w:rsidR="002874B5">
        <w:rPr>
          <w:rFonts w:cs="Times New Roman"/>
        </w:rPr>
        <w:t>]</w:t>
      </w:r>
      <w:r w:rsidR="004C7BD5">
        <w:rPr>
          <w:rFonts w:cs="Times New Roman"/>
        </w:rPr>
        <w:t>.</w:t>
      </w:r>
    </w:p>
    <w:p w14:paraId="541D8C2A" w14:textId="42C6193D" w:rsidR="000F6EC4" w:rsidRDefault="000F6EC4" w:rsidP="00B45F7C">
      <w:pPr>
        <w:pStyle w:val="Decimaloutlinedc2"/>
        <w:numPr>
          <w:ilvl w:val="0"/>
          <w:numId w:val="0"/>
        </w:numPr>
        <w:rPr>
          <w:rFonts w:cs="Times New Roman"/>
        </w:rPr>
      </w:pPr>
    </w:p>
    <w:p w14:paraId="1A9362C3" w14:textId="7B9BAFED" w:rsidR="000F6EC4" w:rsidRDefault="00FF6DC4" w:rsidP="00416907">
      <w:pPr>
        <w:pStyle w:val="Decimaloutlinedc2"/>
        <w:rPr>
          <w:rFonts w:cs="Times New Roman"/>
        </w:rPr>
      </w:pPr>
      <w:r w:rsidRPr="00FF6DC4">
        <w:rPr>
          <w:rFonts w:cs="Times New Roman"/>
          <w:u w:val="single"/>
        </w:rPr>
        <w:t>Compliance</w:t>
      </w:r>
      <w:r>
        <w:rPr>
          <w:rFonts w:cs="Times New Roman"/>
        </w:rPr>
        <w:t xml:space="preserve">. </w:t>
      </w:r>
      <w:r w:rsidR="000F6EC4">
        <w:rPr>
          <w:rFonts w:cs="Times New Roman"/>
        </w:rPr>
        <w:t xml:space="preserve">The Company shall </w:t>
      </w:r>
      <w:r w:rsidR="000F6EC4" w:rsidRPr="000F6EC4">
        <w:rPr>
          <w:rFonts w:cs="Times New Roman"/>
        </w:rPr>
        <w:t xml:space="preserve">otherwise use best efforts to comply with all applicable rules and regulations of the SEC under the </w:t>
      </w:r>
      <w:r w:rsidR="00BA0840">
        <w:rPr>
          <w:rFonts w:cs="Times New Roman"/>
        </w:rPr>
        <w:t>Securities</w:t>
      </w:r>
      <w:r w:rsidR="000F6EC4" w:rsidRPr="000F6EC4">
        <w:rPr>
          <w:rFonts w:cs="Times New Roman"/>
        </w:rPr>
        <w:t xml:space="preserve"> Act and the </w:t>
      </w:r>
      <w:r w:rsidR="00BA0840" w:rsidRPr="00BA0840">
        <w:rPr>
          <w:rFonts w:cs="Times New Roman"/>
        </w:rPr>
        <w:t>Exchange Act</w:t>
      </w:r>
      <w:r w:rsidR="000F6EC4" w:rsidRPr="000F6EC4">
        <w:rPr>
          <w:rFonts w:cs="Times New Roman"/>
        </w:rPr>
        <w:t xml:space="preserve">, including, without limitation, Rule 172 under the </w:t>
      </w:r>
      <w:r w:rsidR="00BA0840">
        <w:rPr>
          <w:rFonts w:cs="Times New Roman"/>
        </w:rPr>
        <w:t>Securities</w:t>
      </w:r>
      <w:r w:rsidR="000F6EC4" w:rsidRPr="000F6EC4">
        <w:rPr>
          <w:rFonts w:cs="Times New Roman"/>
        </w:rPr>
        <w:t xml:space="preserve"> Act, file any final </w:t>
      </w:r>
      <w:r w:rsidR="000F6EC4">
        <w:rPr>
          <w:rFonts w:cs="Times New Roman"/>
        </w:rPr>
        <w:t>p</w:t>
      </w:r>
      <w:r w:rsidR="000F6EC4" w:rsidRPr="000F6EC4">
        <w:rPr>
          <w:rFonts w:cs="Times New Roman"/>
        </w:rPr>
        <w:t xml:space="preserve">rospectus, including any supplement or amendment thereof, with the SEC pursuant to Rule 424 under the </w:t>
      </w:r>
      <w:r w:rsidR="00BA0840">
        <w:rPr>
          <w:rFonts w:cs="Times New Roman"/>
        </w:rPr>
        <w:t>Securities</w:t>
      </w:r>
      <w:r w:rsidR="000F6EC4" w:rsidRPr="000F6EC4">
        <w:rPr>
          <w:rFonts w:cs="Times New Roman"/>
        </w:rPr>
        <w:t xml:space="preserve"> Act, promptly inform the Investor in writing if, at any time during the Effectiveness Period, the Company does not satisfy the conditions specified in Rule 172 and, as a result thereof, the Investor is required to deliver a </w:t>
      </w:r>
      <w:r w:rsidR="000F6EC4">
        <w:rPr>
          <w:rFonts w:cs="Times New Roman"/>
        </w:rPr>
        <w:t>p</w:t>
      </w:r>
      <w:r w:rsidR="000F6EC4" w:rsidRPr="000F6EC4">
        <w:rPr>
          <w:rFonts w:cs="Times New Roman"/>
        </w:rPr>
        <w:t>rospectus in connection with any disposition of Registrable Securities and take such other actions as may be reasonably necessary to facilitate the registration of the Registrable Securities hereunder</w:t>
      </w:r>
      <w:r>
        <w:rPr>
          <w:rFonts w:cs="Times New Roman"/>
        </w:rPr>
        <w:t xml:space="preserve">, </w:t>
      </w:r>
      <w:r w:rsidRPr="00FF6DC4">
        <w:rPr>
          <w:rFonts w:cs="Times New Roman"/>
        </w:rPr>
        <w:t xml:space="preserve">and make available to its security holders, as soon as reasonably practicable, but not later than the Availability Date (as defined below), an earnings statement covering a period of at least 12 months, beginning after the effective date of each Registration Statement, which earnings statement shall satisfy the provisions of Section 11(a) of the </w:t>
      </w:r>
      <w:r>
        <w:rPr>
          <w:rFonts w:cs="Times New Roman"/>
        </w:rPr>
        <w:t>Securities</w:t>
      </w:r>
      <w:r w:rsidRPr="00FF6DC4">
        <w:rPr>
          <w:rFonts w:cs="Times New Roman"/>
        </w:rPr>
        <w:t xml:space="preserve"> Act, including Rule 158 promulgated thereunder (for the purpose of this </w:t>
      </w:r>
      <w:r w:rsidRPr="002360F8">
        <w:rPr>
          <w:rFonts w:cs="Times New Roman"/>
          <w:u w:val="single"/>
        </w:rPr>
        <w:t>subsection 3(h)</w:t>
      </w:r>
      <w:r w:rsidRPr="00FF6DC4">
        <w:rPr>
          <w:rFonts w:cs="Times New Roman"/>
        </w:rPr>
        <w:t>, “</w:t>
      </w:r>
      <w:r w:rsidRPr="00BC5AAF">
        <w:rPr>
          <w:rFonts w:cs="Times New Roman"/>
          <w:b/>
          <w:bCs/>
        </w:rPr>
        <w:t>Availability Date</w:t>
      </w:r>
      <w:r w:rsidRPr="00FF6DC4">
        <w:rPr>
          <w:rFonts w:cs="Times New Roman"/>
        </w:rPr>
        <w:t>” means the 45</w:t>
      </w:r>
      <w:r w:rsidRPr="00FF6DC4">
        <w:rPr>
          <w:rFonts w:cs="Times New Roman"/>
          <w:vertAlign w:val="superscript"/>
        </w:rPr>
        <w:t>th</w:t>
      </w:r>
      <w:r w:rsidRPr="00FF6DC4">
        <w:rPr>
          <w:rFonts w:cs="Times New Roman"/>
        </w:rPr>
        <w:t xml:space="preserve"> day following the end of the fourth fiscal quarter that includes the effective date of such Registration Statement, except that, if such fourth fiscal quarter is the last quarter of the Company’s fiscal year, “</w:t>
      </w:r>
      <w:r w:rsidRPr="00BC5AAF">
        <w:rPr>
          <w:rFonts w:cs="Times New Roman"/>
          <w:b/>
          <w:bCs/>
        </w:rPr>
        <w:t>Availability Date</w:t>
      </w:r>
      <w:r w:rsidRPr="00FF6DC4">
        <w:rPr>
          <w:rFonts w:cs="Times New Roman"/>
        </w:rPr>
        <w:t>” means the 90</w:t>
      </w:r>
      <w:r w:rsidRPr="00FF6DC4">
        <w:rPr>
          <w:rFonts w:cs="Times New Roman"/>
          <w:vertAlign w:val="superscript"/>
        </w:rPr>
        <w:t>th</w:t>
      </w:r>
      <w:r w:rsidRPr="00FF6DC4">
        <w:rPr>
          <w:rFonts w:cs="Times New Roman"/>
        </w:rPr>
        <w:t xml:space="preserve"> day after the end of such fourth fiscal quarter)</w:t>
      </w:r>
      <w:r>
        <w:rPr>
          <w:rFonts w:cs="Times New Roman"/>
        </w:rPr>
        <w:t>.</w:t>
      </w:r>
    </w:p>
    <w:p w14:paraId="4D59651A" w14:textId="77777777" w:rsidR="000F6EC4" w:rsidRDefault="000F6EC4" w:rsidP="000F6EC4">
      <w:pPr>
        <w:pStyle w:val="Decimaloutlinedc2"/>
        <w:numPr>
          <w:ilvl w:val="0"/>
          <w:numId w:val="0"/>
        </w:numPr>
        <w:ind w:left="1440"/>
        <w:rPr>
          <w:rFonts w:cs="Times New Roman"/>
        </w:rPr>
      </w:pPr>
    </w:p>
    <w:p w14:paraId="3A19C11E" w14:textId="5B7AA238" w:rsidR="000F6EC4" w:rsidRPr="000F6EC4" w:rsidRDefault="000F6EC4" w:rsidP="000F6EC4">
      <w:pPr>
        <w:pStyle w:val="Decimaloutlinedc2"/>
        <w:rPr>
          <w:rFonts w:cs="Times New Roman"/>
        </w:rPr>
      </w:pPr>
      <w:r w:rsidRPr="00B45F7C">
        <w:rPr>
          <w:rFonts w:cs="Times New Roman"/>
          <w:u w:val="single"/>
        </w:rPr>
        <w:t>Blue-Sky</w:t>
      </w:r>
      <w:r>
        <w:rPr>
          <w:rFonts w:cs="Times New Roman"/>
        </w:rPr>
        <w:t xml:space="preserve">. The Company shall </w:t>
      </w:r>
      <w:r w:rsidRPr="000F6EC4">
        <w:rPr>
          <w:rFonts w:cs="Times New Roman"/>
        </w:rPr>
        <w:t xml:space="preserve">register or qualify or cooperate with the Investor and their counsel in connection with the registration or qualification of such Registrable Securities for the offer and sale under the securities or blue sky laws of such jurisdictions reasonably requested by the Investor; </w:t>
      </w:r>
      <w:r w:rsidRPr="00BC5AAF">
        <w:rPr>
          <w:rFonts w:cs="Times New Roman"/>
        </w:rPr>
        <w:t>provided, however,</w:t>
      </w:r>
      <w:r w:rsidRPr="000F6EC4">
        <w:rPr>
          <w:rFonts w:cs="Times New Roman"/>
        </w:rPr>
        <w:t xml:space="preserve"> that the Company shall not be required in connection therewith or as a condition thereto to (i) qualify to do business in any</w:t>
      </w:r>
      <w:r>
        <w:rPr>
          <w:rFonts w:cs="Times New Roman"/>
        </w:rPr>
        <w:t xml:space="preserve"> </w:t>
      </w:r>
      <w:r w:rsidRPr="000F6EC4">
        <w:rPr>
          <w:rFonts w:cs="Times New Roman"/>
        </w:rPr>
        <w:t xml:space="preserve">jurisdiction where it would not otherwise be required to qualify but for this </w:t>
      </w:r>
      <w:r w:rsidRPr="00BB0AFF">
        <w:rPr>
          <w:rFonts w:cs="Times New Roman"/>
          <w:u w:val="single"/>
        </w:rPr>
        <w:t>Section 3(</w:t>
      </w:r>
      <w:r w:rsidR="00B45F7C" w:rsidRPr="00BB0AFF">
        <w:rPr>
          <w:rFonts w:cs="Times New Roman"/>
          <w:u w:val="single"/>
        </w:rPr>
        <w:t>i</w:t>
      </w:r>
      <w:r w:rsidRPr="00BB0AFF">
        <w:rPr>
          <w:rFonts w:cs="Times New Roman"/>
          <w:u w:val="single"/>
        </w:rPr>
        <w:t>)</w:t>
      </w:r>
      <w:r w:rsidRPr="000F6EC4">
        <w:rPr>
          <w:rFonts w:cs="Times New Roman"/>
        </w:rPr>
        <w:t xml:space="preserve">, (ii) subject itself to general taxation in any jurisdiction where it would not otherwise be so subject but for this </w:t>
      </w:r>
      <w:r w:rsidRPr="00BB0AFF">
        <w:rPr>
          <w:rFonts w:cs="Times New Roman"/>
          <w:u w:val="single"/>
        </w:rPr>
        <w:t>Section 3(</w:t>
      </w:r>
      <w:r w:rsidR="00B45F7C" w:rsidRPr="00BB0AFF">
        <w:rPr>
          <w:rFonts w:cs="Times New Roman"/>
          <w:u w:val="single"/>
        </w:rPr>
        <w:t>i</w:t>
      </w:r>
      <w:r w:rsidRPr="00BB0AFF">
        <w:rPr>
          <w:rFonts w:cs="Times New Roman"/>
          <w:u w:val="single"/>
        </w:rPr>
        <w:t>)</w:t>
      </w:r>
      <w:r w:rsidRPr="000F6EC4">
        <w:rPr>
          <w:rFonts w:cs="Times New Roman"/>
        </w:rPr>
        <w:t>, or (iii) file a general consent to service of process in any such jurisdiction</w:t>
      </w:r>
      <w:r>
        <w:rPr>
          <w:rFonts w:cs="Times New Roman"/>
        </w:rPr>
        <w:t>.</w:t>
      </w:r>
    </w:p>
    <w:p w14:paraId="128F2271" w14:textId="77777777" w:rsidR="00C91766" w:rsidRDefault="00C91766" w:rsidP="00C91766">
      <w:pPr>
        <w:pStyle w:val="Decimaloutlinedc2"/>
        <w:numPr>
          <w:ilvl w:val="0"/>
          <w:numId w:val="0"/>
        </w:numPr>
        <w:ind w:left="1440"/>
        <w:rPr>
          <w:rFonts w:cs="Times New Roman"/>
        </w:rPr>
      </w:pPr>
    </w:p>
    <w:p w14:paraId="35CF7EBB" w14:textId="4F24DF66" w:rsidR="00C91766" w:rsidRPr="000F6EC4" w:rsidRDefault="00C91766" w:rsidP="00416907">
      <w:pPr>
        <w:pStyle w:val="Decimaloutlinedc2"/>
        <w:rPr>
          <w:rFonts w:cs="Times New Roman"/>
        </w:rPr>
      </w:pPr>
      <w:r w:rsidRPr="00B45F7C">
        <w:rPr>
          <w:rFonts w:cs="Times New Roman"/>
          <w:u w:val="single"/>
        </w:rPr>
        <w:t>Rule 144</w:t>
      </w:r>
      <w:r>
        <w:rPr>
          <w:rFonts w:cs="Times New Roman"/>
        </w:rPr>
        <w:t>. W</w:t>
      </w:r>
      <w:r>
        <w:t xml:space="preserve">ith a view to making available to the Investors the benefits of Rule 144 (or its successor rule) and any other rule or regulation of the SEC that may at any time permit the Investors to sell </w:t>
      </w:r>
      <w:r w:rsidR="008E6BE5">
        <w:t>[Ordinary Share</w:t>
      </w:r>
      <w:r w:rsidR="002E2317">
        <w:t>s</w:t>
      </w:r>
      <w:r w:rsidR="008E6BE5">
        <w:t>][ADS</w:t>
      </w:r>
      <w:r w:rsidR="00CA454A">
        <w:t>s</w:t>
      </w:r>
      <w:r w:rsidR="008E6BE5">
        <w:t>]</w:t>
      </w:r>
      <w:r>
        <w:t xml:space="preserve"> to the public without registration, the Company covenants and agrees to: (i) make and keep adequate current public information available, as those terms are understood and defined in Rule 144, until the earlier of (A) six months after such date as all of the Registrable Securities may be sold without restriction by the holders thereof pursuant to Rule 144 or any other rule of similar effect or (B) such date as there are no longer Registrable Securities; </w:t>
      </w:r>
      <w:r w:rsidR="00945A8D">
        <w:t xml:space="preserve">and </w:t>
      </w:r>
      <w:r>
        <w:t xml:space="preserve">(ii) file with the SEC in a timely manner all reports and other documents required of the Company under the </w:t>
      </w:r>
      <w:r w:rsidR="00BA0840">
        <w:t>Exchange</w:t>
      </w:r>
      <w:r>
        <w:t xml:space="preserve"> Act; (iii) furnish electronically to each Investor upon request, as long as such Investor owns any Registrable Securities, (A) a written statement by the Company that it has complied with the reporting requirements of the </w:t>
      </w:r>
      <w:r w:rsidR="00BA0840">
        <w:t>Exchange</w:t>
      </w:r>
      <w:r>
        <w:t xml:space="preserve"> Act, (B) a copy of or electronic access to the Company’s most recent Annual Report on Form </w:t>
      </w:r>
      <w:r w:rsidR="008E6BE5">
        <w:t>20-F</w:t>
      </w:r>
      <w:r>
        <w:t xml:space="preserve"> or </w:t>
      </w:r>
      <w:r w:rsidR="00CA454A">
        <w:t xml:space="preserve">interim </w:t>
      </w:r>
      <w:r w:rsidR="008E6BE5">
        <w:t>financial statements on Form 6-K</w:t>
      </w:r>
      <w:r w:rsidRPr="00DE4F7A">
        <w:t>, and (C) such other information as may be reasonably requested in order to avail such Investor of any rule or regulation of the SEC that permits the selling of any such Registrable Securities without registration</w:t>
      </w:r>
      <w:r>
        <w:t>.</w:t>
      </w:r>
    </w:p>
    <w:p w14:paraId="225E4AB5" w14:textId="77777777" w:rsidR="000F6EC4" w:rsidRPr="000F6EC4" w:rsidRDefault="000F6EC4" w:rsidP="000F6EC4">
      <w:pPr>
        <w:pStyle w:val="Decimaloutlinedc2"/>
        <w:numPr>
          <w:ilvl w:val="0"/>
          <w:numId w:val="0"/>
        </w:numPr>
        <w:ind w:left="1440"/>
        <w:rPr>
          <w:rFonts w:cs="Times New Roman"/>
        </w:rPr>
      </w:pPr>
    </w:p>
    <w:p w14:paraId="541065D2" w14:textId="30062721" w:rsidR="000F6EC4" w:rsidRDefault="009E1309" w:rsidP="00416907">
      <w:pPr>
        <w:pStyle w:val="Decimaloutlinedc2"/>
        <w:rPr>
          <w:rFonts w:cs="Times New Roman"/>
        </w:rPr>
      </w:pPr>
      <w:r w:rsidRPr="00FD13C1">
        <w:rPr>
          <w:rFonts w:cs="Times New Roman"/>
          <w:u w:val="single"/>
        </w:rPr>
        <w:t>Cooperation</w:t>
      </w:r>
      <w:r w:rsidR="00CE4F63" w:rsidRPr="00FD13C1">
        <w:rPr>
          <w:rFonts w:cs="Times New Roman"/>
          <w:u w:val="single"/>
        </w:rPr>
        <w:t>.</w:t>
      </w:r>
      <w:r w:rsidR="00FD13C1">
        <w:t> </w:t>
      </w:r>
      <w:r w:rsidR="000F6EC4">
        <w:rPr>
          <w:rFonts w:cs="Times New Roman"/>
        </w:rPr>
        <w:t xml:space="preserve">The Company shall </w:t>
      </w:r>
      <w:r w:rsidR="000F6EC4" w:rsidRPr="000F6EC4">
        <w:rPr>
          <w:rFonts w:cs="Times New Roman"/>
        </w:rPr>
        <w:t xml:space="preserve">cooperate with the holders of the Registrable Securities to facilitate the timely preparation and delivery of certificates or uncertificated shares representing the Registrable Securities to be sold pursuant to such Registration Statement or Rule 144 free of any restrictive legends and representing such number of </w:t>
      </w:r>
      <w:r w:rsidR="008E6BE5">
        <w:rPr>
          <w:rFonts w:cs="Times New Roman"/>
        </w:rPr>
        <w:t>[Ordinary Share</w:t>
      </w:r>
      <w:r w:rsidR="002E2317">
        <w:rPr>
          <w:rFonts w:cs="Times New Roman"/>
        </w:rPr>
        <w:t>s</w:t>
      </w:r>
      <w:r w:rsidR="008E6BE5">
        <w:rPr>
          <w:rFonts w:cs="Times New Roman"/>
        </w:rPr>
        <w:t>][ADS</w:t>
      </w:r>
      <w:r w:rsidR="002E2317">
        <w:rPr>
          <w:rFonts w:cs="Times New Roman"/>
        </w:rPr>
        <w:t>s</w:t>
      </w:r>
      <w:r w:rsidR="008E6BE5">
        <w:rPr>
          <w:rFonts w:cs="Times New Roman"/>
        </w:rPr>
        <w:t>]</w:t>
      </w:r>
      <w:r w:rsidR="000F6EC4" w:rsidRPr="000F6EC4">
        <w:rPr>
          <w:rFonts w:cs="Times New Roman"/>
        </w:rPr>
        <w:t xml:space="preserve"> and registered in such names as the holders of the Registrable Securities may reasonably request to the extent permitted by such Registration Statement or Rule 144 to effect sales of Registrable Securities ; for the avoidance of doubt, the Company may satisfy its obligations hereunder without issuing physical </w:t>
      </w:r>
      <w:r w:rsidR="00F82879">
        <w:rPr>
          <w:rFonts w:cs="Times New Roman"/>
        </w:rPr>
        <w:t>share</w:t>
      </w:r>
      <w:r w:rsidR="00F82879" w:rsidRPr="000F6EC4">
        <w:rPr>
          <w:rFonts w:cs="Times New Roman"/>
        </w:rPr>
        <w:t xml:space="preserve"> </w:t>
      </w:r>
      <w:r w:rsidR="000F6EC4" w:rsidRPr="000F6EC4">
        <w:rPr>
          <w:rFonts w:cs="Times New Roman"/>
        </w:rPr>
        <w:t>certificates through the use of The Depository Trust Company’s Direct Registration System</w:t>
      </w:r>
      <w:r w:rsidR="000F6EC4">
        <w:rPr>
          <w:rFonts w:cs="Times New Roman"/>
        </w:rPr>
        <w:t>.</w:t>
      </w:r>
    </w:p>
    <w:p w14:paraId="67050E33" w14:textId="77777777" w:rsidR="00B35FD8" w:rsidRDefault="00B35FD8" w:rsidP="00BC5AAF">
      <w:pPr>
        <w:pStyle w:val="Decimaloutlinedc2"/>
        <w:numPr>
          <w:ilvl w:val="0"/>
          <w:numId w:val="0"/>
        </w:numPr>
        <w:ind w:left="1440"/>
        <w:rPr>
          <w:rFonts w:eastAsia="Times New Roman" w:cs="Times New Roman"/>
          <w:color w:val="000000"/>
        </w:rPr>
      </w:pPr>
      <w:bookmarkStart w:id="44" w:name="_DV_M48"/>
      <w:bookmarkEnd w:id="44"/>
    </w:p>
    <w:p w14:paraId="47FE99B0" w14:textId="5651BA6F" w:rsidR="00B35FD8" w:rsidRDefault="002161CA">
      <w:pPr>
        <w:pStyle w:val="Decimaloutlinedc1"/>
        <w:rPr>
          <w:rFonts w:cs="Times New Roman"/>
        </w:rPr>
      </w:pPr>
      <w:bookmarkStart w:id="45" w:name="_DV_M50"/>
      <w:bookmarkEnd w:id="45"/>
      <w:r>
        <w:t>OBLIGATIONS OF THE INVESTOR</w:t>
      </w:r>
      <w:r w:rsidR="00E83EF5">
        <w:t>S</w:t>
      </w:r>
      <w:r>
        <w:t>.</w:t>
      </w:r>
    </w:p>
    <w:p w14:paraId="0D5AC2A4" w14:textId="77777777" w:rsidR="00B35FD8" w:rsidRDefault="00B35FD8">
      <w:pPr>
        <w:spacing w:after="0" w:line="240" w:lineRule="auto"/>
        <w:rPr>
          <w:rFonts w:ascii="Times New Roman" w:eastAsia="Times New Roman" w:hAnsi="Times New Roman" w:cs="Times New Roman"/>
          <w:color w:val="000000"/>
        </w:rPr>
      </w:pPr>
    </w:p>
    <w:p w14:paraId="6DE9CEEA" w14:textId="30AEF827" w:rsidR="00B35FD8" w:rsidRDefault="002161CA">
      <w:pPr>
        <w:pStyle w:val="Decimaloutlinedc2"/>
        <w:rPr>
          <w:rFonts w:cs="Times New Roman"/>
        </w:rPr>
      </w:pPr>
      <w:bookmarkStart w:id="46" w:name="_DV_M51"/>
      <w:bookmarkEnd w:id="46"/>
      <w:r>
        <w:rPr>
          <w:rStyle w:val="Decimaloutlinedc2runinChar"/>
        </w:rPr>
        <w:t>Investor Information</w:t>
      </w:r>
      <w:r>
        <w:t xml:space="preserve">. </w:t>
      </w:r>
      <w:r w:rsidR="002501FA">
        <w:t xml:space="preserve">Each </w:t>
      </w:r>
      <w:r>
        <w:t xml:space="preserve">Investor shall </w:t>
      </w:r>
      <w:r w:rsidR="00A07A8B">
        <w:t xml:space="preserve">provide a completed </w:t>
      </w:r>
      <w:r w:rsidR="0061066F">
        <w:t>Investor</w:t>
      </w:r>
      <w:r w:rsidR="00A07A8B">
        <w:t xml:space="preserve"> Questionnaire in the form attached hereto as </w:t>
      </w:r>
      <w:r w:rsidR="00A07A8B" w:rsidRPr="00B45F7C">
        <w:rPr>
          <w:u w:val="single"/>
        </w:rPr>
        <w:t xml:space="preserve">Exhibit </w:t>
      </w:r>
      <w:r w:rsidR="00A25DDB">
        <w:rPr>
          <w:u w:val="single"/>
        </w:rPr>
        <w:t>B</w:t>
      </w:r>
      <w:r w:rsidR="00A07A8B">
        <w:t xml:space="preserve"> </w:t>
      </w:r>
      <w:r>
        <w:t xml:space="preserve">in connection with </w:t>
      </w:r>
      <w:r w:rsidR="00E83EF5">
        <w:t>the registration of the Registrable Securities</w:t>
      </w:r>
      <w:r>
        <w:t>.</w:t>
      </w:r>
      <w:r w:rsidR="00550407">
        <w:t xml:space="preserve">  If the Company has not received such completed Questionnaire from an Investor within three business days of the Company’s request, the Company may file the Registration Statement without including such Investor’s Registrable Securities.</w:t>
      </w:r>
      <w:r w:rsidR="00126555">
        <w:rPr>
          <w:rStyle w:val="FootnoteReference"/>
        </w:rPr>
        <w:footnoteReference w:id="8"/>
      </w:r>
      <w:r w:rsidR="00550407">
        <w:t xml:space="preserve">  </w:t>
      </w:r>
    </w:p>
    <w:p w14:paraId="3DB3CFD5" w14:textId="77777777" w:rsidR="00B35FD8" w:rsidRDefault="00B35FD8">
      <w:pPr>
        <w:spacing w:after="0" w:line="240" w:lineRule="auto"/>
        <w:jc w:val="both"/>
        <w:rPr>
          <w:rFonts w:ascii="Times New Roman" w:eastAsia="Times New Roman" w:hAnsi="Times New Roman" w:cs="Times New Roman"/>
          <w:color w:val="000000"/>
        </w:rPr>
      </w:pPr>
    </w:p>
    <w:p w14:paraId="68E63E49" w14:textId="18F3F636" w:rsidR="00D31FE8" w:rsidRPr="00D31FE8" w:rsidRDefault="00D31FE8" w:rsidP="00D31FE8">
      <w:pPr>
        <w:pStyle w:val="Decimaloutlinedc2"/>
        <w:rPr>
          <w:rStyle w:val="Decimaloutlinedc2runinChar"/>
          <w:u w:val="none"/>
        </w:rPr>
      </w:pPr>
      <w:bookmarkStart w:id="47" w:name="_DV_M52"/>
      <w:bookmarkEnd w:id="47"/>
      <w:r>
        <w:rPr>
          <w:rStyle w:val="Decimaloutlinedc2runinChar"/>
        </w:rPr>
        <w:t>Suspension of Sales</w:t>
      </w:r>
      <w:r>
        <w:rPr>
          <w:rStyle w:val="Decimaloutlinedc2runinChar"/>
          <w:u w:val="none"/>
        </w:rPr>
        <w:t xml:space="preserve">.  </w:t>
      </w:r>
      <w:r w:rsidR="002501FA">
        <w:rPr>
          <w:rStyle w:val="Decimaloutlinedc2runinChar"/>
          <w:u w:val="none"/>
        </w:rPr>
        <w:t>Each Investor, severally and not jointly with any other Investor, agrees</w:t>
      </w:r>
      <w:r>
        <w:rPr>
          <w:rStyle w:val="Decimaloutlinedc2runinChar"/>
          <w:u w:val="none"/>
        </w:rPr>
        <w:t xml:space="preserve"> </w:t>
      </w:r>
      <w:r w:rsidRPr="00D31FE8">
        <w:rPr>
          <w:rStyle w:val="Decimaloutlinedc2runinChar"/>
          <w:u w:val="none"/>
        </w:rPr>
        <w:t>that, upon receipt of any notice from the</w:t>
      </w:r>
      <w:r>
        <w:rPr>
          <w:rStyle w:val="Decimaloutlinedc2runinChar"/>
          <w:u w:val="none"/>
        </w:rPr>
        <w:t xml:space="preserve"> </w:t>
      </w:r>
      <w:r w:rsidRPr="00D31FE8">
        <w:rPr>
          <w:rStyle w:val="Decimaloutlinedc2runinChar"/>
          <w:u w:val="none"/>
        </w:rPr>
        <w:t xml:space="preserve">Company of the existence of </w:t>
      </w:r>
      <w:r w:rsidR="00427A3A">
        <w:rPr>
          <w:rStyle w:val="Decimaloutlinedc2runinChar"/>
          <w:u w:val="none"/>
        </w:rPr>
        <w:t>Suspension Event</w:t>
      </w:r>
      <w:r>
        <w:rPr>
          <w:rStyle w:val="Decimaloutlinedc2runinChar"/>
          <w:u w:val="none"/>
        </w:rPr>
        <w:t xml:space="preserve"> </w:t>
      </w:r>
      <w:r w:rsidRPr="00D31FE8">
        <w:rPr>
          <w:rStyle w:val="Decimaloutlinedc2runinChar"/>
          <w:u w:val="none"/>
        </w:rPr>
        <w:t xml:space="preserve">as set forth in </w:t>
      </w:r>
      <w:r w:rsidRPr="00D31FE8">
        <w:rPr>
          <w:rStyle w:val="Decimaloutlinedc2runinChar"/>
        </w:rPr>
        <w:t>Section 3(e)</w:t>
      </w:r>
      <w:r w:rsidRPr="00D31FE8">
        <w:rPr>
          <w:rStyle w:val="Decimaloutlinedc2runinChar"/>
          <w:u w:val="none"/>
        </w:rPr>
        <w:t>, the Investor</w:t>
      </w:r>
      <w:r>
        <w:rPr>
          <w:rStyle w:val="Decimaloutlinedc2runinChar"/>
          <w:u w:val="none"/>
        </w:rPr>
        <w:t xml:space="preserve"> </w:t>
      </w:r>
      <w:r w:rsidRPr="00D31FE8">
        <w:rPr>
          <w:rStyle w:val="Decimaloutlinedc2runinChar"/>
          <w:u w:val="none"/>
        </w:rPr>
        <w:t>will immediately discontinue disposition of Registrable Securities pursuant to any Registration Statement</w:t>
      </w:r>
      <w:r>
        <w:rPr>
          <w:rStyle w:val="Decimaloutlinedc2runinChar"/>
          <w:u w:val="none"/>
        </w:rPr>
        <w:t xml:space="preserve"> </w:t>
      </w:r>
      <w:r w:rsidRPr="00D31FE8">
        <w:rPr>
          <w:rStyle w:val="Decimaloutlinedc2runinChar"/>
          <w:u w:val="none"/>
        </w:rPr>
        <w:t>covering such Registrable Securities until the Investor'</w:t>
      </w:r>
      <w:r w:rsidR="002501FA">
        <w:rPr>
          <w:rStyle w:val="Decimaloutlinedc2runinChar"/>
          <w:u w:val="none"/>
        </w:rPr>
        <w:t>s</w:t>
      </w:r>
      <w:r w:rsidRPr="00D31FE8">
        <w:rPr>
          <w:rStyle w:val="Decimaloutlinedc2runinChar"/>
          <w:u w:val="none"/>
        </w:rPr>
        <w:t xml:space="preserve"> receipt of a notice</w:t>
      </w:r>
      <w:r w:rsidR="00A5629F">
        <w:rPr>
          <w:rStyle w:val="Decimaloutlinedc2runinChar"/>
          <w:u w:val="none"/>
        </w:rPr>
        <w:t xml:space="preserve"> from the Company</w:t>
      </w:r>
      <w:r w:rsidRPr="00D31FE8">
        <w:rPr>
          <w:rStyle w:val="Decimaloutlinedc2runinChar"/>
          <w:u w:val="none"/>
        </w:rPr>
        <w:t xml:space="preserve"> </w:t>
      </w:r>
      <w:r w:rsidR="00AB4C54">
        <w:rPr>
          <w:rStyle w:val="Decimaloutlinedc2runinChar"/>
          <w:u w:val="none"/>
        </w:rPr>
        <w:t>confirming</w:t>
      </w:r>
      <w:r w:rsidRPr="00D31FE8">
        <w:rPr>
          <w:rStyle w:val="Decimaloutlinedc2runinChar"/>
          <w:u w:val="none"/>
        </w:rPr>
        <w:t xml:space="preserve"> the</w:t>
      </w:r>
      <w:r>
        <w:rPr>
          <w:rStyle w:val="Decimaloutlinedc2runinChar"/>
          <w:u w:val="none"/>
        </w:rPr>
        <w:t xml:space="preserve"> </w:t>
      </w:r>
      <w:r w:rsidRPr="00D31FE8">
        <w:rPr>
          <w:rStyle w:val="Decimaloutlinedc2runinChar"/>
          <w:u w:val="none"/>
        </w:rPr>
        <w:t xml:space="preserve">resolution </w:t>
      </w:r>
      <w:r w:rsidR="00427A3A">
        <w:rPr>
          <w:rStyle w:val="Decimaloutlinedc2runinChar"/>
          <w:u w:val="none"/>
        </w:rPr>
        <w:t>of such Suspension Event</w:t>
      </w:r>
      <w:r w:rsidR="00A5629F">
        <w:rPr>
          <w:rStyle w:val="Decimaloutlinedc2runinChar"/>
          <w:u w:val="none"/>
        </w:rPr>
        <w:t xml:space="preserve"> and that such dispositions may again be made</w:t>
      </w:r>
      <w:r w:rsidRPr="00D31FE8">
        <w:rPr>
          <w:rStyle w:val="Decimaloutlinedc2runinChar"/>
          <w:u w:val="none"/>
        </w:rPr>
        <w:t>.</w:t>
      </w:r>
    </w:p>
    <w:p w14:paraId="08E6E500" w14:textId="77777777" w:rsidR="00D31FE8" w:rsidRPr="00D31FE8" w:rsidRDefault="00D31FE8" w:rsidP="00D31FE8">
      <w:pPr>
        <w:pStyle w:val="Decimaloutlinedc2"/>
        <w:numPr>
          <w:ilvl w:val="0"/>
          <w:numId w:val="0"/>
        </w:numPr>
        <w:rPr>
          <w:rStyle w:val="Decimaloutlinedc2runinChar"/>
          <w:rFonts w:cs="Times New Roman"/>
          <w:u w:val="none"/>
        </w:rPr>
      </w:pPr>
    </w:p>
    <w:p w14:paraId="3638FCB7" w14:textId="6E5CCE13" w:rsidR="00B35FD8" w:rsidRDefault="002161CA">
      <w:pPr>
        <w:pStyle w:val="Decimaloutlinedc2"/>
        <w:rPr>
          <w:rFonts w:cs="Times New Roman"/>
        </w:rPr>
      </w:pPr>
      <w:r>
        <w:rPr>
          <w:rStyle w:val="Decimaloutlinedc2runinChar"/>
        </w:rPr>
        <w:t>Investor Cooperation</w:t>
      </w:r>
      <w:r>
        <w:t xml:space="preserve">. </w:t>
      </w:r>
      <w:r w:rsidR="002501FA">
        <w:rPr>
          <w:rStyle w:val="Decimaloutlinedc2runinChar"/>
          <w:u w:val="none"/>
        </w:rPr>
        <w:t>Each Investor, severally and not jointly with any other Investor, agrees</w:t>
      </w:r>
      <w:r w:rsidR="002501FA">
        <w:t xml:space="preserve"> </w:t>
      </w:r>
      <w:r>
        <w:t>to cooperate with the Company as reasonably requested by the Company in connection with the preparation and filing of any amendments and supplements to any Registration Statement or New Registration Statement hereunder</w:t>
      </w:r>
      <w:r w:rsidR="00A5629F">
        <w:t xml:space="preserve">, </w:t>
      </w:r>
      <w:r w:rsidR="00A5629F" w:rsidRPr="00A5629F">
        <w:t xml:space="preserve">unless </w:t>
      </w:r>
      <w:r w:rsidR="002501FA">
        <w:t xml:space="preserve">such </w:t>
      </w:r>
      <w:r w:rsidR="00A5629F" w:rsidRPr="00A5629F">
        <w:t>Investor has notified the Company in writing of its election to exclude all of its Registrable Securities from such Registration Statemen</w:t>
      </w:r>
      <w:r w:rsidR="009C223B">
        <w:t>t</w:t>
      </w:r>
      <w:r>
        <w:t>.</w:t>
      </w:r>
    </w:p>
    <w:p w14:paraId="4343C642" w14:textId="77777777" w:rsidR="00B35FD8" w:rsidRDefault="00B35FD8">
      <w:pPr>
        <w:spacing w:after="0" w:line="240" w:lineRule="auto"/>
        <w:rPr>
          <w:rFonts w:ascii="Times New Roman" w:eastAsia="Times New Roman" w:hAnsi="Times New Roman" w:cs="Times New Roman"/>
          <w:color w:val="000000"/>
        </w:rPr>
      </w:pPr>
    </w:p>
    <w:p w14:paraId="1A199A49" w14:textId="77777777" w:rsidR="00B35FD8" w:rsidRDefault="002161CA">
      <w:pPr>
        <w:pStyle w:val="Decimaloutlinedc1"/>
        <w:rPr>
          <w:rFonts w:cs="Times New Roman"/>
        </w:rPr>
      </w:pPr>
      <w:bookmarkStart w:id="48" w:name="_DV_M53"/>
      <w:bookmarkEnd w:id="48"/>
      <w:r>
        <w:t>EXPENSES OF REGISTRATION.</w:t>
      </w:r>
    </w:p>
    <w:p w14:paraId="6340A0DC" w14:textId="77777777" w:rsidR="00B35FD8" w:rsidRDefault="00B35FD8">
      <w:pPr>
        <w:spacing w:after="0" w:line="240" w:lineRule="auto"/>
        <w:rPr>
          <w:rFonts w:ascii="Times New Roman" w:eastAsia="Times New Roman" w:hAnsi="Times New Roman" w:cs="Times New Roman"/>
          <w:color w:val="000000"/>
        </w:rPr>
      </w:pPr>
    </w:p>
    <w:p w14:paraId="4167F68E" w14:textId="51E06D09" w:rsidR="00B35FD8" w:rsidRDefault="00E01157">
      <w:pPr>
        <w:spacing w:after="0" w:line="240" w:lineRule="auto"/>
        <w:ind w:firstLine="1440"/>
        <w:jc w:val="both"/>
        <w:rPr>
          <w:rFonts w:ascii="Times New Roman" w:eastAsia="Times New Roman" w:hAnsi="Times New Roman" w:cs="Times New Roman"/>
          <w:color w:val="000000"/>
        </w:rPr>
      </w:pPr>
      <w:bookmarkStart w:id="49" w:name="_DV_M54"/>
      <w:bookmarkEnd w:id="49"/>
      <w:r w:rsidRPr="00E01157">
        <w:rPr>
          <w:rFonts w:ascii="Times New Roman" w:eastAsia="Times New Roman" w:hAnsi="Times New Roman" w:cs="Times New Roman"/>
          <w:color w:val="000000"/>
        </w:rPr>
        <w:t>All Registration Expenses incurred in connection with registrations pursuant to this Agreement shall be borne by the Company.  All Selling Expenses relating to securities registered on behalf of the Investors shall be borne by the Investors pro rata on the basis of the number of Registrable Securities so registered.</w:t>
      </w:r>
    </w:p>
    <w:p w14:paraId="4C6A8F3C" w14:textId="77777777" w:rsidR="00B35FD8" w:rsidRDefault="00B35FD8">
      <w:pPr>
        <w:spacing w:after="0" w:line="240" w:lineRule="auto"/>
        <w:rPr>
          <w:rFonts w:ascii="Times New Roman" w:eastAsia="Times New Roman" w:hAnsi="Times New Roman" w:cs="Times New Roman"/>
          <w:b/>
          <w:color w:val="000000"/>
          <w:u w:val="single"/>
        </w:rPr>
      </w:pPr>
    </w:p>
    <w:p w14:paraId="2F05CEFC" w14:textId="77777777" w:rsidR="00B35FD8" w:rsidRDefault="002161CA">
      <w:pPr>
        <w:pStyle w:val="Decimaloutlinedc1"/>
        <w:rPr>
          <w:rFonts w:cs="Times New Roman"/>
        </w:rPr>
      </w:pPr>
      <w:bookmarkStart w:id="50" w:name="_DV_M55"/>
      <w:bookmarkEnd w:id="50"/>
      <w:r>
        <w:t>INDEMNIFICATION.</w:t>
      </w:r>
    </w:p>
    <w:p w14:paraId="0CE25964" w14:textId="77777777" w:rsidR="00B35FD8" w:rsidRDefault="00B35FD8">
      <w:pPr>
        <w:spacing w:after="0" w:line="240" w:lineRule="auto"/>
        <w:rPr>
          <w:rFonts w:ascii="Times New Roman" w:eastAsia="Times New Roman" w:hAnsi="Times New Roman" w:cs="Times New Roman"/>
          <w:color w:val="000000"/>
        </w:rPr>
      </w:pPr>
    </w:p>
    <w:p w14:paraId="628BFB83" w14:textId="090220EA" w:rsidR="00B35FD8" w:rsidRPr="009E5428" w:rsidRDefault="002161CA" w:rsidP="009E5428">
      <w:pPr>
        <w:pStyle w:val="Decimaloutlinedc2"/>
        <w:rPr>
          <w:rFonts w:cs="Times New Roman"/>
        </w:rPr>
      </w:pPr>
      <w:bookmarkStart w:id="51" w:name="_DV_M56"/>
      <w:bookmarkEnd w:id="51"/>
      <w:r>
        <w:t>To the fullest extent permitted by law, the Company will, and hereby does, indemnify, hold harmless and defend the Investor</w:t>
      </w:r>
      <w:r w:rsidR="00E83EF5">
        <w:t>s</w:t>
      </w:r>
      <w:r>
        <w:t>, each Person, if any, who controls the Investor</w:t>
      </w:r>
      <w:r w:rsidR="00E83EF5">
        <w:t>s</w:t>
      </w:r>
      <w:r>
        <w:t>, the members, the directors, officers, partners, employees, members, managers, agents, representatives</w:t>
      </w:r>
      <w:r w:rsidR="00093D3B">
        <w:t xml:space="preserve"> and advisors</w:t>
      </w:r>
      <w:r>
        <w:t xml:space="preserve"> of the Investor</w:t>
      </w:r>
      <w:r w:rsidR="00E83EF5">
        <w:t>s</w:t>
      </w:r>
      <w:r>
        <w:t xml:space="preserve"> and each Person, if any, who controls the Investor</w:t>
      </w:r>
      <w:r w:rsidR="00E83EF5">
        <w:t>s</w:t>
      </w:r>
      <w:r>
        <w:t xml:space="preserve"> within the meaning of the Securities Act or the Exchange Act (each, an “</w:t>
      </w:r>
      <w:r w:rsidRPr="004D6522">
        <w:rPr>
          <w:b/>
        </w:rPr>
        <w:t>Indemnified Person</w:t>
      </w:r>
      <w:r>
        <w:t xml:space="preserve">”), against any losses, </w:t>
      </w:r>
      <w:r w:rsidR="00093D3B">
        <w:t xml:space="preserve">obligation, </w:t>
      </w:r>
      <w:r>
        <w:t xml:space="preserve">claims, damages, liabilities, </w:t>
      </w:r>
      <w:r w:rsidR="00093D3B">
        <w:t xml:space="preserve">contingencies, </w:t>
      </w:r>
      <w:r>
        <w:t>judgments, fines, penalties, charges, costs</w:t>
      </w:r>
      <w:r w:rsidR="00093D3B">
        <w:t xml:space="preserve"> (including, without limitation</w:t>
      </w:r>
      <w:r>
        <w:t xml:space="preserve">, </w:t>
      </w:r>
      <w:r w:rsidR="00093D3B">
        <w:t>court costs</w:t>
      </w:r>
      <w:r w:rsidR="000F6EC4">
        <w:t xml:space="preserve"> and costs of </w:t>
      </w:r>
      <w:r w:rsidR="009E5428">
        <w:t>preparation</w:t>
      </w:r>
      <w:r w:rsidR="002360F8">
        <w:t>)</w:t>
      </w:r>
      <w:r w:rsidR="00093D3B">
        <w:t xml:space="preserve">, </w:t>
      </w:r>
      <w:r>
        <w:t xml:space="preserve">reasonable </w:t>
      </w:r>
      <w:r w:rsidR="00454DBF">
        <w:t xml:space="preserve">and documented </w:t>
      </w:r>
      <w:r>
        <w:t>attorneys’ fees, amounts paid in settlement or reasonable</w:t>
      </w:r>
      <w:r w:rsidR="00454DBF">
        <w:t xml:space="preserve"> and documented</w:t>
      </w:r>
      <w:r>
        <w:t xml:space="preserve"> expenses, (collectively, “</w:t>
      </w:r>
      <w:r w:rsidRPr="002360F8">
        <w:rPr>
          <w:b/>
        </w:rPr>
        <w:t>Claims</w:t>
      </w:r>
      <w:r>
        <w:t>”) reasonably incurred in investigating, preparing or defending any action, claim, suit, inquiry, proceeding, investigation or appeal taken from the foregoing by or before any court or governmental, administrative or other regulatory agency or body or the SEC, whether pending or threatened, whether or not an indemnified party is or may be a party thereto (“</w:t>
      </w:r>
      <w:r w:rsidRPr="00954D4C">
        <w:rPr>
          <w:b/>
        </w:rPr>
        <w:t>Indemnified Damages</w:t>
      </w:r>
      <w:r>
        <w:t xml:space="preserve">”), to which any of them may become subject insofar as such Claims (or actions or proceedings, whether commenced or threatened, in respect thereof) arise out of or are based upon: (i) any untrue statement or alleged untrue statement </w:t>
      </w:r>
      <w:r w:rsidR="009E5428" w:rsidRPr="009E5428">
        <w:t xml:space="preserve">or omission or alleged omission </w:t>
      </w:r>
      <w:r>
        <w:t>of a</w:t>
      </w:r>
      <w:r w:rsidR="009E5428">
        <w:t>ny</w:t>
      </w:r>
      <w:r>
        <w:t xml:space="preserve"> material fact </w:t>
      </w:r>
      <w:r w:rsidR="009E5428">
        <w:t xml:space="preserve">contained </w:t>
      </w:r>
      <w:r>
        <w:t xml:space="preserve">in </w:t>
      </w:r>
      <w:r w:rsidR="009E5428">
        <w:t xml:space="preserve">any </w:t>
      </w:r>
      <w:r>
        <w:t xml:space="preserve">Registration Statement, </w:t>
      </w:r>
      <w:r w:rsidR="009E5428" w:rsidRPr="009E5428">
        <w:t xml:space="preserve">any preliminary </w:t>
      </w:r>
      <w:r w:rsidR="00945A8D">
        <w:t>p</w:t>
      </w:r>
      <w:r w:rsidR="009E5428" w:rsidRPr="009E5428">
        <w:t xml:space="preserve">rospectus or final </w:t>
      </w:r>
      <w:r w:rsidR="00945A8D">
        <w:t>p</w:t>
      </w:r>
      <w:r w:rsidR="009E5428" w:rsidRPr="009E5428">
        <w:t>rospectus, or any amendment or supplement thereof</w:t>
      </w:r>
      <w:bookmarkStart w:id="52" w:name="_DV_C17"/>
      <w:bookmarkStart w:id="53" w:name="_DV_M57"/>
      <w:bookmarkEnd w:id="52"/>
      <w:bookmarkEnd w:id="53"/>
      <w:r w:rsidR="009E5428">
        <w:t>,</w:t>
      </w:r>
      <w:r w:rsidR="002A5A93">
        <w:t xml:space="preserve"> or (ii)</w:t>
      </w:r>
      <w:r>
        <w:t xml:space="preserve"> </w:t>
      </w:r>
      <w:r w:rsidR="002A5A93">
        <w:t xml:space="preserve">any violation or alleged violation by the Company </w:t>
      </w:r>
      <w:r w:rsidR="009E5428">
        <w:t xml:space="preserve">or any of its Subsidiaries </w:t>
      </w:r>
      <w:r w:rsidR="002A5A93">
        <w:t xml:space="preserve">of the Securities Act, Exchange Act or any other </w:t>
      </w:r>
      <w:r w:rsidR="009E5428">
        <w:t xml:space="preserve">state </w:t>
      </w:r>
      <w:r w:rsidR="002A5A93">
        <w:t>securities or other “blue sky” laws of any jurisdiction in which Registrable Securities are offered</w:t>
      </w:r>
      <w:r w:rsidR="009E5428">
        <w:t xml:space="preserve"> </w:t>
      </w:r>
      <w:r w:rsidR="009E5428" w:rsidRPr="009E5428">
        <w:t>or any rule or regulation promulgated thereunder applicable to the Company or its agents and relating to action or inaction required of the Company in connection with such registratio</w:t>
      </w:r>
      <w:r w:rsidR="009E5428">
        <w:t>n of the Registrable Securities</w:t>
      </w:r>
      <w:r w:rsidR="002A5A93">
        <w:t xml:space="preserve"> </w:t>
      </w:r>
      <w:r>
        <w:t xml:space="preserve">(the matters in the foregoing clauses (i) </w:t>
      </w:r>
      <w:r w:rsidR="00A30CA5">
        <w:t>and</w:t>
      </w:r>
      <w:r>
        <w:t xml:space="preserve"> (</w:t>
      </w:r>
      <w:bookmarkStart w:id="54" w:name="_DV_C30"/>
      <w:bookmarkStart w:id="55" w:name="_DV_M59"/>
      <w:bookmarkEnd w:id="54"/>
      <w:bookmarkEnd w:id="55"/>
      <w:r>
        <w:t>i</w:t>
      </w:r>
      <w:r w:rsidR="00A30CA5">
        <w:t>i</w:t>
      </w:r>
      <w:r>
        <w:t>) being, collectively, “</w:t>
      </w:r>
      <w:r w:rsidRPr="00954D4C">
        <w:rPr>
          <w:b/>
        </w:rPr>
        <w:t>Violations</w:t>
      </w:r>
      <w:r>
        <w:t>”). The Company shall reimburse each Indemnified Person promptly as such expenses are incurred and are due and payable, for any reasonable out-of-pocket legal fees or other reasonable and documented expenses incurred by them in connection with investigating or defending any such Claim. </w:t>
      </w:r>
      <w:bookmarkStart w:id="56" w:name="_DV_M60"/>
      <w:bookmarkEnd w:id="56"/>
      <w:r>
        <w:t xml:space="preserve">Notwithstanding anything to the contrary contained herein, the indemnification agreement contained in this </w:t>
      </w:r>
      <w:r w:rsidRPr="009E5428">
        <w:rPr>
          <w:u w:val="single"/>
        </w:rPr>
        <w:t xml:space="preserve">Section </w:t>
      </w:r>
      <w:r w:rsidRPr="009E5428">
        <w:rPr>
          <w:u w:val="single"/>
        </w:rPr>
        <w:fldChar w:fldCharType="begin"/>
      </w:r>
      <w:r w:rsidRPr="009E5428">
        <w:rPr>
          <w:u w:val="single"/>
        </w:rPr>
        <w:instrText xml:space="preserve"> REF _DV_M56 \w \h \t \* MERGEFORMAT </w:instrText>
      </w:r>
      <w:r w:rsidRPr="009E5428">
        <w:rPr>
          <w:u w:val="single"/>
        </w:rPr>
      </w:r>
      <w:r w:rsidRPr="009E5428">
        <w:rPr>
          <w:u w:val="single"/>
        </w:rPr>
        <w:fldChar w:fldCharType="separate"/>
      </w:r>
      <w:r w:rsidR="00AE3795">
        <w:rPr>
          <w:u w:val="single"/>
        </w:rPr>
        <w:t>6(a)</w:t>
      </w:r>
      <w:r w:rsidRPr="009E5428">
        <w:rPr>
          <w:u w:val="single"/>
        </w:rPr>
        <w:fldChar w:fldCharType="end"/>
      </w:r>
      <w:r>
        <w:t>: (A) shall not apply to a Claim by an Indemnified Person arising out of or based upon a Violation which occurs in reliance upon and in conformity with information furnished in writing to the Company by the Investor</w:t>
      </w:r>
      <w:r w:rsidR="00E83EF5">
        <w:t>s</w:t>
      </w:r>
      <w:r>
        <w:t xml:space="preserve"> or such Indemnified Person </w:t>
      </w:r>
      <w:r w:rsidR="009E5428" w:rsidRPr="009E5428">
        <w:t xml:space="preserve">specifically for use in such Registration Statement or prospectus </w:t>
      </w:r>
      <w:r w:rsidR="002A5A93">
        <w:t xml:space="preserve">and was reviewed and approved in writing by such Investor or such Indemnified Person </w:t>
      </w:r>
      <w:r>
        <w:t xml:space="preserve">expressly for use in connection with the preparation of </w:t>
      </w:r>
      <w:r w:rsidR="009E5428">
        <w:t xml:space="preserve">any </w:t>
      </w:r>
      <w:r>
        <w:t xml:space="preserve">Registration Statement, </w:t>
      </w:r>
      <w:r w:rsidR="00F36C6B">
        <w:t>any p</w:t>
      </w:r>
      <w:r>
        <w:t xml:space="preserve">rospectus or any such amendment thereof or supplement thereto, if such in each case if the foregoing was timely made available by the Company; (B) with respect to any superseded prospectus, shall not inure to the benefit of any such Person from whom the Person asserting any such Claim purchased the Registrable Securities that are the subject thereof (or to the benefit of any </w:t>
      </w:r>
      <w:bookmarkStart w:id="57" w:name="_DV_C27"/>
      <w:bookmarkEnd w:id="57"/>
      <w:r>
        <w:t xml:space="preserve">other Indemnified Person) if the untrue statement or omission of material fact contained in the superseded prospectus was corrected in the revised prospectus, as then amended or supplemented, and the Indemnified Person was promptly advised in writing not to use the </w:t>
      </w:r>
      <w:r w:rsidR="0011165B">
        <w:t xml:space="preserve">outdated, defective or </w:t>
      </w:r>
      <w:r>
        <w:t>incorrect prospectus prior to the use giving rise to a violation; (C) shall not apply to amounts paid in settlement of any Claim if such settlement is effected without the prior written consent of the Company, which consent shall not be unreasonably withheld</w:t>
      </w:r>
      <w:r w:rsidR="009C223B">
        <w:t>, conditioned or delayed</w:t>
      </w:r>
      <w:r>
        <w:t xml:space="preserve">. Such indemnity shall remain in full force and effect regardless of any investigation made by or on behalf of the Indemnified Person and shall survive the transfer of the Registrable Securities by the Investor pursuant to </w:t>
      </w:r>
      <w:r w:rsidRPr="009E5428">
        <w:rPr>
          <w:u w:val="single"/>
        </w:rPr>
        <w:t xml:space="preserve">Section </w:t>
      </w:r>
      <w:r w:rsidRPr="009E5428">
        <w:rPr>
          <w:u w:val="single"/>
        </w:rPr>
        <w:fldChar w:fldCharType="begin"/>
      </w:r>
      <w:r w:rsidRPr="009E5428">
        <w:rPr>
          <w:u w:val="single"/>
        </w:rPr>
        <w:instrText xml:space="preserve"> REF _DV_M70 \w \n \h \t \* MERGEFORMAT </w:instrText>
      </w:r>
      <w:r w:rsidRPr="009E5428">
        <w:rPr>
          <w:u w:val="single"/>
        </w:rPr>
      </w:r>
      <w:r w:rsidRPr="009E5428">
        <w:rPr>
          <w:u w:val="single"/>
        </w:rPr>
        <w:fldChar w:fldCharType="separate"/>
      </w:r>
      <w:r w:rsidR="00AE3795">
        <w:rPr>
          <w:u w:val="single"/>
        </w:rPr>
        <w:t>8</w:t>
      </w:r>
      <w:r w:rsidRPr="009E5428">
        <w:rPr>
          <w:u w:val="single"/>
        </w:rPr>
        <w:fldChar w:fldCharType="end"/>
      </w:r>
      <w:r>
        <w:t>.</w:t>
      </w:r>
    </w:p>
    <w:p w14:paraId="2F3CB48C" w14:textId="77777777" w:rsidR="00B35FD8" w:rsidRDefault="00B35FD8">
      <w:pPr>
        <w:spacing w:after="0" w:line="240" w:lineRule="auto"/>
        <w:rPr>
          <w:rFonts w:ascii="Times New Roman" w:eastAsia="Times New Roman" w:hAnsi="Times New Roman" w:cs="Times New Roman"/>
          <w:color w:val="000000"/>
        </w:rPr>
      </w:pPr>
    </w:p>
    <w:p w14:paraId="46E71E2C" w14:textId="1309403A" w:rsidR="00B35FD8" w:rsidRDefault="002161CA">
      <w:pPr>
        <w:pStyle w:val="Decimaloutlinedc2"/>
        <w:rPr>
          <w:rFonts w:cs="Times New Roman"/>
        </w:rPr>
      </w:pPr>
      <w:bookmarkStart w:id="58" w:name="_DV_M63"/>
      <w:bookmarkEnd w:id="58"/>
      <w:r>
        <w:t xml:space="preserve">In connection with the </w:t>
      </w:r>
      <w:r w:rsidR="00E83EF5">
        <w:t>Initial</w:t>
      </w:r>
      <w:r>
        <w:t xml:space="preserve"> Registration Statement, any New Registration Statement or </w:t>
      </w:r>
      <w:r w:rsidR="00F36C6B">
        <w:t>any p</w:t>
      </w:r>
      <w:r>
        <w:t>rospectus, the Investor</w:t>
      </w:r>
      <w:r w:rsidR="00E83EF5">
        <w:t>s, severally and not jointly,</w:t>
      </w:r>
      <w:r>
        <w:t xml:space="preserve"> agree to </w:t>
      </w:r>
      <w:bookmarkStart w:id="59" w:name="_DV_M64"/>
      <w:bookmarkEnd w:id="59"/>
      <w:r>
        <w:t>indemnify, hold harmless and defend, the Company, each of its directors, each of its officers who signed</w:t>
      </w:r>
      <w:r>
        <w:rPr>
          <w:b/>
          <w:bCs/>
        </w:rPr>
        <w:t xml:space="preserve"> </w:t>
      </w:r>
      <w:r>
        <w:t xml:space="preserve">the </w:t>
      </w:r>
      <w:r w:rsidR="00E83EF5">
        <w:t>Initial</w:t>
      </w:r>
      <w:r>
        <w:t xml:space="preserve"> Registration Statement or signs any New Registration Statement, each Person, if any, who controls the Company within the meaning of the Securities Act or the Exchange Act (</w:t>
      </w:r>
      <w:r w:rsidR="004A412E">
        <w:t xml:space="preserve">each, </w:t>
      </w:r>
      <w:r>
        <w:t xml:space="preserve"> an “</w:t>
      </w:r>
      <w:r w:rsidRPr="004208D6">
        <w:rPr>
          <w:b/>
        </w:rPr>
        <w:t>Indemnified Party</w:t>
      </w:r>
      <w:r>
        <w:t xml:space="preserve">”), against any </w:t>
      </w:r>
      <w:r w:rsidR="0011165B">
        <w:t>l</w:t>
      </w:r>
      <w:r w:rsidR="0011165B" w:rsidRPr="0011165B">
        <w:t>osses, claims, damages, liabilities and expense (including reasonable attorney fees)</w:t>
      </w:r>
      <w:r w:rsidR="0011165B" w:rsidRPr="0011165B" w:rsidDel="0011165B">
        <w:t xml:space="preserve"> </w:t>
      </w:r>
      <w:r w:rsidR="0011165B">
        <w:t>resulting from</w:t>
      </w:r>
      <w:r>
        <w:t xml:space="preserve"> any Violation, in each case to the extent, and only to the extent, that such Violation occurs in reliance upon and in conformity with information about </w:t>
      </w:r>
      <w:r w:rsidR="001F672E">
        <w:t xml:space="preserve">an </w:t>
      </w:r>
      <w:r>
        <w:t xml:space="preserve">Investor </w:t>
      </w:r>
      <w:r w:rsidR="0011165B">
        <w:t xml:space="preserve">furnished in </w:t>
      </w:r>
      <w:r w:rsidR="00446F07">
        <w:t>writing</w:t>
      </w:r>
      <w:r w:rsidR="0011165B">
        <w:t xml:space="preserve"> by </w:t>
      </w:r>
      <w:r w:rsidR="001F672E">
        <w:t xml:space="preserve">such </w:t>
      </w:r>
      <w:r w:rsidR="0011165B">
        <w:t xml:space="preserve">Investor </w:t>
      </w:r>
      <w:r w:rsidR="00CC2AE7">
        <w:t>to the Company</w:t>
      </w:r>
      <w:r w:rsidR="002A5A93">
        <w:t xml:space="preserve"> and reviewed and approved in writing by such Investor or such Indemnified Person expressly for use in connection with the preparation of the Registration Statement, any New Registration Statement, any prospectus or any such amendment thereof or supplement thereto</w:t>
      </w:r>
      <w:r w:rsidR="0011165B">
        <w:t xml:space="preserve">. </w:t>
      </w:r>
      <w:r w:rsidR="0011165B" w:rsidRPr="0011165B">
        <w:t xml:space="preserve">In no event shall the liability of </w:t>
      </w:r>
      <w:r w:rsidR="001F672E">
        <w:t xml:space="preserve">an </w:t>
      </w:r>
      <w:r w:rsidR="0011165B" w:rsidRPr="0011165B">
        <w:t xml:space="preserve">Investor be greater in amount than the dollar amount of the proceeds (net of all expense paid by </w:t>
      </w:r>
      <w:r w:rsidR="001F672E">
        <w:t xml:space="preserve">such </w:t>
      </w:r>
      <w:r w:rsidR="0011165B" w:rsidRPr="0011165B">
        <w:t xml:space="preserve">Investor in connection with any claim relating to this </w:t>
      </w:r>
      <w:r w:rsidR="0011165B" w:rsidRPr="00BB0AFF">
        <w:rPr>
          <w:u w:val="single"/>
        </w:rPr>
        <w:t>Section 6</w:t>
      </w:r>
      <w:r w:rsidR="0011165B" w:rsidRPr="0011165B">
        <w:t xml:space="preserve"> and the amount of any damages </w:t>
      </w:r>
      <w:r w:rsidR="001F672E">
        <w:t xml:space="preserve">such </w:t>
      </w:r>
      <w:r w:rsidR="0011165B" w:rsidRPr="0011165B">
        <w:t xml:space="preserve">Investor has otherwise been required to pay by reason of such </w:t>
      </w:r>
      <w:bookmarkStart w:id="60" w:name="_Hlk140523780"/>
      <w:r w:rsidR="0011165B" w:rsidRPr="0011165B">
        <w:t>untrue statement or omission</w:t>
      </w:r>
      <w:bookmarkEnd w:id="60"/>
      <w:r w:rsidR="0011165B" w:rsidRPr="0011165B">
        <w:t xml:space="preserve">) received by </w:t>
      </w:r>
      <w:r w:rsidR="001F672E">
        <w:t xml:space="preserve">such </w:t>
      </w:r>
      <w:r w:rsidR="0011165B" w:rsidRPr="0011165B">
        <w:t>Investor upon the sale of the Registrable Securities included in such Registration Statement giving rise to such indemnification obligation.</w:t>
      </w:r>
      <w:r w:rsidR="00CC2AE7">
        <w:t xml:space="preserve"> </w:t>
      </w:r>
      <w:r>
        <w:t xml:space="preserve">Such indemnity shall remain in full force and effect regardless of any investigation made by or on behalf of such Indemnified Party and shall survive the transfer of the Registrable Securities by </w:t>
      </w:r>
      <w:r w:rsidR="00E83EF5">
        <w:t>any</w:t>
      </w:r>
      <w:r>
        <w:t xml:space="preserve"> Investor pursuant to </w:t>
      </w:r>
      <w:r>
        <w:rPr>
          <w:u w:val="single"/>
        </w:rPr>
        <w:t xml:space="preserve">Section </w:t>
      </w:r>
      <w:r>
        <w:rPr>
          <w:u w:val="single"/>
        </w:rPr>
        <w:fldChar w:fldCharType="begin"/>
      </w:r>
      <w:r>
        <w:rPr>
          <w:u w:val="single"/>
        </w:rPr>
        <w:instrText xml:space="preserve"> REF _DV_M70 \w \n \h \t \* MERGEFORMAT </w:instrText>
      </w:r>
      <w:r>
        <w:rPr>
          <w:u w:val="single"/>
        </w:rPr>
      </w:r>
      <w:r>
        <w:rPr>
          <w:u w:val="single"/>
        </w:rPr>
        <w:fldChar w:fldCharType="separate"/>
      </w:r>
      <w:r w:rsidR="00AE3795">
        <w:rPr>
          <w:u w:val="single"/>
        </w:rPr>
        <w:t>8</w:t>
      </w:r>
      <w:r>
        <w:rPr>
          <w:u w:val="single"/>
        </w:rPr>
        <w:fldChar w:fldCharType="end"/>
      </w:r>
      <w:r>
        <w:t xml:space="preserve">. </w:t>
      </w:r>
    </w:p>
    <w:p w14:paraId="2B7D6A7B" w14:textId="77777777" w:rsidR="00B35FD8" w:rsidRDefault="00B35FD8">
      <w:pPr>
        <w:spacing w:after="0" w:line="240" w:lineRule="auto"/>
        <w:rPr>
          <w:rFonts w:ascii="Times New Roman" w:eastAsia="Times New Roman" w:hAnsi="Times New Roman" w:cs="Times New Roman"/>
          <w:color w:val="000000"/>
        </w:rPr>
      </w:pPr>
    </w:p>
    <w:p w14:paraId="056ACB20" w14:textId="2939B96D" w:rsidR="00B35FD8" w:rsidRPr="002501FA" w:rsidRDefault="002161CA" w:rsidP="002501FA">
      <w:pPr>
        <w:pStyle w:val="Decimaloutlinedc2"/>
      </w:pPr>
      <w:bookmarkStart w:id="61" w:name="_DV_M65"/>
      <w:bookmarkEnd w:id="61"/>
      <w:r>
        <w:t xml:space="preserve">Promptly after receipt by an Indemnified Person or Indemnified Party under this </w:t>
      </w:r>
      <w:r>
        <w:rPr>
          <w:u w:val="single"/>
        </w:rPr>
        <w:t xml:space="preserve">Section </w:t>
      </w:r>
      <w:r>
        <w:rPr>
          <w:u w:val="single"/>
        </w:rPr>
        <w:fldChar w:fldCharType="begin"/>
      </w:r>
      <w:r>
        <w:rPr>
          <w:u w:val="single"/>
        </w:rPr>
        <w:instrText xml:space="preserve"> REF _DV_M55 \w \n \h \t \* MERGEFORMAT </w:instrText>
      </w:r>
      <w:r>
        <w:rPr>
          <w:u w:val="single"/>
        </w:rPr>
      </w:r>
      <w:r>
        <w:rPr>
          <w:u w:val="single"/>
        </w:rPr>
        <w:fldChar w:fldCharType="separate"/>
      </w:r>
      <w:r w:rsidR="00AE3795">
        <w:rPr>
          <w:u w:val="single"/>
        </w:rPr>
        <w:t>6</w:t>
      </w:r>
      <w:r>
        <w:rPr>
          <w:u w:val="single"/>
        </w:rPr>
        <w:fldChar w:fldCharType="end"/>
      </w:r>
      <w:r>
        <w:t xml:space="preserve"> of notice of the commencement of any action or proceeding (including any governmental action or proceeding) involving a Claim, such Indemnified Person or Indemnified Party shall, if a Claim in respect thereof is to be made against any indemnifying party under this </w:t>
      </w:r>
      <w:r>
        <w:rPr>
          <w:u w:val="single"/>
        </w:rPr>
        <w:t xml:space="preserve">Section </w:t>
      </w:r>
      <w:r>
        <w:rPr>
          <w:u w:val="single"/>
        </w:rPr>
        <w:fldChar w:fldCharType="begin"/>
      </w:r>
      <w:r>
        <w:rPr>
          <w:u w:val="single"/>
        </w:rPr>
        <w:instrText xml:space="preserve"> REF _DV_M55 \w \n \h \t \* MERGEFORMAT </w:instrText>
      </w:r>
      <w:r>
        <w:rPr>
          <w:u w:val="single"/>
        </w:rPr>
      </w:r>
      <w:r>
        <w:rPr>
          <w:u w:val="single"/>
        </w:rPr>
        <w:fldChar w:fldCharType="separate"/>
      </w:r>
      <w:r w:rsidR="00AE3795">
        <w:rPr>
          <w:u w:val="single"/>
        </w:rPr>
        <w:t>6</w:t>
      </w:r>
      <w:r>
        <w:rPr>
          <w:u w:val="single"/>
        </w:rPr>
        <w:fldChar w:fldCharType="end"/>
      </w:r>
      <w:r>
        <w:t xml:space="preserve">,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or the Indemnified Party, as the case may be, and upon such notice, the indemnifying party shall not be liable to the Indemnified Person or the Indemnified Party for any legal or other expenses subsequently incurred by the Indemnified Person or the Indemnified Party in connection with the defense thereof; </w:t>
      </w:r>
      <w:r w:rsidRPr="002360F8">
        <w:t>provided, however,</w:t>
      </w:r>
      <w:r>
        <w:t xml:space="preserve"> that an Indemnified Person or Indemnified Party (together wit</w:t>
      </w:r>
      <w:r w:rsidR="00CC2AE7">
        <w:t>h</w:t>
      </w:r>
      <w:r>
        <w:t xml:space="preserve"> all other Indemnified Persons and Indemnified Parties that may </w:t>
      </w:r>
      <w:r w:rsidR="00CC2AE7">
        <w:t>b</w:t>
      </w:r>
      <w:r>
        <w:t xml:space="preserve">e represented without conflict by one counsel) shall have the right to retain its own counsel with the reasonable fees and expenses to be paid by the indemnifying party, if, in the reasonable opinion of counsel retained by the indemnifying party, the representation by such counsel of the Indemnified Person or Indemnified Party and the indemnifying party would be inappropriate due to actual or potential differing interests between such Indemnified Person or Indemnified Party and any other party represented by such counsel in such proceeding. The Indemnified Party or Indemnified Person shall cooperate with the indemnifying party in connection with any negotiation or defense of any such action or claim by the indemnifying party and shall furnish to the indemnifying party all information reasonably available to the Indemnified Party or Indemnified Person which relates to such action or claim. The indemnifying party shall keep the Indemnified Party or Indemnified Person fully apprised as to the status of the defense or any settlement negotiations with respect thereto. No indemnifying party shall be liable for any settlement of any action, claim or proceeding effected without its written consent, </w:t>
      </w:r>
      <w:r w:rsidRPr="00BC5AAF">
        <w:t>provided, however,</w:t>
      </w:r>
      <w:r>
        <w:t xml:space="preserve"> that the indemnifying party shall not unreasonably withhold, delay or condition its consent. No indemnifying party shall, without the consent of the Indemnified Party or Indemnified Person, consent to entry of any judgment or enter into any settlement or other compromise </w:t>
      </w:r>
      <w:r w:rsidR="002501FA">
        <w:t>unless such judgment or settlement (i) imposes no liability or obligation on, (ii) includes as an unconditional term thereof the giving of a complete, explicit and unconditional release from the party bringing such indemnified claims of all liability of the Indemnified Party or Indemnified Person in respect to or arising out of such claim or litigation in favor of, and (iii) does not include any admission of fault, culpability, wrongdoing, or wrongdoing or malfeasance by or on behalf of, the Indemnified Party or Indemnified Person.</w:t>
      </w:r>
      <w:r>
        <w:t xml:space="preserve">. Following indemnification as provided for hereunder, the indemnifying party shall be subrogated to all rights of the Indemnified Party or Indemnified Person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Person or Indemnified Party under this </w:t>
      </w:r>
      <w:r w:rsidRPr="002501FA">
        <w:rPr>
          <w:u w:val="single"/>
        </w:rPr>
        <w:t xml:space="preserve">Section </w:t>
      </w:r>
      <w:r w:rsidRPr="002501FA">
        <w:rPr>
          <w:u w:val="single"/>
        </w:rPr>
        <w:fldChar w:fldCharType="begin"/>
      </w:r>
      <w:r w:rsidRPr="002501FA">
        <w:rPr>
          <w:u w:val="single"/>
        </w:rPr>
        <w:instrText xml:space="preserve"> REF _DV_M55 \w \n \h \t \* MERGEFORMAT </w:instrText>
      </w:r>
      <w:r w:rsidRPr="002501FA">
        <w:rPr>
          <w:u w:val="single"/>
        </w:rPr>
      </w:r>
      <w:r w:rsidRPr="002501FA">
        <w:rPr>
          <w:u w:val="single"/>
        </w:rPr>
        <w:fldChar w:fldCharType="separate"/>
      </w:r>
      <w:r w:rsidR="00AE3795" w:rsidRPr="002501FA">
        <w:rPr>
          <w:u w:val="single"/>
        </w:rPr>
        <w:t>6</w:t>
      </w:r>
      <w:r w:rsidRPr="002501FA">
        <w:rPr>
          <w:u w:val="single"/>
        </w:rPr>
        <w:fldChar w:fldCharType="end"/>
      </w:r>
      <w:r>
        <w:t>, except to the extent that the indemnifying party is prejudiced in its ability to defend such action.</w:t>
      </w:r>
    </w:p>
    <w:p w14:paraId="6CFF4751" w14:textId="77777777" w:rsidR="00B35FD8" w:rsidRDefault="00B35FD8">
      <w:pPr>
        <w:spacing w:after="0" w:line="240" w:lineRule="auto"/>
        <w:rPr>
          <w:rFonts w:ascii="Times New Roman" w:eastAsia="Times New Roman" w:hAnsi="Times New Roman" w:cs="Times New Roman"/>
          <w:color w:val="000000"/>
        </w:rPr>
      </w:pPr>
    </w:p>
    <w:p w14:paraId="185FCD36" w14:textId="68D34C79" w:rsidR="00B35FD8" w:rsidRDefault="002161CA">
      <w:pPr>
        <w:pStyle w:val="Decimaloutlinedc2"/>
        <w:rPr>
          <w:rFonts w:cs="Times New Roman"/>
        </w:rPr>
      </w:pPr>
      <w:bookmarkStart w:id="62" w:name="_DV_M66"/>
      <w:bookmarkEnd w:id="62"/>
      <w:r>
        <w:t xml:space="preserve">The indemnification required by this </w:t>
      </w:r>
      <w:r>
        <w:rPr>
          <w:u w:val="single"/>
        </w:rPr>
        <w:t xml:space="preserve">Section </w:t>
      </w:r>
      <w:r>
        <w:rPr>
          <w:u w:val="single"/>
        </w:rPr>
        <w:fldChar w:fldCharType="begin"/>
      </w:r>
      <w:r>
        <w:rPr>
          <w:u w:val="single"/>
        </w:rPr>
        <w:instrText xml:space="preserve"> REF _DV_M55 \w \n \h \t \* MERGEFORMAT </w:instrText>
      </w:r>
      <w:r>
        <w:rPr>
          <w:u w:val="single"/>
        </w:rPr>
      </w:r>
      <w:r>
        <w:rPr>
          <w:u w:val="single"/>
        </w:rPr>
        <w:fldChar w:fldCharType="separate"/>
      </w:r>
      <w:r w:rsidR="00AE3795">
        <w:rPr>
          <w:u w:val="single"/>
        </w:rPr>
        <w:t>6</w:t>
      </w:r>
      <w:r>
        <w:rPr>
          <w:u w:val="single"/>
        </w:rPr>
        <w:fldChar w:fldCharType="end"/>
      </w:r>
      <w:r>
        <w:t xml:space="preserve"> shall be made by periodic payments of the amount thereof during the course of the investigation or defense, as and when bills are received or Indemnified Damages are incurred. Any Person receiving a payment pursuant to this </w:t>
      </w:r>
      <w:r>
        <w:rPr>
          <w:u w:val="single"/>
        </w:rPr>
        <w:t xml:space="preserve">Section </w:t>
      </w:r>
      <w:r>
        <w:rPr>
          <w:u w:val="single"/>
        </w:rPr>
        <w:fldChar w:fldCharType="begin"/>
      </w:r>
      <w:r>
        <w:rPr>
          <w:u w:val="single"/>
        </w:rPr>
        <w:instrText xml:space="preserve"> REF _DV_M55 \w \n \h \t \* MERGEFORMAT </w:instrText>
      </w:r>
      <w:r>
        <w:rPr>
          <w:u w:val="single"/>
        </w:rPr>
      </w:r>
      <w:r>
        <w:rPr>
          <w:u w:val="single"/>
        </w:rPr>
        <w:fldChar w:fldCharType="separate"/>
      </w:r>
      <w:r w:rsidR="00AE3795">
        <w:rPr>
          <w:u w:val="single"/>
        </w:rPr>
        <w:t>6</w:t>
      </w:r>
      <w:r>
        <w:rPr>
          <w:u w:val="single"/>
        </w:rPr>
        <w:fldChar w:fldCharType="end"/>
      </w:r>
      <w:r>
        <w:t xml:space="preserve"> which person is later determined to not be entitled to such payment shall return such payment (including reimbursement of expenses) to the person making it.</w:t>
      </w:r>
    </w:p>
    <w:p w14:paraId="2E5061EA" w14:textId="77777777" w:rsidR="00B35FD8" w:rsidRDefault="00B35FD8">
      <w:pPr>
        <w:spacing w:after="0" w:line="240" w:lineRule="auto"/>
        <w:rPr>
          <w:rFonts w:ascii="Times New Roman" w:eastAsia="Times New Roman" w:hAnsi="Times New Roman" w:cs="Times New Roman"/>
          <w:color w:val="000000"/>
        </w:rPr>
      </w:pPr>
    </w:p>
    <w:p w14:paraId="5CC92AEB" w14:textId="77777777" w:rsidR="00B35FD8" w:rsidRDefault="002161CA">
      <w:pPr>
        <w:pStyle w:val="Decimaloutlinedc2"/>
        <w:rPr>
          <w:rFonts w:cs="Times New Roman"/>
        </w:rPr>
      </w:pPr>
      <w:bookmarkStart w:id="63" w:name="_DV_M67"/>
      <w:bookmarkStart w:id="64" w:name="_DV_M61"/>
      <w:bookmarkEnd w:id="63"/>
      <w:bookmarkEnd w:id="64"/>
      <w:r>
        <w:t>The indemnity agreements contained herein shall be in addition to (i) any cause of action or similar right of the Indemnified Party or Indemnified Person against the indemnifying party or others, and (ii) any liabilities the indemnifying party may be subject to pursuant to the law.</w:t>
      </w:r>
    </w:p>
    <w:p w14:paraId="2C805C34" w14:textId="77777777" w:rsidR="00B35FD8" w:rsidRDefault="00B35FD8">
      <w:pPr>
        <w:spacing w:after="0" w:line="240" w:lineRule="auto"/>
        <w:rPr>
          <w:rFonts w:ascii="Times New Roman" w:eastAsia="Times New Roman" w:hAnsi="Times New Roman" w:cs="Times New Roman"/>
          <w:b/>
          <w:color w:val="000000"/>
          <w:u w:val="single"/>
        </w:rPr>
      </w:pPr>
    </w:p>
    <w:p w14:paraId="535E00C5" w14:textId="77777777" w:rsidR="00B35FD8" w:rsidRDefault="002161CA">
      <w:pPr>
        <w:pStyle w:val="Decimaloutlinedc1"/>
        <w:rPr>
          <w:rFonts w:cs="Times New Roman"/>
        </w:rPr>
      </w:pPr>
      <w:bookmarkStart w:id="65" w:name="_DV_M68"/>
      <w:bookmarkEnd w:id="65"/>
      <w:r>
        <w:t>CONTRIBUTION.</w:t>
      </w:r>
    </w:p>
    <w:p w14:paraId="58506327" w14:textId="77777777" w:rsidR="00B35FD8" w:rsidRDefault="00B35FD8">
      <w:pPr>
        <w:spacing w:after="0" w:line="240" w:lineRule="auto"/>
        <w:rPr>
          <w:rFonts w:ascii="Times New Roman" w:eastAsia="Times New Roman" w:hAnsi="Times New Roman" w:cs="Times New Roman"/>
          <w:color w:val="000000"/>
        </w:rPr>
      </w:pPr>
    </w:p>
    <w:p w14:paraId="1EF8A3FD" w14:textId="642E6F70" w:rsidR="00B35FD8" w:rsidRDefault="002161CA">
      <w:pPr>
        <w:spacing w:after="0" w:line="240" w:lineRule="auto"/>
        <w:ind w:firstLine="1440"/>
        <w:jc w:val="both"/>
        <w:rPr>
          <w:rFonts w:ascii="Times New Roman" w:eastAsia="Times New Roman" w:hAnsi="Times New Roman" w:cs="Times New Roman"/>
          <w:color w:val="000000"/>
        </w:rPr>
      </w:pPr>
      <w:bookmarkStart w:id="66" w:name="_DV_M69"/>
      <w:bookmarkEnd w:id="66"/>
      <w:r>
        <w:rPr>
          <w:rFonts w:ascii="Times New Roman" w:eastAsia="Times New Roman" w:hAnsi="Times New Roman" w:cs="Times New Roman"/>
          <w:color w:val="000000"/>
        </w:rPr>
        <w:t xml:space="preserve">To the extent any indemnification by an indemnifying party is prohibited or limited by law, the indemnifying party agrees to make the maximum contribution with respect to any amounts for which it would otherwise be liable under </w:t>
      </w:r>
      <w:r>
        <w:rPr>
          <w:rFonts w:ascii="Times New Roman" w:eastAsia="Times New Roman" w:hAnsi="Times New Roman" w:cs="Times New Roman"/>
          <w:color w:val="000000"/>
          <w:u w:val="single"/>
        </w:rPr>
        <w:t xml:space="preserve">Section </w:t>
      </w:r>
      <w:r>
        <w:rPr>
          <w:rFonts w:ascii="Times New Roman" w:eastAsia="Times New Roman" w:hAnsi="Times New Roman" w:cs="Times New Roman"/>
          <w:color w:val="000000"/>
          <w:u w:val="single"/>
        </w:rPr>
        <w:fldChar w:fldCharType="begin"/>
      </w:r>
      <w:r>
        <w:rPr>
          <w:rFonts w:ascii="Times New Roman" w:eastAsia="Times New Roman" w:hAnsi="Times New Roman" w:cs="Times New Roman"/>
          <w:color w:val="000000"/>
          <w:u w:val="single"/>
        </w:rPr>
        <w:instrText xml:space="preserve"> REF _DV_M55 \w \n \h \t \* MERGEFORMAT </w:instrText>
      </w:r>
      <w:r>
        <w:rPr>
          <w:rFonts w:ascii="Times New Roman" w:eastAsia="Times New Roman" w:hAnsi="Times New Roman" w:cs="Times New Roman"/>
          <w:color w:val="000000"/>
          <w:u w:val="single"/>
        </w:rPr>
      </w:r>
      <w:r>
        <w:rPr>
          <w:rFonts w:ascii="Times New Roman" w:eastAsia="Times New Roman" w:hAnsi="Times New Roman" w:cs="Times New Roman"/>
          <w:color w:val="000000"/>
          <w:u w:val="single"/>
        </w:rPr>
        <w:fldChar w:fldCharType="separate"/>
      </w:r>
      <w:r w:rsidR="00AE3795">
        <w:rPr>
          <w:rFonts w:ascii="Times New Roman" w:eastAsia="Times New Roman" w:hAnsi="Times New Roman" w:cs="Times New Roman"/>
          <w:color w:val="000000"/>
          <w:u w:val="single"/>
        </w:rPr>
        <w:t>6</w:t>
      </w:r>
      <w:r>
        <w:rPr>
          <w:rFonts w:ascii="Times New Roman" w:eastAsia="Times New Roman" w:hAnsi="Times New Roman" w:cs="Times New Roman"/>
          <w:color w:val="000000"/>
          <w:u w:val="single"/>
        </w:rPr>
        <w:fldChar w:fldCharType="end"/>
      </w:r>
      <w:r>
        <w:rPr>
          <w:rFonts w:ascii="Times New Roman" w:eastAsia="Times New Roman" w:hAnsi="Times New Roman" w:cs="Times New Roman"/>
          <w:color w:val="000000"/>
        </w:rPr>
        <w:t xml:space="preserve"> to the fullest extent permitted by law; </w:t>
      </w:r>
      <w:r w:rsidRPr="00BC5AAF">
        <w:rPr>
          <w:rFonts w:ascii="Times New Roman" w:eastAsia="Times New Roman" w:hAnsi="Times New Roman" w:cs="Times New Roman"/>
          <w:color w:val="000000"/>
        </w:rPr>
        <w:t>provided, however</w:t>
      </w:r>
      <w:r>
        <w:rPr>
          <w:rFonts w:ascii="Times New Roman" w:eastAsia="Times New Roman" w:hAnsi="Times New Roman" w:cs="Times New Roman"/>
          <w:color w:val="000000"/>
        </w:rPr>
        <w:t xml:space="preserve">, that: (i) no seller of Registrable Securities guilty of fraudulent misrepresentation (within the meaning of </w:t>
      </w:r>
      <w:r w:rsidRPr="002360F8">
        <w:rPr>
          <w:rFonts w:ascii="Times New Roman" w:eastAsia="Times New Roman" w:hAnsi="Times New Roman" w:cs="Times New Roman"/>
          <w:color w:val="000000"/>
        </w:rPr>
        <w:t>Section 11(f)</w:t>
      </w:r>
      <w:r>
        <w:rPr>
          <w:rFonts w:ascii="Times New Roman" w:eastAsia="Times New Roman" w:hAnsi="Times New Roman" w:cs="Times New Roman"/>
          <w:color w:val="000000"/>
        </w:rPr>
        <w:t xml:space="preserve"> of the Securities Act) shall be entitled to contribution from any seller of Registrable Securities who was not guilty of fraudulent misrepresentation; and (ii) contribution by any seller of Registrable Securities shall be limited in amount to the net amount of proceeds </w:t>
      </w:r>
      <w:r w:rsidR="000151C8" w:rsidRPr="000151C8">
        <w:rPr>
          <w:rFonts w:ascii="Times New Roman" w:eastAsia="Times New Roman" w:hAnsi="Times New Roman" w:cs="Times New Roman"/>
          <w:color w:val="000000"/>
        </w:rPr>
        <w:t xml:space="preserve">(net of all expenses paid by such holder in connection with any claim relating to this </w:t>
      </w:r>
      <w:r w:rsidR="000151C8" w:rsidRPr="00BB0AFF">
        <w:rPr>
          <w:rFonts w:ascii="Times New Roman" w:eastAsia="Times New Roman" w:hAnsi="Times New Roman" w:cs="Times New Roman"/>
          <w:color w:val="000000"/>
          <w:u w:val="single"/>
        </w:rPr>
        <w:t xml:space="preserve">Section </w:t>
      </w:r>
      <w:r w:rsidR="003811DE">
        <w:rPr>
          <w:rFonts w:ascii="Times New Roman" w:eastAsia="Times New Roman" w:hAnsi="Times New Roman" w:cs="Times New Roman"/>
          <w:color w:val="000000"/>
          <w:u w:val="single"/>
        </w:rPr>
        <w:t>7</w:t>
      </w:r>
      <w:r w:rsidR="000151C8" w:rsidRPr="000151C8">
        <w:rPr>
          <w:rFonts w:ascii="Times New Roman" w:eastAsia="Times New Roman" w:hAnsi="Times New Roman" w:cs="Times New Roman"/>
          <w:color w:val="000000"/>
        </w:rPr>
        <w:t xml:space="preserve"> and the amount of any damages such holder has otherwise been required to pay by reason of such untrue or alleged untrue statement or omission or alleged omission) </w:t>
      </w:r>
      <w:r>
        <w:rPr>
          <w:rFonts w:ascii="Times New Roman" w:eastAsia="Times New Roman" w:hAnsi="Times New Roman" w:cs="Times New Roman"/>
          <w:color w:val="000000"/>
        </w:rPr>
        <w:t>received by such seller from the sale of such Registrable Securities</w:t>
      </w:r>
      <w:r w:rsidR="000151C8">
        <w:rPr>
          <w:rFonts w:ascii="Times New Roman" w:eastAsia="Times New Roman" w:hAnsi="Times New Roman" w:cs="Times New Roman"/>
          <w:color w:val="000000"/>
        </w:rPr>
        <w:t xml:space="preserve"> </w:t>
      </w:r>
      <w:r w:rsidR="000151C8" w:rsidRPr="000151C8">
        <w:rPr>
          <w:rFonts w:ascii="Times New Roman" w:eastAsia="Times New Roman" w:hAnsi="Times New Roman" w:cs="Times New Roman"/>
          <w:color w:val="000000"/>
        </w:rPr>
        <w:t>giving rise to such contribution obligation</w:t>
      </w:r>
      <w:r>
        <w:rPr>
          <w:rFonts w:ascii="Times New Roman" w:eastAsia="Times New Roman" w:hAnsi="Times New Roman" w:cs="Times New Roman"/>
          <w:color w:val="000000"/>
        </w:rPr>
        <w:t>.</w:t>
      </w:r>
    </w:p>
    <w:p w14:paraId="43B7EC10" w14:textId="77777777" w:rsidR="00B35FD8" w:rsidRDefault="00B35FD8">
      <w:pPr>
        <w:spacing w:after="0" w:line="240" w:lineRule="auto"/>
        <w:rPr>
          <w:rFonts w:ascii="Times New Roman" w:eastAsia="Times New Roman" w:hAnsi="Times New Roman" w:cs="Times New Roman"/>
          <w:color w:val="000000"/>
        </w:rPr>
      </w:pPr>
    </w:p>
    <w:p w14:paraId="01E802C6" w14:textId="77777777" w:rsidR="00B35FD8" w:rsidRDefault="002161CA">
      <w:pPr>
        <w:pStyle w:val="Decimaloutlinedc1"/>
        <w:rPr>
          <w:rFonts w:cs="Times New Roman"/>
        </w:rPr>
      </w:pPr>
      <w:bookmarkStart w:id="67" w:name="_DV_M70"/>
      <w:bookmarkEnd w:id="67"/>
      <w:r>
        <w:t>ASSIGNMENT OF REGISTRATION RIGHTS.</w:t>
      </w:r>
    </w:p>
    <w:p w14:paraId="3CBF1B0E" w14:textId="77777777" w:rsidR="00B35FD8" w:rsidRDefault="00B35FD8">
      <w:pPr>
        <w:spacing w:after="0" w:line="240" w:lineRule="auto"/>
        <w:rPr>
          <w:rFonts w:ascii="Times New Roman" w:eastAsia="Times New Roman" w:hAnsi="Times New Roman" w:cs="Times New Roman"/>
          <w:color w:val="000000"/>
        </w:rPr>
      </w:pPr>
    </w:p>
    <w:p w14:paraId="2F5A1745" w14:textId="14501A5C" w:rsidR="00BC5AAF" w:rsidRPr="00BC5AAF" w:rsidRDefault="002161CA" w:rsidP="001F672E">
      <w:pPr>
        <w:pStyle w:val="m-7322175796456917057article2"/>
        <w:shd w:val="clear" w:color="auto" w:fill="FFFFFF"/>
        <w:spacing w:before="0" w:beforeAutospacing="0" w:after="240" w:afterAutospacing="0"/>
        <w:ind w:firstLine="1440"/>
        <w:jc w:val="both"/>
        <w:rPr>
          <w:color w:val="222222"/>
          <w:sz w:val="22"/>
        </w:rPr>
      </w:pPr>
      <w:bookmarkStart w:id="68" w:name="_DV_M71"/>
      <w:bookmarkStart w:id="69" w:name="_DV_M79"/>
      <w:bookmarkEnd w:id="68"/>
      <w:bookmarkEnd w:id="69"/>
      <w:r w:rsidRPr="00BC5AAF">
        <w:rPr>
          <w:color w:val="000000"/>
          <w:sz w:val="22"/>
        </w:rPr>
        <w:t xml:space="preserve">The Company shall not assign this Agreement or any rights or obligations hereunder </w:t>
      </w:r>
      <w:r w:rsidR="0011165B" w:rsidRPr="00BC5AAF">
        <w:rPr>
          <w:color w:val="000000"/>
          <w:sz w:val="22"/>
        </w:rPr>
        <w:t xml:space="preserve">(whether by operation of law or otherwise) </w:t>
      </w:r>
      <w:r w:rsidRPr="00BC5AAF">
        <w:rPr>
          <w:color w:val="000000"/>
          <w:sz w:val="22"/>
        </w:rPr>
        <w:t>without the prior written consent of the Investor</w:t>
      </w:r>
      <w:r w:rsidR="00E83EF5" w:rsidRPr="00BC5AAF">
        <w:rPr>
          <w:color w:val="000000"/>
          <w:sz w:val="22"/>
        </w:rPr>
        <w:t>s holding a majority of the Registrable Securities then outstanding</w:t>
      </w:r>
      <w:r w:rsidR="001F672E">
        <w:rPr>
          <w:color w:val="000000"/>
          <w:sz w:val="22"/>
        </w:rPr>
        <w:t xml:space="preserve"> </w:t>
      </w:r>
      <w:r w:rsidR="001F672E" w:rsidRPr="001F672E">
        <w:rPr>
          <w:color w:val="000000"/>
          <w:sz w:val="22"/>
        </w:rPr>
        <w:t>(determined as if all of the Warrants then outstanding have been exercised without regard to any limitations on the exercise of such Warrants)</w:t>
      </w:r>
      <w:r w:rsidRPr="00BC5AAF">
        <w:rPr>
          <w:color w:val="000000"/>
          <w:sz w:val="22"/>
        </w:rPr>
        <w:t xml:space="preserve">; provided, however, that </w:t>
      </w:r>
      <w:r w:rsidR="00B45F7C" w:rsidRPr="00BC5AAF">
        <w:rPr>
          <w:color w:val="000000"/>
          <w:sz w:val="22"/>
        </w:rPr>
        <w:t xml:space="preserve">in </w:t>
      </w:r>
      <w:r w:rsidRPr="00BC5AAF">
        <w:rPr>
          <w:color w:val="000000"/>
          <w:sz w:val="22"/>
        </w:rPr>
        <w:t>any transaction, whether by merger, reorganization, restructuring, consolidation, financing or otherwise, whereby the Company</w:t>
      </w:r>
      <w:r w:rsidR="0011165B" w:rsidRPr="00BC5AAF">
        <w:rPr>
          <w:color w:val="000000"/>
          <w:sz w:val="22"/>
        </w:rPr>
        <w:t xml:space="preserve"> is a party and</w:t>
      </w:r>
      <w:r w:rsidRPr="00BC5AAF">
        <w:rPr>
          <w:color w:val="000000"/>
          <w:sz w:val="22"/>
        </w:rPr>
        <w:t xml:space="preserve"> </w:t>
      </w:r>
      <w:r w:rsidR="0011165B" w:rsidRPr="00BC5AAF">
        <w:rPr>
          <w:color w:val="000000"/>
          <w:sz w:val="22"/>
        </w:rPr>
        <w:t>in which the Registrable Securities are converted into the equity securities of another Person, from and after the effective time of such transaction, such Person shall, by virtue of such transaction, be deemed to have assumed the obligations of the Company hereunder, the term “Company” shall be deemed to refer to such Person and the term “Registrable Securities” shall be deemed to include the securities received by the Investor in connection with such transaction unless such securities are otherwise freely tradable by the Investor after giving effect to such transaction</w:t>
      </w:r>
      <w:r w:rsidR="00B45F7C" w:rsidRPr="00BC5AAF">
        <w:rPr>
          <w:color w:val="000000"/>
          <w:sz w:val="22"/>
        </w:rPr>
        <w:t>, and the prior written consent of the Investors holding a majority of the Registrable Securities then outstanding</w:t>
      </w:r>
      <w:r w:rsidR="00267C0F">
        <w:rPr>
          <w:color w:val="000000"/>
          <w:sz w:val="22"/>
        </w:rPr>
        <w:t xml:space="preserve"> </w:t>
      </w:r>
      <w:r w:rsidR="00267C0F" w:rsidRPr="001F672E">
        <w:rPr>
          <w:color w:val="000000"/>
          <w:sz w:val="22"/>
        </w:rPr>
        <w:t>(determined as if all of the Warrants then outstanding have been exercised without regard to any limitations on the exercise of such Warrants)</w:t>
      </w:r>
      <w:r w:rsidR="00B45F7C" w:rsidRPr="00BC5AAF">
        <w:rPr>
          <w:color w:val="000000"/>
          <w:sz w:val="22"/>
        </w:rPr>
        <w:t xml:space="preserve"> shall not be required for such transaction</w:t>
      </w:r>
      <w:r w:rsidRPr="00BC5AAF">
        <w:rPr>
          <w:color w:val="000000"/>
          <w:sz w:val="22"/>
        </w:rPr>
        <w:t>. </w:t>
      </w:r>
      <w:r w:rsidR="008D3B96" w:rsidRPr="00BC5AAF">
        <w:rPr>
          <w:color w:val="000000"/>
          <w:sz w:val="22"/>
        </w:rPr>
        <w:t xml:space="preserve"> </w:t>
      </w:r>
      <w:r w:rsidR="00227FD0" w:rsidRPr="00BC5AAF">
        <w:rPr>
          <w:color w:val="222222"/>
          <w:sz w:val="22"/>
        </w:rPr>
        <w:br/>
      </w:r>
    </w:p>
    <w:p w14:paraId="7784FB33" w14:textId="69DF1CA0" w:rsidR="00227FD0" w:rsidRPr="00BC5AAF" w:rsidRDefault="00227FD0" w:rsidP="001F672E">
      <w:pPr>
        <w:pStyle w:val="m-7322175796456917057article2"/>
        <w:shd w:val="clear" w:color="auto" w:fill="FFFFFF"/>
        <w:spacing w:before="0" w:beforeAutospacing="0" w:after="240" w:afterAutospacing="0"/>
        <w:ind w:firstLine="1440"/>
        <w:jc w:val="both"/>
        <w:rPr>
          <w:color w:val="222222"/>
          <w:sz w:val="22"/>
        </w:rPr>
      </w:pPr>
      <w:r w:rsidRPr="00BC5AAF">
        <w:rPr>
          <w:color w:val="222222"/>
          <w:sz w:val="22"/>
        </w:rPr>
        <w:t>An Investor may transfer or assign its rights hereunder, in whole or from time to time in part, to one or more Persons in connection with the transfer of not fewer than [_____] Registrable Securities (including Registrable Securities issuable upon exercise of Warrants) by such Investor to such Person, </w:t>
      </w:r>
      <w:r w:rsidRPr="00601013">
        <w:rPr>
          <w:color w:val="222222"/>
          <w:sz w:val="22"/>
        </w:rPr>
        <w:t>provided</w:t>
      </w:r>
      <w:r w:rsidRPr="00BC5AAF">
        <w:rPr>
          <w:color w:val="222222"/>
          <w:sz w:val="22"/>
        </w:rPr>
        <w:t> that such Investor complies with all laws applicable thereto, and the provisions of the Purchase Agreement, and provides written notice of assignment to the Company promptly after such assignment is effected, and such Person agrees in writing to be bound by all of the provisions contained herein.</w:t>
      </w:r>
    </w:p>
    <w:p w14:paraId="118DD375" w14:textId="64F1B986" w:rsidR="0011165B" w:rsidRDefault="00227FD0" w:rsidP="001F672E">
      <w:pPr>
        <w:shd w:val="clear" w:color="auto" w:fill="FFFFFF"/>
        <w:spacing w:after="0" w:line="240" w:lineRule="auto"/>
        <w:ind w:firstLine="1440"/>
        <w:jc w:val="both"/>
        <w:rPr>
          <w:rFonts w:ascii="Times New Roman" w:eastAsia="Times New Roman" w:hAnsi="Times New Roman" w:cs="Times New Roman"/>
          <w:color w:val="000000"/>
        </w:rPr>
      </w:pPr>
      <w:r w:rsidRPr="00BC5AAF">
        <w:rPr>
          <w:rFonts w:ascii="Arial" w:eastAsia="Times New Roman" w:hAnsi="Arial" w:cs="Arial"/>
          <w:color w:val="222222"/>
          <w:szCs w:val="24"/>
        </w:rPr>
        <w:t> </w:t>
      </w:r>
      <w:r w:rsidR="0011165B" w:rsidRPr="0011165B">
        <w:rPr>
          <w:rFonts w:ascii="Times New Roman" w:eastAsia="Times New Roman" w:hAnsi="Times New Roman" w:cs="Times New Roman"/>
          <w:color w:val="000000"/>
        </w:rPr>
        <w:t xml:space="preserve">The provisions of this Agreement shall be binding upon and inure to the benefit of the Investor and its successors and </w:t>
      </w:r>
      <w:r w:rsidR="008D3B96">
        <w:rPr>
          <w:rFonts w:ascii="Times New Roman" w:eastAsia="Times New Roman" w:hAnsi="Times New Roman" w:cs="Times New Roman"/>
          <w:color w:val="000000"/>
        </w:rPr>
        <w:t xml:space="preserve">permitted </w:t>
      </w:r>
      <w:r w:rsidR="0011165B" w:rsidRPr="0011165B">
        <w:rPr>
          <w:rFonts w:ascii="Times New Roman" w:eastAsia="Times New Roman" w:hAnsi="Times New Roman" w:cs="Times New Roman"/>
          <w:color w:val="000000"/>
        </w:rPr>
        <w:t>assigns.</w:t>
      </w:r>
    </w:p>
    <w:p w14:paraId="14467821" w14:textId="77777777" w:rsidR="00B35FD8" w:rsidRDefault="00B35FD8">
      <w:pPr>
        <w:spacing w:after="0" w:line="240" w:lineRule="auto"/>
        <w:ind w:firstLine="1440"/>
        <w:jc w:val="both"/>
        <w:rPr>
          <w:rFonts w:ascii="Times New Roman" w:eastAsia="Times New Roman" w:hAnsi="Times New Roman" w:cs="Times New Roman"/>
          <w:color w:val="000000"/>
        </w:rPr>
      </w:pPr>
    </w:p>
    <w:p w14:paraId="6E7B5763" w14:textId="3AB183EB" w:rsidR="00B35FD8" w:rsidRDefault="002161CA">
      <w:pPr>
        <w:pStyle w:val="Decimaloutlinedc1"/>
        <w:rPr>
          <w:rFonts w:cs="Times New Roman"/>
        </w:rPr>
      </w:pPr>
      <w:bookmarkStart w:id="70" w:name="_DV_M72"/>
      <w:bookmarkStart w:id="71" w:name="_DV_M80"/>
      <w:bookmarkEnd w:id="70"/>
      <w:bookmarkEnd w:id="71"/>
      <w:r>
        <w:t>AMENDMEN</w:t>
      </w:r>
      <w:r w:rsidR="00CC2AE7">
        <w:t>TS AND WAIVERS</w:t>
      </w:r>
      <w:r>
        <w:t>.</w:t>
      </w:r>
    </w:p>
    <w:p w14:paraId="0CD46329" w14:textId="77777777" w:rsidR="00B35FD8" w:rsidRDefault="00B35FD8">
      <w:pPr>
        <w:spacing w:after="0" w:line="240" w:lineRule="auto"/>
        <w:rPr>
          <w:rFonts w:ascii="Times New Roman" w:eastAsia="Times New Roman" w:hAnsi="Times New Roman" w:cs="Times New Roman"/>
          <w:color w:val="000000"/>
        </w:rPr>
      </w:pPr>
    </w:p>
    <w:p w14:paraId="4AECC87A" w14:textId="28673C52" w:rsidR="00B35FD8" w:rsidRDefault="00CC2AE7" w:rsidP="00667C95">
      <w:pPr>
        <w:spacing w:after="220" w:line="240" w:lineRule="auto"/>
        <w:ind w:firstLine="1440"/>
        <w:jc w:val="both"/>
        <w:rPr>
          <w:rFonts w:ascii="Times New Roman" w:eastAsia="Times New Roman" w:hAnsi="Times New Roman" w:cs="Times New Roman"/>
          <w:color w:val="000000"/>
        </w:rPr>
      </w:pPr>
      <w:bookmarkStart w:id="72" w:name="_DV_M73"/>
      <w:bookmarkStart w:id="73" w:name="_DV_M81"/>
      <w:bookmarkEnd w:id="72"/>
      <w:bookmarkEnd w:id="73"/>
      <w:r w:rsidRPr="00CC2AE7">
        <w:rPr>
          <w:rFonts w:ascii="Times New Roman" w:eastAsia="Times New Roman" w:hAnsi="Times New Roman" w:cs="Times New Roman"/>
          <w:color w:val="000000"/>
        </w:rPr>
        <w:t xml:space="preserve">The provisions of this Agreement, including the provisions of this sentence, may be amended, modified or supplemented, or waived </w:t>
      </w:r>
      <w:r w:rsidR="00667C95" w:rsidRPr="00667C95">
        <w:rPr>
          <w:rFonts w:ascii="Times New Roman" w:eastAsia="Times New Roman" w:hAnsi="Times New Roman" w:cs="Times New Roman"/>
          <w:color w:val="000000"/>
        </w:rPr>
        <w:t xml:space="preserve">only by a written instrument executed by (i) the Company and (ii) the holders of </w:t>
      </w:r>
      <w:r w:rsidRPr="00CC2AE7">
        <w:rPr>
          <w:rFonts w:ascii="Times New Roman" w:eastAsia="Times New Roman" w:hAnsi="Times New Roman" w:cs="Times New Roman"/>
          <w:color w:val="000000"/>
        </w:rPr>
        <w:t>a majority of the then outstanding Registrable Securities</w:t>
      </w:r>
      <w:r w:rsidR="00667C95">
        <w:rPr>
          <w:rFonts w:ascii="Times New Roman" w:eastAsia="Times New Roman" w:hAnsi="Times New Roman" w:cs="Times New Roman"/>
          <w:color w:val="000000"/>
        </w:rPr>
        <w:t xml:space="preserve"> </w:t>
      </w:r>
      <w:r w:rsidR="00267C0F" w:rsidRPr="00601013">
        <w:rPr>
          <w:rFonts w:ascii="Times New Roman" w:hAnsi="Times New Roman"/>
          <w:color w:val="000000"/>
        </w:rPr>
        <w:t>(determined as if all of the Warrants then outstanding have been exercised without regard to any limitations on the exercise of such Warrants)</w:t>
      </w:r>
      <w:r w:rsidRPr="00601013">
        <w:rPr>
          <w:rFonts w:ascii="Times New Roman" w:eastAsia="Times New Roman" w:hAnsi="Times New Roman" w:cs="Times New Roman"/>
          <w:color w:val="000000"/>
        </w:rPr>
        <w:t>, provided</w:t>
      </w:r>
      <w:r w:rsidRPr="00CC2AE7">
        <w:rPr>
          <w:rFonts w:ascii="Times New Roman" w:eastAsia="Times New Roman" w:hAnsi="Times New Roman" w:cs="Times New Roman"/>
          <w:color w:val="000000"/>
        </w:rPr>
        <w:t xml:space="preserve"> that any party may give a waiver as to itself</w:t>
      </w:r>
      <w:r w:rsidR="002A5A93">
        <w:rPr>
          <w:rFonts w:ascii="Times New Roman" w:eastAsia="Times New Roman" w:hAnsi="Times New Roman" w:cs="Times New Roman"/>
          <w:color w:val="000000"/>
        </w:rPr>
        <w:t xml:space="preserve"> and provided further that any amendment, modification, supplement or waiver that </w:t>
      </w:r>
      <w:r w:rsidR="002A5A93" w:rsidRPr="002A5A93">
        <w:rPr>
          <w:rFonts w:ascii="Times New Roman" w:eastAsia="Times New Roman" w:hAnsi="Times New Roman" w:cs="Times New Roman"/>
          <w:color w:val="000000"/>
        </w:rPr>
        <w:t xml:space="preserve"> disproportionately and</w:t>
      </w:r>
      <w:r w:rsidR="002A5A93">
        <w:rPr>
          <w:rFonts w:ascii="Times New Roman" w:eastAsia="Times New Roman" w:hAnsi="Times New Roman" w:cs="Times New Roman"/>
          <w:color w:val="000000"/>
        </w:rPr>
        <w:t xml:space="preserve"> </w:t>
      </w:r>
      <w:r w:rsidR="002A5A93" w:rsidRPr="002A5A93">
        <w:rPr>
          <w:rFonts w:ascii="Times New Roman" w:eastAsia="Times New Roman" w:hAnsi="Times New Roman" w:cs="Times New Roman"/>
          <w:color w:val="000000"/>
        </w:rPr>
        <w:t>adversely affects the rights and obligations of any Investor relative to the comparable</w:t>
      </w:r>
      <w:r w:rsidR="002A5A93">
        <w:rPr>
          <w:rFonts w:ascii="Times New Roman" w:eastAsia="Times New Roman" w:hAnsi="Times New Roman" w:cs="Times New Roman"/>
          <w:color w:val="000000"/>
        </w:rPr>
        <w:t xml:space="preserve"> </w:t>
      </w:r>
      <w:r w:rsidR="002A5A93" w:rsidRPr="002A5A93">
        <w:rPr>
          <w:rFonts w:ascii="Times New Roman" w:eastAsia="Times New Roman" w:hAnsi="Times New Roman" w:cs="Times New Roman"/>
          <w:color w:val="000000"/>
        </w:rPr>
        <w:t>rights and obligations of the other Investors shall require the prior written consent of such</w:t>
      </w:r>
      <w:r w:rsidR="002A5A93">
        <w:rPr>
          <w:rFonts w:ascii="Times New Roman" w:eastAsia="Times New Roman" w:hAnsi="Times New Roman" w:cs="Times New Roman"/>
          <w:color w:val="000000"/>
        </w:rPr>
        <w:t xml:space="preserve"> </w:t>
      </w:r>
      <w:r w:rsidR="002A5A93" w:rsidRPr="002A5A93">
        <w:rPr>
          <w:rFonts w:ascii="Times New Roman" w:eastAsia="Times New Roman" w:hAnsi="Times New Roman" w:cs="Times New Roman"/>
          <w:color w:val="000000"/>
        </w:rPr>
        <w:t>adversely affected Investor or each Investor, as applicable</w:t>
      </w:r>
      <w:r w:rsidRPr="00CC2AE7">
        <w:rPr>
          <w:rFonts w:ascii="Times New Roman" w:eastAsia="Times New Roman" w:hAnsi="Times New Roman" w:cs="Times New Roman"/>
          <w:color w:val="000000"/>
        </w:rPr>
        <w:t xml:space="preserve">. Notwithstanding the foregoing, a waiver or consent to depart from the provisions hereof with respect to a matter that relates exclusively to the rights of </w:t>
      </w:r>
      <w:r w:rsidR="00223531">
        <w:rPr>
          <w:rFonts w:ascii="Times New Roman" w:eastAsia="Times New Roman" w:hAnsi="Times New Roman" w:cs="Times New Roman"/>
          <w:color w:val="000000"/>
        </w:rPr>
        <w:t>one or more Investors</w:t>
      </w:r>
      <w:r w:rsidRPr="00CC2AE7">
        <w:rPr>
          <w:rFonts w:ascii="Times New Roman" w:eastAsia="Times New Roman" w:hAnsi="Times New Roman" w:cs="Times New Roman"/>
          <w:color w:val="000000"/>
        </w:rPr>
        <w:t xml:space="preserve"> and that does not </w:t>
      </w:r>
      <w:r w:rsidR="002A5A93">
        <w:rPr>
          <w:rFonts w:ascii="Times New Roman" w:eastAsia="Times New Roman" w:hAnsi="Times New Roman" w:cs="Times New Roman"/>
          <w:color w:val="000000"/>
        </w:rPr>
        <w:t xml:space="preserve">adversely </w:t>
      </w:r>
      <w:r w:rsidRPr="00CC2AE7">
        <w:rPr>
          <w:rFonts w:ascii="Times New Roman" w:eastAsia="Times New Roman" w:hAnsi="Times New Roman" w:cs="Times New Roman"/>
          <w:color w:val="000000"/>
        </w:rPr>
        <w:t xml:space="preserve">directly or indirectly affect the rights of other </w:t>
      </w:r>
      <w:r w:rsidR="00223531">
        <w:rPr>
          <w:rFonts w:ascii="Times New Roman" w:eastAsia="Times New Roman" w:hAnsi="Times New Roman" w:cs="Times New Roman"/>
          <w:color w:val="000000"/>
        </w:rPr>
        <w:t>Investors</w:t>
      </w:r>
      <w:r w:rsidRPr="00CC2AE7">
        <w:rPr>
          <w:rFonts w:ascii="Times New Roman" w:eastAsia="Times New Roman" w:hAnsi="Times New Roman" w:cs="Times New Roman"/>
          <w:color w:val="000000"/>
        </w:rPr>
        <w:t xml:space="preserve"> may be given by </w:t>
      </w:r>
      <w:r w:rsidR="00223531">
        <w:rPr>
          <w:rFonts w:ascii="Times New Roman" w:eastAsia="Times New Roman" w:hAnsi="Times New Roman" w:cs="Times New Roman"/>
          <w:color w:val="000000"/>
        </w:rPr>
        <w:t>Investors holding</w:t>
      </w:r>
      <w:r w:rsidRPr="00CC2AE7">
        <w:rPr>
          <w:rFonts w:ascii="Times New Roman" w:eastAsia="Times New Roman" w:hAnsi="Times New Roman" w:cs="Times New Roman"/>
          <w:color w:val="000000"/>
        </w:rPr>
        <w:t xml:space="preserve"> all of the Registrable Securities to which such waiver or consent relates</w:t>
      </w:r>
      <w:r w:rsidR="002161CA">
        <w:rPr>
          <w:rFonts w:ascii="Times New Roman" w:eastAsia="Times New Roman" w:hAnsi="Times New Roman" w:cs="Times New Roman"/>
          <w:color w:val="000000"/>
        </w:rPr>
        <w:t>.</w:t>
      </w:r>
    </w:p>
    <w:p w14:paraId="78D3CD14" w14:textId="77777777" w:rsidR="00B35FD8" w:rsidRDefault="002161CA">
      <w:pPr>
        <w:pStyle w:val="Decimaloutlinedc1"/>
        <w:rPr>
          <w:rFonts w:cs="Times New Roman"/>
        </w:rPr>
      </w:pPr>
      <w:bookmarkStart w:id="74" w:name="_DV_M74"/>
      <w:bookmarkStart w:id="75" w:name="_DV_M82"/>
      <w:bookmarkEnd w:id="74"/>
      <w:bookmarkEnd w:id="75"/>
      <w:r>
        <w:t>MISCELLANEOUS.</w:t>
      </w:r>
    </w:p>
    <w:p w14:paraId="386B179C" w14:textId="77777777" w:rsidR="003A559E" w:rsidRDefault="003A559E" w:rsidP="003A559E">
      <w:pPr>
        <w:spacing w:after="0" w:line="240" w:lineRule="auto"/>
        <w:jc w:val="both"/>
        <w:rPr>
          <w:rFonts w:ascii="Times New Roman" w:eastAsia="Times New Roman" w:hAnsi="Times New Roman" w:cs="Times New Roman"/>
          <w:color w:val="000000"/>
        </w:rPr>
      </w:pPr>
      <w:bookmarkStart w:id="76" w:name="_DV_M75"/>
      <w:bookmarkEnd w:id="76"/>
    </w:p>
    <w:p w14:paraId="71B7D83E" w14:textId="1EF68FD9" w:rsidR="00223531" w:rsidRPr="003A559E" w:rsidRDefault="003A559E" w:rsidP="003A559E">
      <w:pPr>
        <w:pStyle w:val="Decimaloutlinedc2"/>
        <w:rPr>
          <w:rFonts w:cs="Times New Roman"/>
        </w:rPr>
      </w:pPr>
      <w:r w:rsidRPr="003A559E">
        <w:rPr>
          <w:rStyle w:val="Decimaloutlinedc2runinChar"/>
        </w:rPr>
        <w:t>Notices</w:t>
      </w:r>
      <w:r w:rsidRPr="003A559E">
        <w:t xml:space="preserve">. </w:t>
      </w:r>
      <w:r w:rsidR="00223531" w:rsidRPr="003A559E">
        <w:t>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(c) three days after having been sent by certified or registered mail, return-receipt requested and postage prepaid, or (d) one business day after deposit with a nationally recognized overnight courier, freight prepaid, specifying next business day delivery, with written verification of receipt:</w:t>
      </w:r>
    </w:p>
    <w:p w14:paraId="022BCD49" w14:textId="77777777" w:rsidR="003A559E" w:rsidRPr="003A559E" w:rsidRDefault="003A559E" w:rsidP="003A559E">
      <w:pPr>
        <w:pStyle w:val="Decimaloutlinedc2"/>
        <w:numPr>
          <w:ilvl w:val="0"/>
          <w:numId w:val="0"/>
        </w:numPr>
        <w:ind w:left="1440"/>
        <w:rPr>
          <w:rFonts w:cs="Times New Roman"/>
        </w:rPr>
      </w:pPr>
    </w:p>
    <w:p w14:paraId="2192A0F8" w14:textId="3DF62F91" w:rsidR="00223531" w:rsidRPr="003A559E" w:rsidRDefault="00223531" w:rsidP="00223531">
      <w:pPr>
        <w:pStyle w:val="Decimaloutlinedc3"/>
        <w:rPr>
          <w:rFonts w:cs="Times New Roman"/>
        </w:rPr>
      </w:pPr>
      <w:r w:rsidRPr="003A559E">
        <w:t>If to the Company, addressed as follows:</w:t>
      </w:r>
    </w:p>
    <w:p w14:paraId="2E0041B9" w14:textId="733B4DE9" w:rsidR="000A7938" w:rsidRPr="009E1309" w:rsidRDefault="009D4129" w:rsidP="000A7938">
      <w:pPr>
        <w:pStyle w:val="BodyText2"/>
        <w:spacing w:after="0"/>
        <w:rPr>
          <w:sz w:val="22"/>
          <w:szCs w:val="22"/>
          <w:u w:val="single"/>
        </w:rPr>
      </w:pPr>
      <w:r w:rsidRPr="009E1309">
        <w:rPr>
          <w:sz w:val="22"/>
          <w:szCs w:val="22"/>
        </w:rPr>
        <w:t>[</w:t>
      </w:r>
      <w:r w:rsidRPr="009E1309">
        <w:rPr>
          <w:sz w:val="22"/>
          <w:szCs w:val="22"/>
          <w:u w:val="single"/>
        </w:rPr>
        <w:tab/>
      </w:r>
      <w:r w:rsidRPr="009E1309">
        <w:rPr>
          <w:sz w:val="22"/>
          <w:szCs w:val="22"/>
          <w:u w:val="single"/>
        </w:rPr>
        <w:tab/>
      </w:r>
      <w:r w:rsidRPr="009E1309">
        <w:rPr>
          <w:sz w:val="22"/>
          <w:szCs w:val="22"/>
          <w:u w:val="single"/>
        </w:rPr>
        <w:tab/>
        <w:t>]</w:t>
      </w:r>
    </w:p>
    <w:p w14:paraId="317C66FF" w14:textId="6F51278E" w:rsidR="009136FB" w:rsidRPr="009E1309" w:rsidRDefault="009D4129" w:rsidP="009136FB">
      <w:pPr>
        <w:pStyle w:val="BodyText2"/>
        <w:spacing w:after="0"/>
        <w:rPr>
          <w:sz w:val="22"/>
          <w:szCs w:val="22"/>
        </w:rPr>
      </w:pPr>
      <w:r w:rsidRPr="009E1309">
        <w:rPr>
          <w:sz w:val="22"/>
          <w:szCs w:val="22"/>
        </w:rPr>
        <w:t>[Address]</w:t>
      </w:r>
      <w:r w:rsidR="00223531" w:rsidRPr="009E1309">
        <w:rPr>
          <w:sz w:val="22"/>
          <w:szCs w:val="22"/>
        </w:rPr>
        <w:br/>
      </w:r>
      <w:r w:rsidR="009136FB" w:rsidRPr="009E1309">
        <w:rPr>
          <w:sz w:val="22"/>
          <w:szCs w:val="22"/>
        </w:rPr>
        <w:t xml:space="preserve">Attention: </w:t>
      </w:r>
    </w:p>
    <w:p w14:paraId="570E382F" w14:textId="022012EB" w:rsidR="00223531" w:rsidRPr="009E1309" w:rsidRDefault="009136FB" w:rsidP="009136FB">
      <w:pPr>
        <w:pStyle w:val="BodyText2"/>
        <w:spacing w:after="0"/>
        <w:rPr>
          <w:sz w:val="22"/>
          <w:szCs w:val="22"/>
        </w:rPr>
      </w:pPr>
      <w:r w:rsidRPr="009E1309">
        <w:rPr>
          <w:sz w:val="22"/>
          <w:szCs w:val="22"/>
        </w:rPr>
        <w:t xml:space="preserve">Email: </w:t>
      </w:r>
    </w:p>
    <w:p w14:paraId="578E483A" w14:textId="77777777" w:rsidR="00223531" w:rsidRPr="002B3343" w:rsidRDefault="00223531" w:rsidP="00223531">
      <w:pPr>
        <w:pStyle w:val="BodyText2"/>
        <w:spacing w:after="0"/>
        <w:rPr>
          <w:sz w:val="22"/>
          <w:szCs w:val="22"/>
        </w:rPr>
      </w:pPr>
    </w:p>
    <w:p w14:paraId="0875BB28" w14:textId="77777777" w:rsidR="00223531" w:rsidRPr="002B3343" w:rsidRDefault="00223531" w:rsidP="00223531">
      <w:pPr>
        <w:pStyle w:val="BodyText3"/>
        <w:rPr>
          <w:sz w:val="22"/>
          <w:szCs w:val="22"/>
        </w:rPr>
      </w:pPr>
      <w:r w:rsidRPr="002B3343">
        <w:rPr>
          <w:sz w:val="22"/>
          <w:szCs w:val="22"/>
        </w:rPr>
        <w:t>with a copy (which shall not constitute notice):</w:t>
      </w:r>
    </w:p>
    <w:p w14:paraId="41153875" w14:textId="7CB10DC9" w:rsidR="00223531" w:rsidRPr="002B3343" w:rsidRDefault="004A3405" w:rsidP="000A7938">
      <w:pPr>
        <w:pStyle w:val="BodyText2"/>
        <w:spacing w:after="0"/>
        <w:rPr>
          <w:sz w:val="22"/>
          <w:szCs w:val="22"/>
        </w:rPr>
      </w:pPr>
      <w:r>
        <w:rPr>
          <w:sz w:val="22"/>
          <w:szCs w:val="22"/>
        </w:rPr>
        <w:t>[</w:t>
      </w:r>
      <w:r>
        <w:rPr>
          <w:sz w:val="22"/>
          <w:szCs w:val="22"/>
          <w:u w:val="single"/>
        </w:rPr>
        <w:tab/>
      </w:r>
      <w:r>
        <w:rPr>
          <w:sz w:val="22"/>
          <w:szCs w:val="22"/>
          <w:u w:val="single"/>
        </w:rPr>
        <w:tab/>
      </w:r>
      <w:r>
        <w:rPr>
          <w:sz w:val="22"/>
          <w:szCs w:val="22"/>
          <w:u w:val="single"/>
        </w:rPr>
        <w:tab/>
        <w:t>]</w:t>
      </w:r>
      <w:r w:rsidR="00223531" w:rsidRPr="002B3343">
        <w:rPr>
          <w:sz w:val="22"/>
          <w:szCs w:val="22"/>
        </w:rPr>
        <w:br/>
      </w:r>
      <w:r>
        <w:rPr>
          <w:iCs/>
          <w:sz w:val="22"/>
          <w:szCs w:val="22"/>
        </w:rPr>
        <w:t>[Address]</w:t>
      </w:r>
      <w:r w:rsidR="000A7938" w:rsidRPr="002B3343">
        <w:rPr>
          <w:iCs/>
          <w:sz w:val="22"/>
          <w:szCs w:val="22"/>
        </w:rPr>
        <w:t xml:space="preserve"> </w:t>
      </w:r>
      <w:r w:rsidR="00223531" w:rsidRPr="002B3343">
        <w:rPr>
          <w:sz w:val="22"/>
          <w:szCs w:val="22"/>
        </w:rPr>
        <w:br/>
        <w:t xml:space="preserve">Attention:  </w:t>
      </w:r>
      <w:r w:rsidR="00223531" w:rsidRPr="002B3343">
        <w:rPr>
          <w:sz w:val="22"/>
          <w:szCs w:val="22"/>
        </w:rPr>
        <w:br/>
        <w:t xml:space="preserve">Email:  </w:t>
      </w:r>
    </w:p>
    <w:p w14:paraId="6623A882" w14:textId="77777777" w:rsidR="00223531" w:rsidRPr="003A559E" w:rsidRDefault="00223531" w:rsidP="00223531">
      <w:pPr>
        <w:pStyle w:val="BodyText2"/>
        <w:spacing w:after="0"/>
        <w:rPr>
          <w:sz w:val="22"/>
          <w:szCs w:val="22"/>
        </w:rPr>
      </w:pPr>
    </w:p>
    <w:p w14:paraId="2252B9BD" w14:textId="73F948E7" w:rsidR="00223531" w:rsidRPr="003A559E" w:rsidRDefault="00223531" w:rsidP="003A559E">
      <w:pPr>
        <w:pStyle w:val="Decimaloutlinedc3"/>
        <w:rPr>
          <w:rFonts w:cs="Times New Roman"/>
        </w:rPr>
      </w:pPr>
      <w:r w:rsidRPr="003A559E">
        <w:t xml:space="preserve">If to any Investor, at its e-mail address or address set forth on </w:t>
      </w:r>
      <w:r w:rsidR="00126555">
        <w:t xml:space="preserve">its signature page </w:t>
      </w:r>
      <w:r w:rsidRPr="003A559E">
        <w:t xml:space="preserve"> to the Purchase Agreement or to such e-mail address, or address as subsequently modified by written notice given in accordance with this </w:t>
      </w:r>
      <w:r w:rsidRPr="003A559E">
        <w:rPr>
          <w:u w:val="single"/>
        </w:rPr>
        <w:t>Section 10</w:t>
      </w:r>
      <w:r w:rsidRPr="003A559E">
        <w:t>.</w:t>
      </w:r>
    </w:p>
    <w:p w14:paraId="12D62634" w14:textId="03DDA748" w:rsidR="00B35FD8" w:rsidRPr="003A559E" w:rsidRDefault="00223531" w:rsidP="00223531">
      <w:pPr>
        <w:pStyle w:val="BodyTextFirstIndent"/>
        <w:ind w:firstLine="0"/>
        <w:rPr>
          <w:sz w:val="22"/>
          <w:szCs w:val="22"/>
        </w:rPr>
      </w:pPr>
      <w:r w:rsidRPr="003A559E">
        <w:rPr>
          <w:sz w:val="22"/>
          <w:szCs w:val="22"/>
        </w:rPr>
        <w:t>Any Person may change the address to which notices and communications to it are to be addressed by notification as provided for herein.</w:t>
      </w:r>
    </w:p>
    <w:p w14:paraId="1D424E52" w14:textId="77777777" w:rsidR="009A3EA5" w:rsidRDefault="009A3EA5" w:rsidP="009A3EA5">
      <w:pPr>
        <w:pStyle w:val="Decimaloutlinedc2"/>
        <w:numPr>
          <w:ilvl w:val="0"/>
          <w:numId w:val="0"/>
        </w:numPr>
        <w:ind w:left="1440"/>
      </w:pPr>
      <w:bookmarkStart w:id="77" w:name="_DV_M106"/>
      <w:bookmarkStart w:id="78" w:name="_DV_M119"/>
      <w:bookmarkEnd w:id="77"/>
      <w:bookmarkEnd w:id="78"/>
    </w:p>
    <w:p w14:paraId="3C8451FD" w14:textId="39BD96AB" w:rsidR="00B35FD8" w:rsidRPr="009A3EA5" w:rsidRDefault="009A3EA5" w:rsidP="009A3EA5">
      <w:pPr>
        <w:pStyle w:val="Decimaloutlinedc2"/>
      </w:pPr>
      <w:r>
        <w:rPr>
          <w:rStyle w:val="Decimaloutlinedc2runinChar"/>
        </w:rPr>
        <w:t>W</w:t>
      </w:r>
      <w:r w:rsidR="002161CA">
        <w:rPr>
          <w:rStyle w:val="Decimaloutlinedc2runinChar"/>
        </w:rPr>
        <w:t>aiver</w:t>
      </w:r>
      <w:r w:rsidR="000151C8">
        <w:rPr>
          <w:rStyle w:val="Decimaloutlinedc2runinChar"/>
        </w:rPr>
        <w:t>.</w:t>
      </w:r>
      <w:r w:rsidR="002161CA" w:rsidRPr="000151C8">
        <w:t xml:space="preserve"> </w:t>
      </w:r>
      <w:r>
        <w:t xml:space="preserve">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r>
    </w:p>
    <w:p w14:paraId="3B4A1A1F" w14:textId="77777777" w:rsidR="00B35FD8" w:rsidRDefault="00B35FD8">
      <w:pPr>
        <w:spacing w:after="0" w:line="240" w:lineRule="auto"/>
        <w:jc w:val="both"/>
        <w:rPr>
          <w:rFonts w:ascii="Times New Roman" w:eastAsia="Times New Roman" w:hAnsi="Times New Roman" w:cs="Times New Roman"/>
          <w:color w:val="000000"/>
        </w:rPr>
      </w:pPr>
    </w:p>
    <w:p w14:paraId="3141A8A5" w14:textId="133644FB" w:rsidR="00B35FD8" w:rsidRPr="009A3EA5" w:rsidRDefault="002161CA" w:rsidP="00523DEB">
      <w:pPr>
        <w:pStyle w:val="Decimaloutlinedc2"/>
        <w:rPr>
          <w:rFonts w:eastAsia="Times New Roman" w:cs="Times New Roman"/>
          <w:color w:val="000000"/>
        </w:rPr>
      </w:pPr>
      <w:bookmarkStart w:id="79" w:name="_DV_M107"/>
      <w:bookmarkStart w:id="80" w:name="_DV_M120"/>
      <w:bookmarkEnd w:id="79"/>
      <w:bookmarkEnd w:id="80"/>
      <w:r>
        <w:rPr>
          <w:rStyle w:val="Decimaloutlinedc2runinChar"/>
        </w:rPr>
        <w:t>Governing Law</w:t>
      </w:r>
      <w:r>
        <w:t xml:space="preserve">. </w:t>
      </w:r>
      <w:r w:rsidR="003A559E">
        <w:t xml:space="preserve">The provisions of </w:t>
      </w:r>
      <w:r w:rsidR="003A559E" w:rsidRPr="009A3EA5">
        <w:rPr>
          <w:u w:val="single"/>
        </w:rPr>
        <w:t>Section 8.</w:t>
      </w:r>
      <w:r w:rsidR="001C01F8">
        <w:rPr>
          <w:u w:val="single"/>
        </w:rPr>
        <w:t>4</w:t>
      </w:r>
      <w:r w:rsidR="00A01E3C" w:rsidRPr="009A3EA5">
        <w:rPr>
          <w:u w:val="single"/>
        </w:rPr>
        <w:t xml:space="preserve"> </w:t>
      </w:r>
      <w:r w:rsidR="003A559E">
        <w:t xml:space="preserve">of the Purchase Agreement are </w:t>
      </w:r>
      <w:r w:rsidR="003A559E" w:rsidRPr="003A559E">
        <w:t xml:space="preserve">incorporated by reference herein </w:t>
      </w:r>
      <w:r w:rsidR="003A559E" w:rsidRPr="009A3EA5">
        <w:rPr>
          <w:i/>
          <w:iCs/>
        </w:rPr>
        <w:t>mutatis mutandis</w:t>
      </w:r>
      <w:r w:rsidR="003A559E">
        <w:t>.</w:t>
      </w:r>
    </w:p>
    <w:p w14:paraId="5EF31C59" w14:textId="77777777" w:rsidR="00B35FD8" w:rsidRDefault="00B35FD8">
      <w:pPr>
        <w:spacing w:after="0" w:line="240" w:lineRule="auto"/>
        <w:jc w:val="both"/>
        <w:rPr>
          <w:rFonts w:ascii="Times New Roman" w:eastAsia="Times New Roman" w:hAnsi="Times New Roman" w:cs="Times New Roman"/>
          <w:color w:val="000000"/>
        </w:rPr>
      </w:pPr>
      <w:bookmarkStart w:id="81" w:name="_DV_M108"/>
      <w:bookmarkStart w:id="82" w:name="_DV_M121"/>
      <w:bookmarkStart w:id="83" w:name="_DV_M109"/>
      <w:bookmarkStart w:id="84" w:name="_DV_M122"/>
      <w:bookmarkEnd w:id="81"/>
      <w:bookmarkEnd w:id="82"/>
      <w:bookmarkEnd w:id="83"/>
      <w:bookmarkEnd w:id="84"/>
    </w:p>
    <w:p w14:paraId="2F936E61" w14:textId="03B1FA23" w:rsidR="00B35FD8" w:rsidRDefault="002161CA">
      <w:pPr>
        <w:pStyle w:val="Decimaloutlinedc2"/>
        <w:rPr>
          <w:rFonts w:cs="Times New Roman"/>
        </w:rPr>
      </w:pPr>
      <w:bookmarkStart w:id="85" w:name="_DV_M110"/>
      <w:bookmarkStart w:id="86" w:name="_DV_M123"/>
      <w:bookmarkEnd w:id="85"/>
      <w:bookmarkEnd w:id="86"/>
      <w:r>
        <w:rPr>
          <w:rStyle w:val="Decimaloutlinedc2runinChar"/>
        </w:rPr>
        <w:t>Headings</w:t>
      </w:r>
      <w:r>
        <w:t xml:space="preserve">. The </w:t>
      </w:r>
      <w:r w:rsidR="000151C8">
        <w:t xml:space="preserve">titles, subtitles and </w:t>
      </w:r>
      <w:r>
        <w:t>headings in this Agreement are for convenience of reference and shall not form part of, or affect the interpretation of, this Agreement.</w:t>
      </w:r>
    </w:p>
    <w:p w14:paraId="45FE563B" w14:textId="77777777" w:rsidR="00B35FD8" w:rsidRDefault="00B35FD8">
      <w:pPr>
        <w:spacing w:after="0" w:line="240" w:lineRule="auto"/>
        <w:jc w:val="both"/>
        <w:rPr>
          <w:rFonts w:ascii="Times New Roman" w:eastAsia="Times New Roman" w:hAnsi="Times New Roman" w:cs="Times New Roman"/>
          <w:color w:val="000000"/>
        </w:rPr>
      </w:pPr>
    </w:p>
    <w:p w14:paraId="493EEADA" w14:textId="435779E9" w:rsidR="00B35FD8" w:rsidRDefault="002161CA">
      <w:pPr>
        <w:pStyle w:val="Decimaloutlinedc2"/>
        <w:rPr>
          <w:rFonts w:cs="Times New Roman"/>
        </w:rPr>
      </w:pPr>
      <w:bookmarkStart w:id="87" w:name="_DV_M111"/>
      <w:bookmarkEnd w:id="87"/>
      <w:r>
        <w:rPr>
          <w:rStyle w:val="Decimaloutlinedc2runinChar"/>
        </w:rPr>
        <w:t>Counterparts</w:t>
      </w:r>
      <w:r>
        <w:t xml:space="preserve">.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w:t>
      </w:r>
      <w:r w:rsidR="000151C8" w:rsidRPr="000151C8">
        <w:t xml:space="preserve">including any electronic signatures complying with the U.S. federal ESIGN Act of 2000, e.g., </w:t>
      </w:r>
      <w:r w:rsidR="000151C8" w:rsidRPr="00171572">
        <w:t>www.docusign.com</w:t>
      </w:r>
      <w:r w:rsidR="000151C8">
        <w:t xml:space="preserve"> </w:t>
      </w:r>
      <w:r>
        <w:t>shall be considered due execution and shall be binding upon the signatory thereto with the same force and effect as if the signature were an original, not a facsimile or pdf (or other electronic reproduction of a) signature.</w:t>
      </w:r>
    </w:p>
    <w:p w14:paraId="0DC489BC" w14:textId="77777777" w:rsidR="00B35FD8" w:rsidRDefault="00B35FD8">
      <w:pPr>
        <w:spacing w:after="0" w:line="240" w:lineRule="auto"/>
        <w:jc w:val="both"/>
        <w:rPr>
          <w:rFonts w:ascii="Times New Roman" w:eastAsia="Times New Roman" w:hAnsi="Times New Roman" w:cs="Times New Roman"/>
          <w:color w:val="000000"/>
        </w:rPr>
      </w:pPr>
    </w:p>
    <w:p w14:paraId="698DBC33" w14:textId="77777777" w:rsidR="00E94ADB" w:rsidRPr="00E94ADB" w:rsidRDefault="003B4E24" w:rsidP="00E94ADB">
      <w:pPr>
        <w:pStyle w:val="Decimaloutlinedc2"/>
        <w:rPr>
          <w:rFonts w:cs="Times New Roman"/>
        </w:rPr>
      </w:pPr>
      <w:bookmarkStart w:id="88" w:name="_DV_M112"/>
      <w:bookmarkEnd w:id="88"/>
      <w:r w:rsidRPr="003F2469">
        <w:rPr>
          <w:u w:val="single"/>
        </w:rPr>
        <w:t>Further Assurances</w:t>
      </w:r>
      <w:r w:rsidRPr="009D3A7C">
        <w:t>.</w:t>
      </w:r>
      <w:r w:rsidR="007B7585">
        <w:t xml:space="preserve"> </w:t>
      </w:r>
      <w:r w:rsidR="002161CA">
        <w:t>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14:paraId="2F0A2C28" w14:textId="77777777" w:rsidR="00E94ADB" w:rsidRPr="00E94ADB" w:rsidRDefault="00E94ADB" w:rsidP="00E94ADB">
      <w:pPr>
        <w:pStyle w:val="Decimaloutlinedc2"/>
        <w:numPr>
          <w:ilvl w:val="0"/>
          <w:numId w:val="0"/>
        </w:numPr>
        <w:rPr>
          <w:rFonts w:cs="Times New Roman"/>
        </w:rPr>
      </w:pPr>
    </w:p>
    <w:p w14:paraId="0F2665DB" w14:textId="700ACE00" w:rsidR="00FA4B79" w:rsidRPr="00E94ADB" w:rsidRDefault="007B7585" w:rsidP="00E94ADB">
      <w:pPr>
        <w:pStyle w:val="Decimaloutlinedc2"/>
        <w:rPr>
          <w:rFonts w:cs="Times New Roman"/>
        </w:rPr>
      </w:pPr>
      <w:r w:rsidRPr="00E94ADB">
        <w:rPr>
          <w:u w:val="single"/>
        </w:rPr>
        <w:t>Contract Interpretation</w:t>
      </w:r>
      <w:r>
        <w:t xml:space="preserve">. </w:t>
      </w:r>
      <w:r w:rsidR="003B1CE5" w:rsidRPr="003B1CE5">
        <w:t xml:space="preserve">This Agreement is the joint product of each </w:t>
      </w:r>
      <w:r w:rsidR="004A412E">
        <w:t>Investor</w:t>
      </w:r>
      <w:r w:rsidR="003B1CE5" w:rsidRPr="003B1CE5">
        <w:t xml:space="preserve"> and the Company and each provision hereof has been subject to the mutual consultation, negotiation and agreement of such parties and shall not be construed for or against any party hereto.</w:t>
      </w:r>
    </w:p>
    <w:p w14:paraId="5E093879" w14:textId="77777777" w:rsidR="00FA4B79" w:rsidRPr="009A3EA5" w:rsidRDefault="00FA4B79" w:rsidP="00FA4B79">
      <w:pPr>
        <w:pStyle w:val="Decimaloutlinedc2"/>
        <w:numPr>
          <w:ilvl w:val="0"/>
          <w:numId w:val="0"/>
        </w:numPr>
        <w:ind w:left="1440"/>
        <w:rPr>
          <w:rFonts w:cs="Times New Roman"/>
        </w:rPr>
      </w:pPr>
    </w:p>
    <w:p w14:paraId="676C60FD" w14:textId="6587E622" w:rsidR="002360F8" w:rsidRPr="000151C8" w:rsidRDefault="007B7585" w:rsidP="00FA4B79">
      <w:pPr>
        <w:pStyle w:val="Decimaloutlinedc2"/>
        <w:rPr>
          <w:rFonts w:cs="Times New Roman"/>
        </w:rPr>
      </w:pPr>
      <w:bookmarkStart w:id="89" w:name="_DV_M114"/>
      <w:bookmarkStart w:id="90" w:name="_DV_M127"/>
      <w:bookmarkEnd w:id="89"/>
      <w:bookmarkEnd w:id="90"/>
      <w:r w:rsidRPr="001D5B43">
        <w:rPr>
          <w:u w:val="single"/>
        </w:rPr>
        <w:t>No Third Party Beneficiaries</w:t>
      </w:r>
      <w:r>
        <w:t xml:space="preserve">. </w:t>
      </w:r>
      <w:r w:rsidR="001D5B43" w:rsidRPr="001D5B43">
        <w:t xml:space="preserve">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w:t>
      </w:r>
    </w:p>
    <w:p w14:paraId="6DB34AE3" w14:textId="77777777" w:rsidR="000151C8" w:rsidRPr="001D5B43" w:rsidRDefault="000151C8" w:rsidP="002360F8">
      <w:pPr>
        <w:pStyle w:val="Decimaloutlinedc2"/>
        <w:numPr>
          <w:ilvl w:val="0"/>
          <w:numId w:val="0"/>
        </w:numPr>
        <w:ind w:left="1440"/>
        <w:rPr>
          <w:rFonts w:cs="Times New Roman"/>
        </w:rPr>
      </w:pPr>
    </w:p>
    <w:p w14:paraId="07E2894B" w14:textId="25343ACE" w:rsidR="000151C8" w:rsidRPr="00023301" w:rsidRDefault="007B7585">
      <w:pPr>
        <w:pStyle w:val="Decimaloutlinedc2"/>
        <w:rPr>
          <w:rFonts w:cs="Times New Roman"/>
        </w:rPr>
      </w:pPr>
      <w:r w:rsidRPr="007B7585">
        <w:rPr>
          <w:rFonts w:cs="Times New Roman"/>
          <w:u w:val="single"/>
        </w:rPr>
        <w:t>Severability</w:t>
      </w:r>
      <w:r>
        <w:rPr>
          <w:rFonts w:cs="Times New Roman"/>
        </w:rPr>
        <w:t xml:space="preserve">. </w:t>
      </w:r>
      <w:r w:rsidR="00F5059F" w:rsidRPr="00F5059F">
        <w:rPr>
          <w:rFonts w:cs="Times New Roman"/>
        </w:rPr>
        <w:t>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r>
      <w:r w:rsidR="007D75E2">
        <w:rPr>
          <w:rFonts w:cs="Times New Roman"/>
        </w:rPr>
        <w:t>.</w:t>
      </w:r>
    </w:p>
    <w:p w14:paraId="63D42674" w14:textId="77777777" w:rsidR="00023301" w:rsidRDefault="00023301" w:rsidP="00023301">
      <w:pPr>
        <w:pStyle w:val="Decimaloutlinedc2"/>
        <w:numPr>
          <w:ilvl w:val="0"/>
          <w:numId w:val="0"/>
        </w:numPr>
        <w:ind w:left="1440"/>
        <w:rPr>
          <w:rFonts w:cs="Times New Roman"/>
        </w:rPr>
      </w:pPr>
    </w:p>
    <w:p w14:paraId="72A87C00" w14:textId="032A9D67" w:rsidR="00023301" w:rsidRDefault="00023301" w:rsidP="00023301">
      <w:pPr>
        <w:pStyle w:val="Decimaloutlinedc2"/>
      </w:pPr>
      <w:r w:rsidRPr="00AA0DE7">
        <w:rPr>
          <w:u w:val="single"/>
        </w:rPr>
        <w:t>Non-Recourse</w:t>
      </w:r>
      <w:r>
        <w:t xml:space="preserve">. </w:t>
      </w:r>
      <w:r w:rsidRPr="00AA0DE7">
        <w:t>Notwithstanding anything that may be expressed or implied in this Agreement, the Company covenants, agrees and acknowledges that no recourse under this Agreement or any documents or instruments delivered in connection with this Agreement shall be had against any current or future director, officer, employee, stockholder, general or limited partner or member of the Investors or of any affiliates or assignees thereof, whether by the enforcement of any assessment or by any legal or equitable proceeding, or by virtue of any statute, regulation or other applicable law, it being expressly agreed and acknowledged that no personal liability whatsoever shall attach to, be imposed on or otherwise be incurred by any current or future director, officer, employee, stockholder, general or limited partner or member of the Investors or of any affiliates or assignees thereof, as such for any obligation of the Investors under this Agreement or any documents or instruments delivered in connection with this Agreement for any claim based on, in respect of or by reason of such obligations or their creation.</w:t>
      </w:r>
    </w:p>
    <w:p w14:paraId="59B438D5" w14:textId="77777777" w:rsidR="0092219E" w:rsidRDefault="0092219E" w:rsidP="0092219E">
      <w:pPr>
        <w:pStyle w:val="Decimaloutlinedc2"/>
        <w:numPr>
          <w:ilvl w:val="0"/>
          <w:numId w:val="0"/>
        </w:numPr>
        <w:ind w:left="1440"/>
      </w:pPr>
    </w:p>
    <w:p w14:paraId="6B2CDACA" w14:textId="01BD74F8" w:rsidR="0092219E" w:rsidRDefault="0092219E" w:rsidP="00023301">
      <w:pPr>
        <w:pStyle w:val="Decimaloutlinedc2"/>
      </w:pPr>
      <w:r w:rsidRPr="0092219E">
        <w:rPr>
          <w:u w:val="single"/>
        </w:rPr>
        <w:t>Specific Performance.</w:t>
      </w:r>
      <w:r w:rsidRPr="0092219E">
        <w:t xml:space="preserve"> In addition to any and all other remedies that may be available at law in the event of any breach of this Agreement, each Investor shall be entitled to specific performance of the agreements and obligations of the Company hereunder and to such other injunction or other equitable relief as may be granted by a court of competent jurisdiction.</w:t>
      </w:r>
    </w:p>
    <w:p w14:paraId="60A1D07A" w14:textId="77777777" w:rsidR="004A412E" w:rsidRDefault="004A412E" w:rsidP="004A412E">
      <w:pPr>
        <w:pStyle w:val="Decimaloutlinedc1"/>
        <w:numPr>
          <w:ilvl w:val="0"/>
          <w:numId w:val="0"/>
        </w:numPr>
        <w:ind w:left="1080" w:hanging="360"/>
      </w:pPr>
    </w:p>
    <w:p w14:paraId="6B2FC06D" w14:textId="33387FA1" w:rsidR="000151C8" w:rsidRPr="00AA0DE7" w:rsidRDefault="000151C8" w:rsidP="00023301">
      <w:pPr>
        <w:pStyle w:val="Decimaloutlinedc2"/>
      </w:pPr>
      <w:r w:rsidRPr="007B7585">
        <w:rPr>
          <w:u w:val="single"/>
        </w:rPr>
        <w:t>Cumulative Remedies</w:t>
      </w:r>
      <w:r w:rsidRPr="000151C8">
        <w:t>. The remedies provided herein are cumulative and not exclusive of any remedies provided by law.</w:t>
      </w:r>
    </w:p>
    <w:p w14:paraId="54538DAF" w14:textId="77777777" w:rsidR="00B35FD8" w:rsidRDefault="00B35FD8">
      <w:pPr>
        <w:spacing w:after="0" w:line="240" w:lineRule="auto"/>
        <w:rPr>
          <w:rFonts w:ascii="Times New Roman" w:eastAsia="Times New Roman" w:hAnsi="Times New Roman" w:cs="Times New Roman"/>
          <w:color w:val="000000"/>
        </w:rPr>
      </w:pPr>
    </w:p>
    <w:p w14:paraId="05D26A7F" w14:textId="77777777" w:rsidR="00671C11" w:rsidRDefault="002161CA">
      <w:pPr>
        <w:spacing w:after="0" w:line="240" w:lineRule="auto"/>
        <w:jc w:val="center"/>
        <w:rPr>
          <w:rFonts w:ascii="Times New Roman" w:eastAsia="Times New Roman" w:hAnsi="Times New Roman" w:cs="Times New Roman"/>
          <w:bCs/>
          <w:i/>
          <w:color w:val="000000"/>
        </w:rPr>
      </w:pPr>
      <w:bookmarkStart w:id="91" w:name="_DV_M128"/>
      <w:bookmarkStart w:id="92" w:name="_DV_M115"/>
      <w:bookmarkEnd w:id="91"/>
      <w:bookmarkEnd w:id="92"/>
      <w:r>
        <w:rPr>
          <w:rFonts w:ascii="Times New Roman" w:eastAsia="Times New Roman" w:hAnsi="Times New Roman" w:cs="Times New Roman"/>
          <w:bCs/>
          <w:i/>
          <w:color w:val="000000"/>
        </w:rPr>
        <w:t>[Signature Page Follows]</w:t>
      </w:r>
    </w:p>
    <w:p w14:paraId="77FA0E55" w14:textId="77777777" w:rsidR="0092219E" w:rsidRDefault="0092219E">
      <w:pPr>
        <w:spacing w:after="0" w:line="240" w:lineRule="auto"/>
        <w:jc w:val="center"/>
        <w:rPr>
          <w:rFonts w:ascii="Times New Roman" w:eastAsia="Times New Roman" w:hAnsi="Times New Roman" w:cs="Times New Roman"/>
          <w:bCs/>
          <w:i/>
          <w:color w:val="000000"/>
        </w:rPr>
      </w:pPr>
    </w:p>
    <w:p w14:paraId="0F2FEA3B" w14:textId="77777777" w:rsidR="0092219E" w:rsidRDefault="0092219E">
      <w:pPr>
        <w:spacing w:after="0" w:line="240" w:lineRule="auto"/>
        <w:jc w:val="center"/>
        <w:rPr>
          <w:rFonts w:ascii="Times New Roman" w:eastAsia="Times New Roman" w:hAnsi="Times New Roman" w:cs="Times New Roman"/>
          <w:bCs/>
          <w:i/>
          <w:color w:val="000000"/>
        </w:rPr>
        <w:sectPr w:rsidR="0092219E" w:rsidSect="002B2D2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5EC499CE" w14:textId="77777777" w:rsidR="00B35FD8" w:rsidRDefault="002161CA">
      <w:pPr>
        <w:pageBreakBefore/>
        <w:spacing w:after="0" w:line="240" w:lineRule="auto"/>
        <w:ind w:firstLine="1440"/>
        <w:rPr>
          <w:rFonts w:ascii="Times New Roman" w:eastAsia="Times New Roman" w:hAnsi="Times New Roman" w:cs="Times New Roman"/>
          <w:color w:val="000000"/>
        </w:rPr>
      </w:pPr>
      <w:bookmarkStart w:id="93" w:name="_DV_M116"/>
      <w:bookmarkEnd w:id="93"/>
      <w:r>
        <w:rPr>
          <w:rFonts w:ascii="Times New Roman" w:eastAsia="Times New Roman" w:hAnsi="Times New Roman" w:cs="Times New Roman"/>
          <w:b/>
          <w:bCs/>
          <w:color w:val="000000"/>
        </w:rPr>
        <w:t>IN WITNESS WHEREOF,</w:t>
      </w:r>
      <w:r>
        <w:rPr>
          <w:rFonts w:ascii="Times New Roman" w:eastAsia="Times New Roman" w:hAnsi="Times New Roman" w:cs="Times New Roman"/>
          <w:color w:val="000000"/>
        </w:rPr>
        <w:t xml:space="preserve"> the parties have caused this Registration Rights Agreement to be duly executed as of date first written above.</w:t>
      </w:r>
    </w:p>
    <w:p w14:paraId="374D5D30" w14:textId="77777777" w:rsidR="00B35FD8" w:rsidRDefault="00B35FD8">
      <w:pPr>
        <w:spacing w:after="0" w:line="240" w:lineRule="auto"/>
        <w:rPr>
          <w:rFonts w:ascii="Times New Roman" w:eastAsia="Times New Roman" w:hAnsi="Times New Roman" w:cs="Times New Roman"/>
          <w:color w:val="000000"/>
        </w:rPr>
      </w:pPr>
    </w:p>
    <w:p w14:paraId="2DFCBCC0" w14:textId="77777777" w:rsidR="00B35FD8" w:rsidRDefault="00B35FD8">
      <w:pPr>
        <w:spacing w:after="0" w:line="240" w:lineRule="auto"/>
        <w:rPr>
          <w:rFonts w:ascii="Times New Roman" w:eastAsia="Times New Roman" w:hAnsi="Times New Roman" w:cs="Times New Roman"/>
          <w:color w:val="000000"/>
        </w:rPr>
      </w:pPr>
    </w:p>
    <w:p w14:paraId="41C5436B" w14:textId="7F367C4E" w:rsidR="003A559E" w:rsidRPr="003978D5" w:rsidRDefault="003A559E" w:rsidP="003A559E">
      <w:pPr>
        <w:pStyle w:val="Signature"/>
      </w:pPr>
      <w:r w:rsidRPr="00E97E12">
        <w:rPr>
          <w:b/>
        </w:rPr>
        <w:t>COMPANY:</w:t>
      </w:r>
      <w:r>
        <w:br/>
      </w:r>
      <w:r>
        <w:br/>
      </w:r>
      <w:r w:rsidR="001E655C">
        <w:t>[</w:t>
      </w:r>
      <w:r w:rsidR="001E655C">
        <w:rPr>
          <w:u w:val="single"/>
        </w:rPr>
        <w:tab/>
        <w:t>]</w:t>
      </w:r>
      <w:r w:rsidR="000A7938">
        <w:t xml:space="preserve"> </w:t>
      </w:r>
    </w:p>
    <w:p w14:paraId="47B82F72" w14:textId="4A556061" w:rsidR="003A559E" w:rsidRDefault="003A559E" w:rsidP="003A559E">
      <w:pPr>
        <w:pStyle w:val="Signature"/>
        <w:ind w:left="4770" w:hanging="450"/>
      </w:pPr>
      <w:r w:rsidRPr="003978D5">
        <w:t>By:</w:t>
      </w:r>
      <w:r>
        <w:t xml:space="preserve">  </w:t>
      </w:r>
      <w:r w:rsidRPr="006C09AF">
        <w:rPr>
          <w:u w:val="single"/>
        </w:rPr>
        <w:tab/>
      </w:r>
      <w:r w:rsidRPr="003978D5">
        <w:rPr>
          <w:u w:val="single"/>
        </w:rPr>
        <w:br/>
      </w:r>
      <w:r w:rsidRPr="003978D5">
        <w:t>Name:</w:t>
      </w:r>
      <w:r>
        <w:t xml:space="preserve"> </w:t>
      </w:r>
      <w:r w:rsidRPr="003978D5">
        <w:br/>
        <w:t>Title:</w:t>
      </w:r>
      <w:r>
        <w:t xml:space="preserve">  </w:t>
      </w:r>
    </w:p>
    <w:p w14:paraId="485F3D9B" w14:textId="77777777" w:rsidR="003A559E" w:rsidRDefault="003A559E">
      <w:pPr>
        <w:rPr>
          <w:rFonts w:ascii="Times New Roman" w:eastAsia="Times New Roman" w:hAnsi="Times New Roman" w:cs="Times New Roman"/>
          <w:sz w:val="24"/>
          <w:szCs w:val="20"/>
        </w:rPr>
      </w:pPr>
      <w:r>
        <w:br w:type="page"/>
      </w:r>
    </w:p>
    <w:p w14:paraId="39782694" w14:textId="77777777" w:rsidR="003A559E" w:rsidRDefault="003A559E" w:rsidP="003A559E">
      <w:pPr>
        <w:pageBreakBefore/>
        <w:spacing w:after="0" w:line="240" w:lineRule="auto"/>
        <w:ind w:firstLine="1440"/>
        <w:rPr>
          <w:rFonts w:ascii="Times New Roman" w:eastAsia="Times New Roman" w:hAnsi="Times New Roman" w:cs="Times New Roman"/>
          <w:color w:val="000000"/>
        </w:rPr>
      </w:pPr>
      <w:r>
        <w:rPr>
          <w:rFonts w:ascii="Times New Roman" w:eastAsia="Times New Roman" w:hAnsi="Times New Roman" w:cs="Times New Roman"/>
          <w:b/>
          <w:bCs/>
          <w:color w:val="000000"/>
        </w:rPr>
        <w:t>IN WITNESS WHEREOF,</w:t>
      </w:r>
      <w:r>
        <w:rPr>
          <w:rFonts w:ascii="Times New Roman" w:eastAsia="Times New Roman" w:hAnsi="Times New Roman" w:cs="Times New Roman"/>
          <w:color w:val="000000"/>
        </w:rPr>
        <w:t xml:space="preserve"> the parties have caused this Registration Rights Agreement to be duly executed as of date first written above.</w:t>
      </w:r>
    </w:p>
    <w:p w14:paraId="516CDEF8" w14:textId="77777777" w:rsidR="003A559E" w:rsidRDefault="003A559E" w:rsidP="003A559E">
      <w:pPr>
        <w:spacing w:after="0" w:line="240" w:lineRule="auto"/>
        <w:rPr>
          <w:rFonts w:ascii="Times New Roman" w:eastAsia="Times New Roman" w:hAnsi="Times New Roman" w:cs="Times New Roman"/>
          <w:color w:val="000000"/>
        </w:rPr>
      </w:pPr>
    </w:p>
    <w:p w14:paraId="58B2BCD0" w14:textId="77777777" w:rsidR="003A559E" w:rsidRDefault="003A559E" w:rsidP="003A559E">
      <w:pPr>
        <w:spacing w:after="0" w:line="240" w:lineRule="auto"/>
        <w:rPr>
          <w:rFonts w:ascii="Times New Roman" w:eastAsia="Times New Roman" w:hAnsi="Times New Roman" w:cs="Times New Roman"/>
          <w:color w:val="000000"/>
        </w:rPr>
      </w:pPr>
    </w:p>
    <w:p w14:paraId="46D22FE3" w14:textId="0D96E80E" w:rsidR="003A559E" w:rsidRPr="003A559E" w:rsidRDefault="003A559E" w:rsidP="003A559E">
      <w:pPr>
        <w:pStyle w:val="BodyTextIndent"/>
        <w:ind w:left="4320"/>
        <w:rPr>
          <w:rFonts w:ascii="Times New Roman" w:hAnsi="Times New Roman" w:cs="Times New Roman"/>
          <w:b/>
        </w:rPr>
      </w:pPr>
      <w:r w:rsidRPr="003A559E">
        <w:rPr>
          <w:rFonts w:ascii="Times New Roman" w:hAnsi="Times New Roman" w:cs="Times New Roman"/>
          <w:b/>
        </w:rPr>
        <w:t>INVESTOR:</w:t>
      </w:r>
    </w:p>
    <w:p w14:paraId="0883FDAC" w14:textId="77777777" w:rsidR="003A559E" w:rsidRPr="003A559E" w:rsidRDefault="003A559E" w:rsidP="003A559E">
      <w:pPr>
        <w:pStyle w:val="Signature"/>
        <w:rPr>
          <w:sz w:val="22"/>
          <w:szCs w:val="22"/>
        </w:rPr>
      </w:pPr>
      <w:r w:rsidRPr="003A559E">
        <w:rPr>
          <w:b/>
          <w:sz w:val="22"/>
          <w:szCs w:val="22"/>
        </w:rPr>
        <w:t>[NAME]</w:t>
      </w:r>
    </w:p>
    <w:p w14:paraId="4AA759AB" w14:textId="77777777" w:rsidR="003A559E" w:rsidRPr="003A559E" w:rsidRDefault="003A559E" w:rsidP="003A559E">
      <w:pPr>
        <w:pStyle w:val="Signature"/>
        <w:spacing w:after="240"/>
        <w:rPr>
          <w:sz w:val="22"/>
          <w:szCs w:val="22"/>
          <w:u w:val="single"/>
        </w:rPr>
      </w:pPr>
      <w:r w:rsidRPr="003A559E">
        <w:rPr>
          <w:sz w:val="22"/>
          <w:szCs w:val="22"/>
        </w:rPr>
        <w:t xml:space="preserve">By: </w:t>
      </w:r>
      <w:r w:rsidRPr="003A559E">
        <w:rPr>
          <w:sz w:val="22"/>
          <w:szCs w:val="22"/>
          <w:u w:val="single"/>
        </w:rPr>
        <w:tab/>
      </w:r>
    </w:p>
    <w:p w14:paraId="1127D914" w14:textId="77777777" w:rsidR="003A559E" w:rsidRPr="003A559E" w:rsidRDefault="003A559E" w:rsidP="003A559E">
      <w:pPr>
        <w:pStyle w:val="Signature"/>
        <w:spacing w:after="240"/>
        <w:rPr>
          <w:sz w:val="22"/>
          <w:szCs w:val="22"/>
          <w:u w:val="single"/>
        </w:rPr>
      </w:pPr>
      <w:r w:rsidRPr="003A559E">
        <w:rPr>
          <w:sz w:val="22"/>
          <w:szCs w:val="22"/>
        </w:rPr>
        <w:t>Name:</w:t>
      </w:r>
      <w:r w:rsidRPr="003A559E">
        <w:rPr>
          <w:sz w:val="22"/>
          <w:szCs w:val="22"/>
          <w:u w:val="single"/>
        </w:rPr>
        <w:tab/>
      </w:r>
    </w:p>
    <w:p w14:paraId="40BF9395" w14:textId="77777777" w:rsidR="003A559E" w:rsidRPr="003A559E" w:rsidRDefault="003A559E" w:rsidP="003A559E">
      <w:pPr>
        <w:pStyle w:val="Signature"/>
        <w:rPr>
          <w:sz w:val="22"/>
          <w:szCs w:val="22"/>
          <w:u w:val="single"/>
        </w:rPr>
      </w:pPr>
      <w:r w:rsidRPr="003A559E">
        <w:rPr>
          <w:sz w:val="22"/>
          <w:szCs w:val="22"/>
        </w:rPr>
        <w:t>Title:</w:t>
      </w:r>
      <w:r w:rsidRPr="003A559E">
        <w:rPr>
          <w:sz w:val="22"/>
          <w:szCs w:val="22"/>
          <w:u w:val="single"/>
        </w:rPr>
        <w:tab/>
      </w:r>
    </w:p>
    <w:p w14:paraId="41854D5E" w14:textId="77777777" w:rsidR="006D0CF5" w:rsidRDefault="006D0CF5">
      <w:pPr>
        <w:spacing w:after="0" w:line="240" w:lineRule="auto"/>
        <w:rPr>
          <w:rFonts w:ascii="Times New Roman" w:eastAsia="Times New Roman" w:hAnsi="Times New Roman" w:cs="Times New Roman"/>
          <w:color w:val="000000"/>
        </w:rPr>
        <w:sectPr w:rsidR="006D0CF5" w:rsidSect="002B2D2B">
          <w:footerReference w:type="default" r:id="rId16"/>
          <w:headerReference w:type="first" r:id="rId17"/>
          <w:footerReference w:type="first" r:id="rId18"/>
          <w:pgSz w:w="12240" w:h="15840"/>
          <w:pgMar w:top="1440" w:right="1440" w:bottom="1440" w:left="1440" w:header="720" w:footer="720" w:gutter="0"/>
          <w:cols w:space="720"/>
          <w:titlePg/>
          <w:docGrid w:linePitch="360"/>
        </w:sectPr>
      </w:pPr>
    </w:p>
    <w:p w14:paraId="524A7E75" w14:textId="712A4138" w:rsidR="000C4BBD" w:rsidRPr="00255353" w:rsidRDefault="000C4BBD" w:rsidP="000C4BBD">
      <w:pPr>
        <w:jc w:val="center"/>
        <w:rPr>
          <w:b/>
          <w:bCs/>
        </w:rPr>
      </w:pPr>
      <w:bookmarkStart w:id="95" w:name="toc496215_7"/>
      <w:bookmarkEnd w:id="95"/>
      <w:r w:rsidRPr="00255353">
        <w:rPr>
          <w:rFonts w:ascii="Times New Roman" w:eastAsia="Times New Roman" w:hAnsi="Times New Roman" w:cs="Times New Roman"/>
          <w:b/>
          <w:bCs/>
          <w:color w:val="000000"/>
          <w:u w:val="single"/>
        </w:rPr>
        <w:t>Exhibit A</w:t>
      </w:r>
    </w:p>
    <w:p w14:paraId="49E858B9" w14:textId="2C40F02B" w:rsidR="000C4BBD" w:rsidRPr="00255353" w:rsidRDefault="000C4BBD" w:rsidP="000C4BBD">
      <w:pPr>
        <w:jc w:val="center"/>
        <w:rPr>
          <w:rFonts w:ascii="Times New Roman" w:hAnsi="Times New Roman" w:cs="Times New Roman"/>
        </w:rPr>
      </w:pPr>
      <w:r w:rsidRPr="00255353">
        <w:rPr>
          <w:rFonts w:ascii="Times New Roman" w:hAnsi="Times New Roman" w:cs="Times New Roman"/>
          <w:b/>
          <w:bCs/>
        </w:rPr>
        <w:t xml:space="preserve">PLAN OF DISTRIBUTION </w:t>
      </w:r>
    </w:p>
    <w:p w14:paraId="71A08DBE" w14:textId="34E989D1"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w:t>
      </w:r>
      <w:r w:rsidR="009244C7">
        <w:rPr>
          <w:rFonts w:ascii="Times New Roman" w:hAnsi="Times New Roman" w:cs="Times New Roman"/>
        </w:rPr>
        <w:t>securityholders</w:t>
      </w:r>
      <w:r w:rsidRPr="00255353">
        <w:rPr>
          <w:rFonts w:ascii="Times New Roman" w:hAnsi="Times New Roman" w:cs="Times New Roman"/>
        </w:rPr>
        <w:t xml:space="preserve">, which </w:t>
      </w:r>
      <w:proofErr w:type="spellStart"/>
      <w:r w:rsidRPr="00255353">
        <w:rPr>
          <w:rFonts w:ascii="Times New Roman" w:hAnsi="Times New Roman" w:cs="Times New Roman"/>
        </w:rPr>
        <w:t>as</w:t>
      </w:r>
      <w:proofErr w:type="spellEnd"/>
      <w:r w:rsidRPr="00255353">
        <w:rPr>
          <w:rFonts w:ascii="Times New Roman" w:hAnsi="Times New Roman" w:cs="Times New Roman"/>
        </w:rPr>
        <w:t xml:space="preserve"> used herein includes donees, pledgees, transferees or other successors-in-interest selling </w:t>
      </w:r>
      <w:r w:rsidR="00C22C0E">
        <w:rPr>
          <w:rFonts w:ascii="Times New Roman" w:hAnsi="Times New Roman" w:cs="Times New Roman"/>
        </w:rPr>
        <w:t>[ordinary share</w:t>
      </w:r>
      <w:r w:rsidR="00222300">
        <w:rPr>
          <w:rFonts w:ascii="Times New Roman" w:hAnsi="Times New Roman" w:cs="Times New Roman"/>
        </w:rPr>
        <w:t>s</w:t>
      </w:r>
      <w:r w:rsidR="00C22C0E">
        <w:rPr>
          <w:rFonts w:ascii="Times New Roman" w:hAnsi="Times New Roman" w:cs="Times New Roman"/>
        </w:rPr>
        <w:t>][ADS</w:t>
      </w:r>
      <w:r w:rsidR="00222300">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or interests in </w:t>
      </w:r>
      <w:r w:rsidR="00C22C0E">
        <w:rPr>
          <w:rFonts w:ascii="Times New Roman" w:hAnsi="Times New Roman" w:cs="Times New Roman"/>
        </w:rPr>
        <w:t>[ordinary share</w:t>
      </w:r>
      <w:r w:rsidR="00222300">
        <w:rPr>
          <w:rFonts w:ascii="Times New Roman" w:hAnsi="Times New Roman" w:cs="Times New Roman"/>
        </w:rPr>
        <w:t>s</w:t>
      </w:r>
      <w:r w:rsidR="00C22C0E">
        <w:rPr>
          <w:rFonts w:ascii="Times New Roman" w:hAnsi="Times New Roman" w:cs="Times New Roman"/>
        </w:rPr>
        <w:t>][ADS</w:t>
      </w:r>
      <w:r w:rsidR="00222300">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received after the date of this prospectus from a selling </w:t>
      </w:r>
      <w:r w:rsidR="009244C7" w:rsidRPr="009244C7">
        <w:rPr>
          <w:rFonts w:ascii="Times New Roman" w:hAnsi="Times New Roman" w:cs="Times New Roman"/>
        </w:rPr>
        <w:t>securityholder</w:t>
      </w:r>
      <w:r w:rsidR="009244C7">
        <w:rPr>
          <w:rFonts w:ascii="Times New Roman" w:hAnsi="Times New Roman" w:cs="Times New Roman"/>
        </w:rPr>
        <w:t xml:space="preserve"> </w:t>
      </w:r>
      <w:r w:rsidRPr="00255353">
        <w:rPr>
          <w:rFonts w:ascii="Times New Roman" w:hAnsi="Times New Roman" w:cs="Times New Roman"/>
        </w:rPr>
        <w:t xml:space="preserve">as a gift, pledge, partnership distribution or other transfer, may, from time to time, sell, transfer or otherwise dispose of any or all of their </w:t>
      </w:r>
      <w:r w:rsidR="00C22C0E">
        <w:rPr>
          <w:rFonts w:ascii="Times New Roman" w:hAnsi="Times New Roman" w:cs="Times New Roman"/>
        </w:rPr>
        <w:t>[ordinary share</w:t>
      </w:r>
      <w:r w:rsidR="00D74E38">
        <w:rPr>
          <w:rFonts w:ascii="Times New Roman" w:hAnsi="Times New Roman" w:cs="Times New Roman"/>
        </w:rPr>
        <w:t>s</w:t>
      </w:r>
      <w:r w:rsidR="00C22C0E">
        <w:rPr>
          <w:rFonts w:ascii="Times New Roman" w:hAnsi="Times New Roman" w:cs="Times New Roman"/>
        </w:rPr>
        <w:t>][ADS</w:t>
      </w:r>
      <w:r w:rsidR="00D74E38">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or interests in </w:t>
      </w:r>
      <w:r w:rsidR="00C22C0E">
        <w:rPr>
          <w:rFonts w:ascii="Times New Roman" w:hAnsi="Times New Roman" w:cs="Times New Roman"/>
        </w:rPr>
        <w:t>[ordinary share</w:t>
      </w:r>
      <w:r w:rsidR="00D74E38">
        <w:rPr>
          <w:rFonts w:ascii="Times New Roman" w:hAnsi="Times New Roman" w:cs="Times New Roman"/>
        </w:rPr>
        <w:t>s</w:t>
      </w:r>
      <w:r w:rsidR="00C22C0E">
        <w:rPr>
          <w:rFonts w:ascii="Times New Roman" w:hAnsi="Times New Roman" w:cs="Times New Roman"/>
        </w:rPr>
        <w:t>][ADS</w:t>
      </w:r>
      <w:r w:rsidR="00D74E38">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on any stock exchange, market or trading facility on which the </w:t>
      </w:r>
      <w:r w:rsidR="00126D85">
        <w:rPr>
          <w:rFonts w:ascii="Times New Roman" w:hAnsi="Times New Roman" w:cs="Times New Roman"/>
        </w:rPr>
        <w:t>[ordinary shares][ADSs]</w:t>
      </w:r>
      <w:r w:rsidR="00D74E38" w:rsidRPr="00255353">
        <w:rPr>
          <w:rFonts w:ascii="Times New Roman" w:hAnsi="Times New Roman" w:cs="Times New Roman"/>
        </w:rPr>
        <w:t xml:space="preserve"> </w:t>
      </w:r>
      <w:r w:rsidRPr="00255353">
        <w:rPr>
          <w:rFonts w:ascii="Times New Roman" w:hAnsi="Times New Roman" w:cs="Times New Roman"/>
        </w:rPr>
        <w:t xml:space="preserve">are traded or in private transactions. These dispositions may be at fixed prices, at prevailing market prices at the time of sale, at prices related to the prevailing market price, at varying prices determined at the time of sale, or at negotiated prices. </w:t>
      </w:r>
    </w:p>
    <w:p w14:paraId="376A9860" w14:textId="6F5D0DBE"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w:t>
      </w:r>
      <w:r w:rsidR="009244C7" w:rsidRPr="009244C7">
        <w:rPr>
          <w:rFonts w:ascii="Times New Roman" w:hAnsi="Times New Roman" w:cs="Times New Roman"/>
        </w:rPr>
        <w:t xml:space="preserve">securityholders </w:t>
      </w:r>
      <w:r w:rsidRPr="00255353">
        <w:rPr>
          <w:rFonts w:ascii="Times New Roman" w:hAnsi="Times New Roman" w:cs="Times New Roman"/>
        </w:rPr>
        <w:t xml:space="preserve">may use any one or more of the following methods when disposing of </w:t>
      </w:r>
      <w:r w:rsidR="00126D85">
        <w:rPr>
          <w:rFonts w:ascii="Times New Roman" w:hAnsi="Times New Roman" w:cs="Times New Roman"/>
        </w:rPr>
        <w:t>[ordinary shares][ADSs]</w:t>
      </w:r>
      <w:r w:rsidR="00126D85" w:rsidRPr="00255353">
        <w:rPr>
          <w:rFonts w:ascii="Times New Roman" w:hAnsi="Times New Roman" w:cs="Times New Roman"/>
        </w:rPr>
        <w:t xml:space="preserve"> </w:t>
      </w:r>
      <w:r w:rsidRPr="00255353">
        <w:rPr>
          <w:rFonts w:ascii="Times New Roman" w:hAnsi="Times New Roman" w:cs="Times New Roman"/>
        </w:rPr>
        <w:t xml:space="preserve">or interests therein: </w:t>
      </w:r>
    </w:p>
    <w:p w14:paraId="51D07BBC" w14:textId="0794F608" w:rsidR="00267C0F" w:rsidRDefault="00267C0F"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Pr>
          <w:rFonts w:ascii="Times New Roman" w:hAnsi="Times New Roman" w:cs="Times New Roman"/>
          <w:color w:val="000000"/>
        </w:rPr>
        <w:t xml:space="preserve">distributions to members, partners, stockholders or other equityholders of the selling </w:t>
      </w:r>
      <w:r w:rsidR="0062749D" w:rsidRPr="0062749D">
        <w:rPr>
          <w:rFonts w:ascii="Times New Roman" w:hAnsi="Times New Roman" w:cs="Times New Roman"/>
          <w:color w:val="000000"/>
        </w:rPr>
        <w:t>securityholders</w:t>
      </w:r>
      <w:r>
        <w:rPr>
          <w:rFonts w:ascii="Times New Roman" w:hAnsi="Times New Roman" w:cs="Times New Roman"/>
          <w:color w:val="000000"/>
        </w:rPr>
        <w:t>;</w:t>
      </w:r>
    </w:p>
    <w:p w14:paraId="0F647983" w14:textId="0D35537C"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ordinary brokerage transactions and transactions in which the broker-dealer solicits purchasers; </w:t>
      </w:r>
    </w:p>
    <w:p w14:paraId="1C9659E1" w14:textId="59D41F2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block trades in which the broker-dealer will attempt to sell the </w:t>
      </w:r>
      <w:r w:rsidR="00750483">
        <w:rPr>
          <w:rFonts w:ascii="Times New Roman" w:hAnsi="Times New Roman" w:cs="Times New Roman"/>
          <w:color w:val="000000"/>
        </w:rPr>
        <w:t xml:space="preserve">[ordinary </w:t>
      </w:r>
      <w:r w:rsidRPr="00255353">
        <w:rPr>
          <w:rFonts w:ascii="Times New Roman" w:hAnsi="Times New Roman" w:cs="Times New Roman"/>
          <w:color w:val="000000"/>
        </w:rPr>
        <w:t>shares</w:t>
      </w:r>
      <w:r w:rsidR="00750483">
        <w:rPr>
          <w:rFonts w:ascii="Times New Roman" w:hAnsi="Times New Roman" w:cs="Times New Roman"/>
          <w:color w:val="000000"/>
        </w:rPr>
        <w:t>][ADSs]</w:t>
      </w:r>
      <w:r w:rsidRPr="00255353">
        <w:rPr>
          <w:rFonts w:ascii="Times New Roman" w:hAnsi="Times New Roman" w:cs="Times New Roman"/>
          <w:color w:val="000000"/>
        </w:rPr>
        <w:t xml:space="preserve"> as agent, but may position and resell a portion of the block as principal to facilitate the transaction; </w:t>
      </w:r>
    </w:p>
    <w:p w14:paraId="4F02C48F"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purchases by a broker-dealer as principal and resale by the broker-dealer for its account; </w:t>
      </w:r>
    </w:p>
    <w:p w14:paraId="383B8827"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an exchange distribution in accordance with the rules of the applicable exchange; </w:t>
      </w:r>
    </w:p>
    <w:p w14:paraId="5EE310B7"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privately negotiated transactions; </w:t>
      </w:r>
    </w:p>
    <w:p w14:paraId="4805206F"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short sales and settlement of short sales entered into after the effective date of the registration statement of which this prospectus is a part; </w:t>
      </w:r>
    </w:p>
    <w:p w14:paraId="07BA2801"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through the writing or settlement of options or other hedging transactions, whether through an options exchange or otherwise; </w:t>
      </w:r>
    </w:p>
    <w:p w14:paraId="0B9D7480" w14:textId="4EF727EA"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broker-dealers may agree with the selling </w:t>
      </w:r>
      <w:r w:rsidR="0062749D" w:rsidRPr="0062749D">
        <w:rPr>
          <w:rFonts w:ascii="Times New Roman" w:hAnsi="Times New Roman" w:cs="Times New Roman"/>
          <w:color w:val="000000"/>
        </w:rPr>
        <w:t xml:space="preserve">securityholders </w:t>
      </w:r>
      <w:r w:rsidRPr="00255353">
        <w:rPr>
          <w:rFonts w:ascii="Times New Roman" w:hAnsi="Times New Roman" w:cs="Times New Roman"/>
          <w:color w:val="000000"/>
        </w:rPr>
        <w:t xml:space="preserve">to sell a specified number of such shares at a stipulated price per </w:t>
      </w:r>
      <w:r w:rsidR="00A0415C">
        <w:rPr>
          <w:rFonts w:ascii="Times New Roman" w:hAnsi="Times New Roman" w:cs="Times New Roman"/>
          <w:color w:val="000000"/>
        </w:rPr>
        <w:t xml:space="preserve">[ordinary </w:t>
      </w:r>
      <w:r w:rsidRPr="00255353">
        <w:rPr>
          <w:rFonts w:ascii="Times New Roman" w:hAnsi="Times New Roman" w:cs="Times New Roman"/>
          <w:color w:val="000000"/>
        </w:rPr>
        <w:t>share</w:t>
      </w:r>
      <w:r w:rsidR="00A0415C">
        <w:rPr>
          <w:rFonts w:ascii="Times New Roman" w:hAnsi="Times New Roman" w:cs="Times New Roman"/>
          <w:color w:val="000000"/>
        </w:rPr>
        <w:t>][ADS]</w:t>
      </w:r>
      <w:r w:rsidRPr="00255353">
        <w:rPr>
          <w:rFonts w:ascii="Times New Roman" w:hAnsi="Times New Roman" w:cs="Times New Roman"/>
          <w:color w:val="000000"/>
        </w:rPr>
        <w:t xml:space="preserve">; </w:t>
      </w:r>
    </w:p>
    <w:p w14:paraId="328B0694"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a combination of any such methods of sale; and </w:t>
      </w:r>
    </w:p>
    <w:p w14:paraId="1A881876" w14:textId="77777777" w:rsidR="000C4BBD" w:rsidRPr="00255353" w:rsidRDefault="000C4BBD" w:rsidP="000C4BBD">
      <w:pPr>
        <w:pStyle w:val="ListParagraph"/>
        <w:numPr>
          <w:ilvl w:val="0"/>
          <w:numId w:val="25"/>
        </w:numPr>
        <w:spacing w:before="240" w:after="120" w:line="240" w:lineRule="auto"/>
        <w:ind w:left="994" w:hanging="274"/>
        <w:contextualSpacing w:val="0"/>
        <w:rPr>
          <w:rFonts w:ascii="Times New Roman" w:hAnsi="Times New Roman" w:cs="Times New Roman"/>
          <w:color w:val="000000"/>
        </w:rPr>
      </w:pPr>
      <w:r w:rsidRPr="00255353">
        <w:rPr>
          <w:rFonts w:ascii="Times New Roman" w:hAnsi="Times New Roman" w:cs="Times New Roman"/>
          <w:color w:val="000000"/>
        </w:rPr>
        <w:t xml:space="preserve">any other method permitted pursuant to applicable law. </w:t>
      </w:r>
    </w:p>
    <w:p w14:paraId="721F1F49" w14:textId="71E4D3B5"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w:t>
      </w:r>
      <w:r w:rsidR="00FA3AE8" w:rsidRPr="00FA3AE8">
        <w:rPr>
          <w:rFonts w:ascii="Times New Roman" w:hAnsi="Times New Roman" w:cs="Times New Roman"/>
        </w:rPr>
        <w:t xml:space="preserve">securityholders </w:t>
      </w:r>
      <w:r w:rsidRPr="00255353">
        <w:rPr>
          <w:rFonts w:ascii="Times New Roman" w:hAnsi="Times New Roman" w:cs="Times New Roman"/>
        </w:rPr>
        <w:t xml:space="preserve">may, from time to time, pledge or grant a security interest in some or all of the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owned by them and, if they default in the performance of their secured obligations, the pledgees or secured parties may offer and sell the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from time to time, under this prospectus, or under an amendment to this prospectus under Rule 424(b)(3) or other applicable provision of the Securities Act, amending the list of selling </w:t>
      </w:r>
      <w:r w:rsidR="00FA3AE8" w:rsidRPr="00FA3AE8">
        <w:rPr>
          <w:rFonts w:ascii="Times New Roman" w:hAnsi="Times New Roman" w:cs="Times New Roman"/>
        </w:rPr>
        <w:t xml:space="preserve">securityholders </w:t>
      </w:r>
      <w:r w:rsidRPr="00255353">
        <w:rPr>
          <w:rFonts w:ascii="Times New Roman" w:hAnsi="Times New Roman" w:cs="Times New Roman"/>
        </w:rPr>
        <w:t xml:space="preserve">to include the pledgee, transferee or other successors in interest as selling </w:t>
      </w:r>
      <w:r w:rsidR="00FA3AE8" w:rsidRPr="00FA3AE8">
        <w:rPr>
          <w:rFonts w:ascii="Times New Roman" w:hAnsi="Times New Roman" w:cs="Times New Roman"/>
        </w:rPr>
        <w:t xml:space="preserve">securityholders </w:t>
      </w:r>
      <w:r w:rsidRPr="00255353">
        <w:rPr>
          <w:rFonts w:ascii="Times New Roman" w:hAnsi="Times New Roman" w:cs="Times New Roman"/>
        </w:rPr>
        <w:t xml:space="preserve">under this prospectus. The selling </w:t>
      </w:r>
      <w:r w:rsidR="00AD4937" w:rsidRPr="00AD4937">
        <w:rPr>
          <w:rFonts w:ascii="Times New Roman" w:hAnsi="Times New Roman" w:cs="Times New Roman"/>
        </w:rPr>
        <w:t xml:space="preserve">securityholders </w:t>
      </w:r>
      <w:r w:rsidRPr="00255353">
        <w:rPr>
          <w:rFonts w:ascii="Times New Roman" w:hAnsi="Times New Roman" w:cs="Times New Roman"/>
        </w:rPr>
        <w:t xml:space="preserve">also may transfer the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in other circumstances, in which case the transferees, pledgees or other successors in interest will be the selling </w:t>
      </w:r>
      <w:r w:rsidR="00AD4937" w:rsidRPr="00AD4937">
        <w:rPr>
          <w:rFonts w:ascii="Times New Roman" w:hAnsi="Times New Roman" w:cs="Times New Roman"/>
        </w:rPr>
        <w:t xml:space="preserve">securityholders </w:t>
      </w:r>
      <w:r w:rsidRPr="00255353">
        <w:rPr>
          <w:rFonts w:ascii="Times New Roman" w:hAnsi="Times New Roman" w:cs="Times New Roman"/>
        </w:rPr>
        <w:t xml:space="preserve">for purposes of this prospectus. </w:t>
      </w:r>
    </w:p>
    <w:p w14:paraId="2F002B1B" w14:textId="6AAD72E9"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In connection with the sale of our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or interests therein, the selling </w:t>
      </w:r>
      <w:r w:rsidR="00AD4937" w:rsidRPr="00AD4937">
        <w:rPr>
          <w:rFonts w:ascii="Times New Roman" w:hAnsi="Times New Roman" w:cs="Times New Roman"/>
        </w:rPr>
        <w:t xml:space="preserve">securityholders </w:t>
      </w:r>
      <w:r w:rsidRPr="00255353">
        <w:rPr>
          <w:rFonts w:ascii="Times New Roman" w:hAnsi="Times New Roman" w:cs="Times New Roman"/>
        </w:rPr>
        <w:t xml:space="preserve">may enter into hedging transactions with broker-dealers or other financial institutions, which may in turn engage in short sales of the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in the course of hedging the positions they assume. The selling </w:t>
      </w:r>
      <w:r w:rsidR="00AD4937" w:rsidRPr="00AD4937">
        <w:rPr>
          <w:rFonts w:ascii="Times New Roman" w:hAnsi="Times New Roman" w:cs="Times New Roman"/>
        </w:rPr>
        <w:t xml:space="preserve">securityholders </w:t>
      </w:r>
      <w:r w:rsidRPr="00255353">
        <w:rPr>
          <w:rFonts w:ascii="Times New Roman" w:hAnsi="Times New Roman" w:cs="Times New Roman"/>
        </w:rPr>
        <w:t xml:space="preserve">may also sell our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short and deliver these securities to close out their short positions, or loan or pledge the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to broker-dealers that in turn may sell these securities. The selling </w:t>
      </w:r>
      <w:r w:rsidR="00235F04" w:rsidRPr="00235F04">
        <w:rPr>
          <w:rFonts w:ascii="Times New Roman" w:hAnsi="Times New Roman" w:cs="Times New Roman"/>
        </w:rPr>
        <w:t xml:space="preserve">securityholders </w:t>
      </w:r>
      <w:r w:rsidRPr="00255353">
        <w:rPr>
          <w:rFonts w:ascii="Times New Roman" w:hAnsi="Times New Roman" w:cs="Times New Roman"/>
        </w:rPr>
        <w:t xml:space="preserve">may also enter into option or other transactions with broker-dealers or other financial institutions or the creation of one or more derivative securities which require the delivery to such broker-dealer or other financial institution of </w:t>
      </w:r>
      <w:r w:rsidR="00A0415C">
        <w:rPr>
          <w:rFonts w:ascii="Times New Roman" w:hAnsi="Times New Roman" w:cs="Times New Roman"/>
        </w:rPr>
        <w:t>securities</w:t>
      </w:r>
      <w:r w:rsidR="00A0415C" w:rsidRPr="00255353">
        <w:rPr>
          <w:rFonts w:ascii="Times New Roman" w:hAnsi="Times New Roman" w:cs="Times New Roman"/>
        </w:rPr>
        <w:t xml:space="preserve"> </w:t>
      </w:r>
      <w:r w:rsidRPr="00255353">
        <w:rPr>
          <w:rFonts w:ascii="Times New Roman" w:hAnsi="Times New Roman" w:cs="Times New Roman"/>
        </w:rPr>
        <w:t xml:space="preserve">offered by this prospectus, which </w:t>
      </w:r>
      <w:r w:rsidR="00A0415C">
        <w:rPr>
          <w:rFonts w:ascii="Times New Roman" w:hAnsi="Times New Roman" w:cs="Times New Roman"/>
        </w:rPr>
        <w:t>securities</w:t>
      </w:r>
      <w:r w:rsidR="00A0415C" w:rsidRPr="00255353">
        <w:rPr>
          <w:rFonts w:ascii="Times New Roman" w:hAnsi="Times New Roman" w:cs="Times New Roman"/>
        </w:rPr>
        <w:t xml:space="preserve"> </w:t>
      </w:r>
      <w:r w:rsidRPr="00255353">
        <w:rPr>
          <w:rFonts w:ascii="Times New Roman" w:hAnsi="Times New Roman" w:cs="Times New Roman"/>
        </w:rPr>
        <w:t xml:space="preserve">such broker-dealer or other financial institution may resell pursuant to this prospectus (as supplemented or amended to reflect such transaction). </w:t>
      </w:r>
    </w:p>
    <w:p w14:paraId="348280C1" w14:textId="40527393"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aggregate proceeds to the selling </w:t>
      </w:r>
      <w:r w:rsidR="00235F04" w:rsidRPr="00235F04">
        <w:rPr>
          <w:rFonts w:ascii="Times New Roman" w:hAnsi="Times New Roman" w:cs="Times New Roman"/>
        </w:rPr>
        <w:t xml:space="preserve">securityholders </w:t>
      </w:r>
      <w:r w:rsidRPr="00255353">
        <w:rPr>
          <w:rFonts w:ascii="Times New Roman" w:hAnsi="Times New Roman" w:cs="Times New Roman"/>
        </w:rPr>
        <w:t xml:space="preserve">from the sale of the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offered by them will be the purchase price of the </w:t>
      </w:r>
      <w:r w:rsidR="00C22C0E">
        <w:rPr>
          <w:rFonts w:ascii="Times New Roman" w:hAnsi="Times New Roman" w:cs="Times New Roman"/>
        </w:rPr>
        <w:t>[ordinary share</w:t>
      </w:r>
      <w:r w:rsidR="00A0415C">
        <w:rPr>
          <w:rFonts w:ascii="Times New Roman" w:hAnsi="Times New Roman" w:cs="Times New Roman"/>
        </w:rPr>
        <w:t>s</w:t>
      </w:r>
      <w:r w:rsidR="00C22C0E">
        <w:rPr>
          <w:rFonts w:ascii="Times New Roman" w:hAnsi="Times New Roman" w:cs="Times New Roman"/>
        </w:rPr>
        <w:t>][ADS</w:t>
      </w:r>
      <w:r w:rsidR="00A0415C">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less discounts or commissions, if any. Each of the selling </w:t>
      </w:r>
      <w:r w:rsidR="00235F04" w:rsidRPr="00235F04">
        <w:rPr>
          <w:rFonts w:ascii="Times New Roman" w:hAnsi="Times New Roman" w:cs="Times New Roman"/>
        </w:rPr>
        <w:t xml:space="preserve">securityholders </w:t>
      </w:r>
      <w:r w:rsidRPr="00255353">
        <w:rPr>
          <w:rFonts w:ascii="Times New Roman" w:hAnsi="Times New Roman" w:cs="Times New Roman"/>
        </w:rPr>
        <w:t xml:space="preserve">reserves the right to accept and, together with their agents from time to time, to reject, in whole or in part, any proposed purchase of </w:t>
      </w:r>
      <w:r w:rsidR="00C22C0E">
        <w:rPr>
          <w:rFonts w:ascii="Times New Roman" w:hAnsi="Times New Roman" w:cs="Times New Roman"/>
        </w:rPr>
        <w:t>[ordinary share</w:t>
      </w:r>
      <w:r w:rsidR="00832870">
        <w:rPr>
          <w:rFonts w:ascii="Times New Roman" w:hAnsi="Times New Roman" w:cs="Times New Roman"/>
        </w:rPr>
        <w:t>s</w:t>
      </w:r>
      <w:r w:rsidR="00C22C0E">
        <w:rPr>
          <w:rFonts w:ascii="Times New Roman" w:hAnsi="Times New Roman" w:cs="Times New Roman"/>
        </w:rPr>
        <w:t>][ADS</w:t>
      </w:r>
      <w:r w:rsidR="00832870">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to be made directly or through agents. We will not receive any of the proceeds from this offering. [Upon any exercise of the pre-funded warrants [or warrants] by payment of cash, however, we will receive the exercise price of the pre-funded warrants [or warrants].] </w:t>
      </w:r>
    </w:p>
    <w:p w14:paraId="0D922CB4" w14:textId="073C8A6E"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w:t>
      </w:r>
      <w:r w:rsidR="00BF6DDD" w:rsidRPr="00BF6DDD">
        <w:rPr>
          <w:rFonts w:ascii="Times New Roman" w:hAnsi="Times New Roman" w:cs="Times New Roman"/>
        </w:rPr>
        <w:t xml:space="preserve">securityholders </w:t>
      </w:r>
      <w:r w:rsidRPr="00255353">
        <w:rPr>
          <w:rFonts w:ascii="Times New Roman" w:hAnsi="Times New Roman" w:cs="Times New Roman"/>
        </w:rPr>
        <w:t xml:space="preserve">also may resell all or a portion of the </w:t>
      </w:r>
      <w:r w:rsidR="00832870">
        <w:rPr>
          <w:rFonts w:ascii="Times New Roman" w:hAnsi="Times New Roman" w:cs="Times New Roman"/>
        </w:rPr>
        <w:t xml:space="preserve">[ordinary </w:t>
      </w:r>
      <w:r w:rsidRPr="00255353">
        <w:rPr>
          <w:rFonts w:ascii="Times New Roman" w:hAnsi="Times New Roman" w:cs="Times New Roman"/>
        </w:rPr>
        <w:t>shares</w:t>
      </w:r>
      <w:r w:rsidR="00832870">
        <w:rPr>
          <w:rFonts w:ascii="Times New Roman" w:hAnsi="Times New Roman" w:cs="Times New Roman"/>
        </w:rPr>
        <w:t>][ADSs]</w:t>
      </w:r>
      <w:r w:rsidRPr="00255353">
        <w:rPr>
          <w:rFonts w:ascii="Times New Roman" w:hAnsi="Times New Roman" w:cs="Times New Roman"/>
        </w:rPr>
        <w:t xml:space="preserve"> in open market transactions in reliance upon Rule 144 under the Securities Act, provided that they meet the criteria and conform to the requirements of that rule, or another available exemption from the registration requirements under the Securities Act. </w:t>
      </w:r>
    </w:p>
    <w:p w14:paraId="3BC9BEE5" w14:textId="6C20D5F8"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The selling </w:t>
      </w:r>
      <w:r w:rsidR="00BF6DDD" w:rsidRPr="00BF6DDD">
        <w:rPr>
          <w:rFonts w:ascii="Times New Roman" w:hAnsi="Times New Roman" w:cs="Times New Roman"/>
        </w:rPr>
        <w:t xml:space="preserve">securityholders </w:t>
      </w:r>
      <w:r w:rsidRPr="00255353">
        <w:rPr>
          <w:rFonts w:ascii="Times New Roman" w:hAnsi="Times New Roman" w:cs="Times New Roman"/>
        </w:rPr>
        <w:t xml:space="preserve">and any underwriters, broker-dealers or agents that participate in the sale of the </w:t>
      </w:r>
      <w:r w:rsidR="00C22C0E">
        <w:rPr>
          <w:rFonts w:ascii="Times New Roman" w:hAnsi="Times New Roman" w:cs="Times New Roman"/>
        </w:rPr>
        <w:t>[ordinary share</w:t>
      </w:r>
      <w:r w:rsidR="00832870">
        <w:rPr>
          <w:rFonts w:ascii="Times New Roman" w:hAnsi="Times New Roman" w:cs="Times New Roman"/>
        </w:rPr>
        <w:t>s</w:t>
      </w:r>
      <w:r w:rsidR="00C22C0E">
        <w:rPr>
          <w:rFonts w:ascii="Times New Roman" w:hAnsi="Times New Roman" w:cs="Times New Roman"/>
        </w:rPr>
        <w:t>][ADS</w:t>
      </w:r>
      <w:r w:rsidR="00832870">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or interests therein may be “underwriters” within the meaning of Section 2(a)(11) of the Securities Act (it being understood that the selling </w:t>
      </w:r>
      <w:r w:rsidR="00BF6DDD" w:rsidRPr="00BF6DDD">
        <w:rPr>
          <w:rFonts w:ascii="Times New Roman" w:hAnsi="Times New Roman" w:cs="Times New Roman"/>
        </w:rPr>
        <w:t xml:space="preserve">securityholders </w:t>
      </w:r>
      <w:r w:rsidRPr="00255353">
        <w:rPr>
          <w:rFonts w:ascii="Times New Roman" w:hAnsi="Times New Roman" w:cs="Times New Roman"/>
        </w:rPr>
        <w:t xml:space="preserve">shall not be deemed to be underwriters solely as a result of their participation in this offering). Any discounts, commissions, concessions or profit they earn on any resale of the </w:t>
      </w:r>
      <w:r w:rsidR="00832870">
        <w:rPr>
          <w:rFonts w:ascii="Times New Roman" w:hAnsi="Times New Roman" w:cs="Times New Roman"/>
        </w:rPr>
        <w:t xml:space="preserve">[ordinary </w:t>
      </w:r>
      <w:r w:rsidRPr="00255353">
        <w:rPr>
          <w:rFonts w:ascii="Times New Roman" w:hAnsi="Times New Roman" w:cs="Times New Roman"/>
        </w:rPr>
        <w:t>shares</w:t>
      </w:r>
      <w:r w:rsidR="00832870">
        <w:rPr>
          <w:rFonts w:ascii="Times New Roman" w:hAnsi="Times New Roman" w:cs="Times New Roman"/>
        </w:rPr>
        <w:t>][ADSs]</w:t>
      </w:r>
      <w:r w:rsidRPr="00255353">
        <w:rPr>
          <w:rFonts w:ascii="Times New Roman" w:hAnsi="Times New Roman" w:cs="Times New Roman"/>
        </w:rPr>
        <w:t xml:space="preserve"> may be underwriting discounts and commissions under the Securities Act. Selling </w:t>
      </w:r>
      <w:r w:rsidR="00BF6DDD" w:rsidRPr="00BF6DDD">
        <w:rPr>
          <w:rFonts w:ascii="Times New Roman" w:hAnsi="Times New Roman" w:cs="Times New Roman"/>
        </w:rPr>
        <w:t xml:space="preserve">securityholders </w:t>
      </w:r>
      <w:r w:rsidRPr="00255353">
        <w:rPr>
          <w:rFonts w:ascii="Times New Roman" w:hAnsi="Times New Roman" w:cs="Times New Roman"/>
        </w:rPr>
        <w:t xml:space="preserve">who are “underwriters” within the meaning of Section 2(a)(11) of the Securities Act will be subject to the prospectus delivery requirements of the Securities Act. </w:t>
      </w:r>
    </w:p>
    <w:p w14:paraId="45AD384C" w14:textId="2EE0618B"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To the extent required, the </w:t>
      </w:r>
      <w:r w:rsidR="00C22C0E">
        <w:rPr>
          <w:rFonts w:ascii="Times New Roman" w:hAnsi="Times New Roman" w:cs="Times New Roman"/>
        </w:rPr>
        <w:t>[ordinary share</w:t>
      </w:r>
      <w:r w:rsidR="00750483">
        <w:rPr>
          <w:rFonts w:ascii="Times New Roman" w:hAnsi="Times New Roman" w:cs="Times New Roman"/>
        </w:rPr>
        <w:t>s</w:t>
      </w:r>
      <w:r w:rsidR="00C22C0E">
        <w:rPr>
          <w:rFonts w:ascii="Times New Roman" w:hAnsi="Times New Roman" w:cs="Times New Roman"/>
        </w:rPr>
        <w:t>][ADS</w:t>
      </w:r>
      <w:r w:rsidR="00750483">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to be sold, the names of the selling </w:t>
      </w:r>
      <w:r w:rsidR="00BF6DDD" w:rsidRPr="00BF6DDD">
        <w:rPr>
          <w:rFonts w:ascii="Times New Roman" w:hAnsi="Times New Roman" w:cs="Times New Roman"/>
        </w:rPr>
        <w:t>securityholders</w:t>
      </w:r>
      <w:r w:rsidRPr="00255353">
        <w:rPr>
          <w:rFonts w:ascii="Times New Roman" w:hAnsi="Times New Roman" w:cs="Times New Roman"/>
        </w:rPr>
        <w:t xml:space="preserve">, the respective purchase prices and public offering prices, the names of any agent, dealer or underwriter, and any applicable commissions or discounts with respect to a particular offer will be set forth in an accompanying prospectus supplement or, if appropriate, a post-effective amendment to the registration statement that includes this prospectus. </w:t>
      </w:r>
    </w:p>
    <w:p w14:paraId="2155A509" w14:textId="427889DC"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In order to comply with the securities laws of some states, if applicable, the </w:t>
      </w:r>
      <w:r w:rsidR="00C22C0E">
        <w:rPr>
          <w:rFonts w:ascii="Times New Roman" w:hAnsi="Times New Roman" w:cs="Times New Roman"/>
        </w:rPr>
        <w:t>[ordinary share</w:t>
      </w:r>
      <w:r w:rsidR="00750483">
        <w:rPr>
          <w:rFonts w:ascii="Times New Roman" w:hAnsi="Times New Roman" w:cs="Times New Roman"/>
        </w:rPr>
        <w:t>s</w:t>
      </w:r>
      <w:r w:rsidR="00C22C0E">
        <w:rPr>
          <w:rFonts w:ascii="Times New Roman" w:hAnsi="Times New Roman" w:cs="Times New Roman"/>
        </w:rPr>
        <w:t>][ADS</w:t>
      </w:r>
      <w:r w:rsidR="00750483">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may be sold in these jurisdictions only through registered or licensed brokers or dealers. In addition, in some states the </w:t>
      </w:r>
      <w:r w:rsidR="00C22C0E">
        <w:rPr>
          <w:rFonts w:ascii="Times New Roman" w:hAnsi="Times New Roman" w:cs="Times New Roman"/>
        </w:rPr>
        <w:t>[ordinary share</w:t>
      </w:r>
      <w:r w:rsidR="00750483">
        <w:rPr>
          <w:rFonts w:ascii="Times New Roman" w:hAnsi="Times New Roman" w:cs="Times New Roman"/>
        </w:rPr>
        <w:t>s</w:t>
      </w:r>
      <w:r w:rsidR="00C22C0E">
        <w:rPr>
          <w:rFonts w:ascii="Times New Roman" w:hAnsi="Times New Roman" w:cs="Times New Roman"/>
        </w:rPr>
        <w:t>][ADS</w:t>
      </w:r>
      <w:r w:rsidR="00750483">
        <w:rPr>
          <w:rFonts w:ascii="Times New Roman" w:hAnsi="Times New Roman" w:cs="Times New Roman"/>
        </w:rPr>
        <w:t>s</w:t>
      </w:r>
      <w:r w:rsidR="00C22C0E">
        <w:rPr>
          <w:rFonts w:ascii="Times New Roman" w:hAnsi="Times New Roman" w:cs="Times New Roman"/>
        </w:rPr>
        <w:t>]</w:t>
      </w:r>
      <w:r w:rsidRPr="00255353">
        <w:rPr>
          <w:rFonts w:ascii="Times New Roman" w:hAnsi="Times New Roman" w:cs="Times New Roman"/>
        </w:rPr>
        <w:t xml:space="preserve"> may not be sold unless </w:t>
      </w:r>
      <w:r w:rsidR="00750483">
        <w:rPr>
          <w:rFonts w:ascii="Times New Roman" w:hAnsi="Times New Roman" w:cs="Times New Roman"/>
        </w:rPr>
        <w:t>such securities have</w:t>
      </w:r>
      <w:r w:rsidRPr="00255353">
        <w:rPr>
          <w:rFonts w:ascii="Times New Roman" w:hAnsi="Times New Roman" w:cs="Times New Roman"/>
        </w:rPr>
        <w:t xml:space="preserve"> been registered or qualified for sale or an exemption from registration or qualification requirements is available and is complied with. </w:t>
      </w:r>
    </w:p>
    <w:p w14:paraId="6DA9138C" w14:textId="09EBF017"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We have advised the selling </w:t>
      </w:r>
      <w:r w:rsidR="00BF6DDD" w:rsidRPr="00BF6DDD">
        <w:rPr>
          <w:rFonts w:ascii="Times New Roman" w:hAnsi="Times New Roman" w:cs="Times New Roman"/>
        </w:rPr>
        <w:t xml:space="preserve">securityholders </w:t>
      </w:r>
      <w:r w:rsidRPr="00255353">
        <w:rPr>
          <w:rFonts w:ascii="Times New Roman" w:hAnsi="Times New Roman" w:cs="Times New Roman"/>
        </w:rPr>
        <w:t xml:space="preserve">that the anti-manipulation rules of Regulation M under the Exchange Act may apply to sales of </w:t>
      </w:r>
      <w:r w:rsidR="00750483">
        <w:rPr>
          <w:rFonts w:ascii="Times New Roman" w:hAnsi="Times New Roman" w:cs="Times New Roman"/>
        </w:rPr>
        <w:t xml:space="preserve">[ordinary </w:t>
      </w:r>
      <w:r w:rsidRPr="00255353">
        <w:rPr>
          <w:rFonts w:ascii="Times New Roman" w:hAnsi="Times New Roman" w:cs="Times New Roman"/>
        </w:rPr>
        <w:t>shares</w:t>
      </w:r>
      <w:r w:rsidR="00750483">
        <w:rPr>
          <w:rFonts w:ascii="Times New Roman" w:hAnsi="Times New Roman" w:cs="Times New Roman"/>
        </w:rPr>
        <w:t>][ADSs]</w:t>
      </w:r>
      <w:r w:rsidRPr="00255353">
        <w:rPr>
          <w:rFonts w:ascii="Times New Roman" w:hAnsi="Times New Roman" w:cs="Times New Roman"/>
        </w:rPr>
        <w:t xml:space="preserve"> in the market and to the activities of the selling </w:t>
      </w:r>
      <w:r w:rsidR="00BF6DDD" w:rsidRPr="00BF6DDD">
        <w:rPr>
          <w:rFonts w:ascii="Times New Roman" w:hAnsi="Times New Roman" w:cs="Times New Roman"/>
        </w:rPr>
        <w:t xml:space="preserve">securityholders </w:t>
      </w:r>
      <w:r w:rsidRPr="00255353">
        <w:rPr>
          <w:rFonts w:ascii="Times New Roman" w:hAnsi="Times New Roman" w:cs="Times New Roman"/>
        </w:rPr>
        <w:t xml:space="preserve">and their affiliates. In addition, to the extent applicable, we will make copies of this prospectus (as it may be supplemented or amended from time to time) available to the selling </w:t>
      </w:r>
      <w:r w:rsidR="005A4E6C" w:rsidRPr="005A4E6C">
        <w:rPr>
          <w:rFonts w:ascii="Times New Roman" w:hAnsi="Times New Roman" w:cs="Times New Roman"/>
        </w:rPr>
        <w:t xml:space="preserve">securityholders </w:t>
      </w:r>
      <w:r w:rsidRPr="00255353">
        <w:rPr>
          <w:rFonts w:ascii="Times New Roman" w:hAnsi="Times New Roman" w:cs="Times New Roman"/>
        </w:rPr>
        <w:t xml:space="preserve">for the purpose of satisfying the prospectus delivery requirements of the Securities Act. The selling </w:t>
      </w:r>
      <w:r w:rsidR="005A4E6C" w:rsidRPr="005A4E6C">
        <w:rPr>
          <w:rFonts w:ascii="Times New Roman" w:hAnsi="Times New Roman" w:cs="Times New Roman"/>
        </w:rPr>
        <w:t xml:space="preserve">securityholders </w:t>
      </w:r>
      <w:r w:rsidRPr="00255353">
        <w:rPr>
          <w:rFonts w:ascii="Times New Roman" w:hAnsi="Times New Roman" w:cs="Times New Roman"/>
        </w:rPr>
        <w:t xml:space="preserve">may indemnify any broker-dealer that participates in transactions involving the sale of the </w:t>
      </w:r>
      <w:r w:rsidR="00750483">
        <w:rPr>
          <w:rFonts w:ascii="Times New Roman" w:hAnsi="Times New Roman" w:cs="Times New Roman"/>
        </w:rPr>
        <w:t xml:space="preserve">[ordinary </w:t>
      </w:r>
      <w:r w:rsidRPr="00255353">
        <w:rPr>
          <w:rFonts w:ascii="Times New Roman" w:hAnsi="Times New Roman" w:cs="Times New Roman"/>
        </w:rPr>
        <w:t>shares</w:t>
      </w:r>
      <w:r w:rsidR="00750483">
        <w:rPr>
          <w:rFonts w:ascii="Times New Roman" w:hAnsi="Times New Roman" w:cs="Times New Roman"/>
        </w:rPr>
        <w:t>][ADSs]</w:t>
      </w:r>
      <w:r w:rsidRPr="00255353">
        <w:rPr>
          <w:rFonts w:ascii="Times New Roman" w:hAnsi="Times New Roman" w:cs="Times New Roman"/>
        </w:rPr>
        <w:t xml:space="preserve"> against certain liabilities, including liabilities arising under the Securities Act. </w:t>
      </w:r>
    </w:p>
    <w:p w14:paraId="0A5FD46E" w14:textId="2D6ACAB8"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We have agreed to indemnify the selling </w:t>
      </w:r>
      <w:r w:rsidR="005A4E6C" w:rsidRPr="005A4E6C">
        <w:rPr>
          <w:rFonts w:ascii="Times New Roman" w:hAnsi="Times New Roman" w:cs="Times New Roman"/>
        </w:rPr>
        <w:t xml:space="preserve">securityholders </w:t>
      </w:r>
      <w:r w:rsidRPr="00255353">
        <w:rPr>
          <w:rFonts w:ascii="Times New Roman" w:hAnsi="Times New Roman" w:cs="Times New Roman"/>
        </w:rPr>
        <w:t xml:space="preserve">against liabilities, including liabilities under the Securities Act and state securities laws, relating to the registration of the </w:t>
      </w:r>
      <w:r w:rsidR="00750483">
        <w:rPr>
          <w:rFonts w:ascii="Times New Roman" w:hAnsi="Times New Roman" w:cs="Times New Roman"/>
        </w:rPr>
        <w:t xml:space="preserve">[ordinary </w:t>
      </w:r>
      <w:r w:rsidRPr="00255353">
        <w:rPr>
          <w:rFonts w:ascii="Times New Roman" w:hAnsi="Times New Roman" w:cs="Times New Roman"/>
        </w:rPr>
        <w:t>shares</w:t>
      </w:r>
      <w:r w:rsidR="00750483">
        <w:rPr>
          <w:rFonts w:ascii="Times New Roman" w:hAnsi="Times New Roman" w:cs="Times New Roman"/>
        </w:rPr>
        <w:t>][ADSs]</w:t>
      </w:r>
      <w:r w:rsidRPr="00255353">
        <w:rPr>
          <w:rFonts w:ascii="Times New Roman" w:hAnsi="Times New Roman" w:cs="Times New Roman"/>
        </w:rPr>
        <w:t xml:space="preserve"> offered by this prospectus. </w:t>
      </w:r>
    </w:p>
    <w:p w14:paraId="19652919" w14:textId="0794EBDA" w:rsidR="000C4BBD" w:rsidRPr="00255353" w:rsidRDefault="000C4BBD" w:rsidP="000C4BBD">
      <w:pPr>
        <w:spacing w:before="240"/>
        <w:rPr>
          <w:rFonts w:ascii="Times New Roman" w:hAnsi="Times New Roman" w:cs="Times New Roman"/>
        </w:rPr>
      </w:pPr>
      <w:r w:rsidRPr="00255353">
        <w:rPr>
          <w:rFonts w:ascii="Times New Roman" w:hAnsi="Times New Roman" w:cs="Times New Roman"/>
        </w:rPr>
        <w:t xml:space="preserve">We have agreed with the selling </w:t>
      </w:r>
      <w:r w:rsidR="005A4E6C" w:rsidRPr="005A4E6C">
        <w:rPr>
          <w:rFonts w:ascii="Times New Roman" w:hAnsi="Times New Roman" w:cs="Times New Roman"/>
        </w:rPr>
        <w:t xml:space="preserve">securityholders </w:t>
      </w:r>
      <w:r w:rsidRPr="00255353">
        <w:rPr>
          <w:rFonts w:ascii="Times New Roman" w:hAnsi="Times New Roman" w:cs="Times New Roman"/>
        </w:rPr>
        <w:t xml:space="preserve">to use commercially reasonable efforts to cause the registration statement of which this prospectus constitutes a part to become effective and to remain continuously effective until the earlier of: (i) the date on which the selling </w:t>
      </w:r>
      <w:r w:rsidR="005A4E6C" w:rsidRPr="005A4E6C">
        <w:rPr>
          <w:rFonts w:ascii="Times New Roman" w:hAnsi="Times New Roman" w:cs="Times New Roman"/>
        </w:rPr>
        <w:t xml:space="preserve">securityholders </w:t>
      </w:r>
      <w:r w:rsidRPr="00255353">
        <w:rPr>
          <w:rFonts w:ascii="Times New Roman" w:hAnsi="Times New Roman" w:cs="Times New Roman"/>
        </w:rPr>
        <w:t xml:space="preserve">shall have resold or otherwise disposed of all the </w:t>
      </w:r>
      <w:r w:rsidR="00750483">
        <w:rPr>
          <w:rFonts w:ascii="Times New Roman" w:hAnsi="Times New Roman" w:cs="Times New Roman"/>
        </w:rPr>
        <w:t xml:space="preserve">[ordinary </w:t>
      </w:r>
      <w:r w:rsidRPr="00255353">
        <w:rPr>
          <w:rFonts w:ascii="Times New Roman" w:hAnsi="Times New Roman" w:cs="Times New Roman"/>
        </w:rPr>
        <w:t>shares</w:t>
      </w:r>
      <w:r w:rsidR="00750483">
        <w:rPr>
          <w:rFonts w:ascii="Times New Roman" w:hAnsi="Times New Roman" w:cs="Times New Roman"/>
        </w:rPr>
        <w:t>][ADSs]</w:t>
      </w:r>
      <w:r w:rsidRPr="00255353">
        <w:rPr>
          <w:rFonts w:ascii="Times New Roman" w:hAnsi="Times New Roman" w:cs="Times New Roman"/>
        </w:rPr>
        <w:t xml:space="preserve"> covered by this prospectus and (ii) the date on which the </w:t>
      </w:r>
      <w:r w:rsidR="00750483">
        <w:rPr>
          <w:rFonts w:ascii="Times New Roman" w:hAnsi="Times New Roman" w:cs="Times New Roman"/>
        </w:rPr>
        <w:t xml:space="preserve">[ordinary </w:t>
      </w:r>
      <w:r w:rsidRPr="00255353">
        <w:rPr>
          <w:rFonts w:ascii="Times New Roman" w:hAnsi="Times New Roman" w:cs="Times New Roman"/>
        </w:rPr>
        <w:t>shares</w:t>
      </w:r>
      <w:r w:rsidR="00750483">
        <w:rPr>
          <w:rFonts w:ascii="Times New Roman" w:hAnsi="Times New Roman" w:cs="Times New Roman"/>
        </w:rPr>
        <w:t>][ADSs]</w:t>
      </w:r>
      <w:r w:rsidRPr="00255353">
        <w:rPr>
          <w:rFonts w:ascii="Times New Roman" w:hAnsi="Times New Roman" w:cs="Times New Roman"/>
        </w:rPr>
        <w:t xml:space="preserve"> covered by this prospectus no longer constitute “Registrable Securities” as such term is defined in the Registration Rights Agreement, such that they may be resold by the selling </w:t>
      </w:r>
      <w:r w:rsidR="005A4E6C" w:rsidRPr="005A4E6C">
        <w:rPr>
          <w:rFonts w:ascii="Times New Roman" w:hAnsi="Times New Roman" w:cs="Times New Roman"/>
        </w:rPr>
        <w:t xml:space="preserve">securityholders </w:t>
      </w:r>
      <w:r w:rsidRPr="00255353">
        <w:rPr>
          <w:rFonts w:ascii="Times New Roman" w:hAnsi="Times New Roman" w:cs="Times New Roman"/>
        </w:rPr>
        <w:t xml:space="preserve">without registration and without regard to any volume or manner-of-sale limitations and without current public information pursuant to Rule 144 under the Securities Act or any other rule of similar effect. </w:t>
      </w:r>
    </w:p>
    <w:p w14:paraId="34FC67FF" w14:textId="32E33E3D" w:rsidR="005B28FD" w:rsidRDefault="005B28FD" w:rsidP="006D0CF5">
      <w:pPr>
        <w:spacing w:after="0" w:line="240" w:lineRule="auto"/>
        <w:jc w:val="center"/>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br w:type="page"/>
      </w:r>
    </w:p>
    <w:p w14:paraId="40FC10E6" w14:textId="624E8B1B" w:rsidR="00B35FD8" w:rsidRPr="0061066F" w:rsidRDefault="006D0CF5" w:rsidP="006D0CF5">
      <w:pPr>
        <w:spacing w:after="0" w:line="240" w:lineRule="auto"/>
        <w:jc w:val="center"/>
        <w:rPr>
          <w:rFonts w:ascii="Times New Roman" w:eastAsia="Times New Roman" w:hAnsi="Times New Roman" w:cs="Times New Roman"/>
          <w:b/>
          <w:bCs/>
          <w:color w:val="000000"/>
          <w:u w:val="single"/>
        </w:rPr>
      </w:pPr>
      <w:r w:rsidRPr="0061066F">
        <w:rPr>
          <w:rFonts w:ascii="Times New Roman" w:eastAsia="Times New Roman" w:hAnsi="Times New Roman" w:cs="Times New Roman"/>
          <w:b/>
          <w:bCs/>
          <w:color w:val="000000"/>
          <w:u w:val="single"/>
        </w:rPr>
        <w:t xml:space="preserve">Exhibit </w:t>
      </w:r>
      <w:r w:rsidR="0050315C">
        <w:rPr>
          <w:rFonts w:ascii="Times New Roman" w:eastAsia="Times New Roman" w:hAnsi="Times New Roman" w:cs="Times New Roman"/>
          <w:b/>
          <w:bCs/>
          <w:color w:val="000000"/>
          <w:u w:val="single"/>
        </w:rPr>
        <w:t>B</w:t>
      </w:r>
    </w:p>
    <w:p w14:paraId="4000DFB5" w14:textId="476B1906" w:rsidR="006D0CF5" w:rsidRPr="0061066F" w:rsidRDefault="006D0CF5" w:rsidP="006D0CF5">
      <w:pPr>
        <w:spacing w:after="0" w:line="240" w:lineRule="auto"/>
        <w:jc w:val="center"/>
        <w:rPr>
          <w:rFonts w:ascii="Times New Roman" w:eastAsia="Times New Roman" w:hAnsi="Times New Roman" w:cs="Times New Roman"/>
          <w:b/>
          <w:bCs/>
          <w:color w:val="000000"/>
        </w:rPr>
      </w:pPr>
    </w:p>
    <w:p w14:paraId="72ABD384" w14:textId="5014C88B" w:rsidR="006D0CF5" w:rsidRPr="0061066F" w:rsidRDefault="0010420D" w:rsidP="006D0CF5">
      <w:pPr>
        <w:spacing w:after="0" w:line="240" w:lineRule="auto"/>
        <w:jc w:val="center"/>
        <w:rPr>
          <w:rFonts w:ascii="Times New Roman" w:eastAsia="Times New Roman" w:hAnsi="Times New Roman" w:cs="Times New Roman"/>
          <w:b/>
          <w:bCs/>
          <w:color w:val="000000"/>
        </w:rPr>
      </w:pPr>
      <w:r w:rsidRPr="0061066F">
        <w:rPr>
          <w:rFonts w:ascii="Times New Roman" w:eastAsia="Times New Roman" w:hAnsi="Times New Roman" w:cs="Times New Roman"/>
          <w:b/>
          <w:bCs/>
          <w:color w:val="000000"/>
        </w:rPr>
        <w:t>Investor</w:t>
      </w:r>
      <w:r w:rsidR="006D0CF5" w:rsidRPr="0061066F">
        <w:rPr>
          <w:rFonts w:ascii="Times New Roman" w:eastAsia="Times New Roman" w:hAnsi="Times New Roman" w:cs="Times New Roman"/>
          <w:b/>
          <w:bCs/>
          <w:color w:val="000000"/>
        </w:rPr>
        <w:t xml:space="preserve"> Questionnaire</w:t>
      </w:r>
      <w:r w:rsidR="00126555">
        <w:rPr>
          <w:rStyle w:val="FootnoteReference"/>
          <w:rFonts w:ascii="Times New Roman" w:eastAsia="Times New Roman" w:hAnsi="Times New Roman" w:cs="Times New Roman"/>
          <w:b/>
          <w:bCs/>
          <w:color w:val="000000"/>
        </w:rPr>
        <w:footnoteReference w:id="9"/>
      </w:r>
    </w:p>
    <w:p w14:paraId="409031B1" w14:textId="5F174501" w:rsidR="0010420D" w:rsidRPr="0061066F" w:rsidRDefault="0010420D" w:rsidP="006D0CF5">
      <w:pPr>
        <w:spacing w:after="0" w:line="240" w:lineRule="auto"/>
        <w:jc w:val="center"/>
        <w:rPr>
          <w:rFonts w:ascii="Times New Roman" w:eastAsia="Times New Roman" w:hAnsi="Times New Roman" w:cs="Times New Roman"/>
          <w:b/>
          <w:bCs/>
          <w:color w:val="000000"/>
        </w:rPr>
      </w:pPr>
    </w:p>
    <w:p w14:paraId="51B030FF" w14:textId="77777777" w:rsidR="0010420D" w:rsidRPr="0061066F" w:rsidRDefault="0010420D" w:rsidP="0010420D">
      <w:pPr>
        <w:pStyle w:val="Style2"/>
        <w:jc w:val="both"/>
        <w:rPr>
          <w:szCs w:val="22"/>
        </w:rPr>
      </w:pPr>
      <w:r w:rsidRPr="0061066F">
        <w:rPr>
          <w:szCs w:val="22"/>
        </w:rPr>
        <w:t>The undersigned hereby provides the following information to the Company and represents and warrants that such information is accurate:</w:t>
      </w:r>
    </w:p>
    <w:p w14:paraId="6F548545" w14:textId="77777777" w:rsidR="0010420D" w:rsidRPr="0061066F" w:rsidRDefault="0010420D" w:rsidP="0010420D">
      <w:pPr>
        <w:pStyle w:val="Style5"/>
        <w:rPr>
          <w:rFonts w:ascii="Times New Roman" w:hAnsi="Times New Roman"/>
          <w:szCs w:val="22"/>
        </w:rPr>
      </w:pPr>
      <w:r w:rsidRPr="0061066F">
        <w:rPr>
          <w:rFonts w:ascii="Times New Roman" w:hAnsi="Times New Roman"/>
          <w:szCs w:val="22"/>
        </w:rPr>
        <w:t>QUESTIONNAIRE</w:t>
      </w:r>
    </w:p>
    <w:p w14:paraId="188991B8" w14:textId="77777777" w:rsidR="0010420D" w:rsidRPr="0061066F" w:rsidRDefault="0010420D" w:rsidP="0010420D">
      <w:pPr>
        <w:pStyle w:val="Style28"/>
        <w:rPr>
          <w:b/>
          <w:bCs/>
          <w:szCs w:val="22"/>
        </w:rPr>
      </w:pPr>
      <w:r w:rsidRPr="0061066F">
        <w:rPr>
          <w:b/>
          <w:bCs/>
          <w:szCs w:val="22"/>
        </w:rPr>
        <w:t>1.</w:t>
      </w:r>
      <w:r w:rsidRPr="0061066F">
        <w:rPr>
          <w:b/>
          <w:bCs/>
          <w:szCs w:val="22"/>
        </w:rPr>
        <w:tab/>
        <w:t>Name.</w:t>
      </w:r>
    </w:p>
    <w:p w14:paraId="70A7F7D0" w14:textId="50E879D7" w:rsidR="0010420D" w:rsidRPr="0061066F" w:rsidRDefault="0010420D" w:rsidP="0010420D">
      <w:pPr>
        <w:pStyle w:val="Style28"/>
        <w:jc w:val="both"/>
        <w:rPr>
          <w:szCs w:val="22"/>
        </w:rPr>
      </w:pPr>
      <w:r w:rsidRPr="0061066F">
        <w:rPr>
          <w:szCs w:val="22"/>
        </w:rPr>
        <w:tab/>
        <w:t>(a)</w:t>
      </w:r>
      <w:r w:rsidRPr="0061066F">
        <w:rPr>
          <w:szCs w:val="22"/>
        </w:rPr>
        <w:tab/>
        <w:t>Full Legal Name of Investor</w:t>
      </w:r>
    </w:p>
    <w:tbl>
      <w:tblPr>
        <w:tblW w:w="8040" w:type="dxa"/>
        <w:tblInd w:w="1548" w:type="dxa"/>
        <w:tblLook w:val="0000" w:firstRow="0" w:lastRow="0" w:firstColumn="0" w:lastColumn="0" w:noHBand="0" w:noVBand="0"/>
      </w:tblPr>
      <w:tblGrid>
        <w:gridCol w:w="8040"/>
      </w:tblGrid>
      <w:tr w:rsidR="0010420D" w:rsidRPr="0061066F" w14:paraId="4504F3D9" w14:textId="77777777" w:rsidTr="00B84D89">
        <w:tc>
          <w:tcPr>
            <w:tcW w:w="8040" w:type="dxa"/>
            <w:tcBorders>
              <w:bottom w:val="single" w:sz="4" w:space="0" w:color="auto"/>
            </w:tcBorders>
          </w:tcPr>
          <w:p w14:paraId="76DADAB3" w14:textId="77777777" w:rsidR="0010420D" w:rsidRPr="0061066F" w:rsidRDefault="0010420D" w:rsidP="00B84D89">
            <w:pPr>
              <w:jc w:val="both"/>
              <w:rPr>
                <w:rFonts w:ascii="Times New Roman" w:hAnsi="Times New Roman" w:cs="Times New Roman"/>
              </w:rPr>
            </w:pPr>
          </w:p>
        </w:tc>
      </w:tr>
      <w:tr w:rsidR="0010420D" w:rsidRPr="0061066F" w14:paraId="59DA206F" w14:textId="77777777" w:rsidTr="00B84D89">
        <w:tc>
          <w:tcPr>
            <w:tcW w:w="8040" w:type="dxa"/>
            <w:tcBorders>
              <w:top w:val="single" w:sz="4" w:space="0" w:color="auto"/>
            </w:tcBorders>
          </w:tcPr>
          <w:p w14:paraId="6A0B982F" w14:textId="77777777" w:rsidR="0010420D" w:rsidRPr="0061066F" w:rsidRDefault="0010420D" w:rsidP="00B84D89">
            <w:pPr>
              <w:jc w:val="both"/>
              <w:rPr>
                <w:rFonts w:ascii="Times New Roman" w:hAnsi="Times New Roman" w:cs="Times New Roman"/>
              </w:rPr>
            </w:pPr>
          </w:p>
        </w:tc>
      </w:tr>
    </w:tbl>
    <w:p w14:paraId="201B289B" w14:textId="77777777" w:rsidR="0010420D" w:rsidRPr="0061066F" w:rsidRDefault="0010420D" w:rsidP="0010420D">
      <w:pPr>
        <w:jc w:val="both"/>
        <w:rPr>
          <w:rFonts w:ascii="Times New Roman" w:hAnsi="Times New Roman" w:cs="Times New Roman"/>
        </w:rPr>
      </w:pPr>
    </w:p>
    <w:p w14:paraId="4CF17376" w14:textId="77777777" w:rsidR="0010420D" w:rsidRPr="0061066F" w:rsidRDefault="0010420D" w:rsidP="0010420D">
      <w:pPr>
        <w:pStyle w:val="Style28"/>
        <w:jc w:val="both"/>
        <w:rPr>
          <w:szCs w:val="22"/>
        </w:rPr>
      </w:pPr>
      <w:r w:rsidRPr="0061066F">
        <w:rPr>
          <w:szCs w:val="22"/>
        </w:rPr>
        <w:tab/>
        <w:t>(b)</w:t>
      </w:r>
      <w:r w:rsidRPr="0061066F">
        <w:rPr>
          <w:szCs w:val="22"/>
        </w:rPr>
        <w:tab/>
        <w:t>Full Legal Name of Registered Holder (if not the same as (a) above) through which Registrable Securities are held:</w:t>
      </w:r>
    </w:p>
    <w:tbl>
      <w:tblPr>
        <w:tblW w:w="8010" w:type="dxa"/>
        <w:tblInd w:w="1548" w:type="dxa"/>
        <w:tblLook w:val="0000" w:firstRow="0" w:lastRow="0" w:firstColumn="0" w:lastColumn="0" w:noHBand="0" w:noVBand="0"/>
      </w:tblPr>
      <w:tblGrid>
        <w:gridCol w:w="8010"/>
      </w:tblGrid>
      <w:tr w:rsidR="0010420D" w:rsidRPr="0061066F" w14:paraId="76CF9A14" w14:textId="77777777" w:rsidTr="00B84D89">
        <w:tc>
          <w:tcPr>
            <w:tcW w:w="8010" w:type="dxa"/>
            <w:tcBorders>
              <w:bottom w:val="single" w:sz="4" w:space="0" w:color="auto"/>
            </w:tcBorders>
          </w:tcPr>
          <w:p w14:paraId="65E755B3" w14:textId="77777777" w:rsidR="0010420D" w:rsidRPr="0061066F" w:rsidRDefault="0010420D" w:rsidP="00B84D89">
            <w:pPr>
              <w:jc w:val="both"/>
              <w:rPr>
                <w:rFonts w:ascii="Times New Roman" w:hAnsi="Times New Roman" w:cs="Times New Roman"/>
              </w:rPr>
            </w:pPr>
          </w:p>
        </w:tc>
      </w:tr>
      <w:tr w:rsidR="0010420D" w:rsidRPr="0061066F" w14:paraId="3FFF426F" w14:textId="77777777" w:rsidTr="00B84D89">
        <w:tc>
          <w:tcPr>
            <w:tcW w:w="8010" w:type="dxa"/>
            <w:tcBorders>
              <w:top w:val="single" w:sz="4" w:space="0" w:color="auto"/>
            </w:tcBorders>
          </w:tcPr>
          <w:p w14:paraId="1556DA3E" w14:textId="77777777" w:rsidR="0010420D" w:rsidRPr="0061066F" w:rsidRDefault="0010420D" w:rsidP="00B84D89">
            <w:pPr>
              <w:jc w:val="both"/>
              <w:rPr>
                <w:rFonts w:ascii="Times New Roman" w:hAnsi="Times New Roman" w:cs="Times New Roman"/>
              </w:rPr>
            </w:pPr>
          </w:p>
        </w:tc>
      </w:tr>
    </w:tbl>
    <w:p w14:paraId="3EA461DC" w14:textId="77777777" w:rsidR="0010420D" w:rsidRPr="0061066F" w:rsidRDefault="0010420D" w:rsidP="0010420D">
      <w:pPr>
        <w:jc w:val="both"/>
        <w:rPr>
          <w:rFonts w:ascii="Times New Roman" w:hAnsi="Times New Roman" w:cs="Times New Roman"/>
        </w:rPr>
      </w:pPr>
    </w:p>
    <w:p w14:paraId="434AFDFA" w14:textId="77777777" w:rsidR="0010420D" w:rsidRPr="0061066F" w:rsidRDefault="0010420D" w:rsidP="0010420D">
      <w:pPr>
        <w:pStyle w:val="Style28"/>
        <w:jc w:val="both"/>
        <w:rPr>
          <w:szCs w:val="22"/>
        </w:rPr>
      </w:pPr>
      <w:r w:rsidRPr="0061066F">
        <w:rPr>
          <w:szCs w:val="22"/>
        </w:rPr>
        <w:tab/>
        <w:t>(c)</w:t>
      </w:r>
      <w:r w:rsidRPr="0061066F">
        <w:rPr>
          <w:szCs w:val="22"/>
        </w:rPr>
        <w:tab/>
        <w:t>Full Legal Name of Natural Control Person (which means a natural person who directly or indirectly alone or with others has power to vote or dispose of the securities covered by this Questionnaire):</w:t>
      </w:r>
    </w:p>
    <w:tbl>
      <w:tblPr>
        <w:tblW w:w="8010" w:type="dxa"/>
        <w:tblInd w:w="1548" w:type="dxa"/>
        <w:tblLook w:val="0000" w:firstRow="0" w:lastRow="0" w:firstColumn="0" w:lastColumn="0" w:noHBand="0" w:noVBand="0"/>
      </w:tblPr>
      <w:tblGrid>
        <w:gridCol w:w="8010"/>
      </w:tblGrid>
      <w:tr w:rsidR="0010420D" w:rsidRPr="0061066F" w14:paraId="6A897378" w14:textId="77777777" w:rsidTr="00B84D89">
        <w:tc>
          <w:tcPr>
            <w:tcW w:w="8010" w:type="dxa"/>
            <w:tcBorders>
              <w:bottom w:val="single" w:sz="4" w:space="0" w:color="auto"/>
            </w:tcBorders>
          </w:tcPr>
          <w:p w14:paraId="2EFE3D7B" w14:textId="77777777" w:rsidR="0010420D" w:rsidRPr="0061066F" w:rsidRDefault="0010420D" w:rsidP="00B84D89">
            <w:pPr>
              <w:jc w:val="both"/>
              <w:rPr>
                <w:rFonts w:ascii="Times New Roman" w:hAnsi="Times New Roman" w:cs="Times New Roman"/>
              </w:rPr>
            </w:pPr>
          </w:p>
        </w:tc>
      </w:tr>
      <w:tr w:rsidR="0010420D" w:rsidRPr="0061066F" w14:paraId="78AF5E3D" w14:textId="77777777" w:rsidTr="00B84D89">
        <w:tc>
          <w:tcPr>
            <w:tcW w:w="8010" w:type="dxa"/>
            <w:tcBorders>
              <w:top w:val="single" w:sz="4" w:space="0" w:color="auto"/>
            </w:tcBorders>
          </w:tcPr>
          <w:p w14:paraId="361FAFFD" w14:textId="77777777" w:rsidR="0010420D" w:rsidRPr="0061066F" w:rsidRDefault="0010420D" w:rsidP="00B84D89">
            <w:pPr>
              <w:jc w:val="both"/>
              <w:rPr>
                <w:rFonts w:ascii="Times New Roman" w:hAnsi="Times New Roman" w:cs="Times New Roman"/>
              </w:rPr>
            </w:pPr>
          </w:p>
        </w:tc>
      </w:tr>
    </w:tbl>
    <w:p w14:paraId="7ABF487C" w14:textId="77777777" w:rsidR="0010420D" w:rsidRPr="0061066F" w:rsidRDefault="0010420D" w:rsidP="0010420D">
      <w:pPr>
        <w:pStyle w:val="Style28"/>
        <w:jc w:val="both"/>
        <w:rPr>
          <w:szCs w:val="22"/>
        </w:rPr>
      </w:pPr>
    </w:p>
    <w:p w14:paraId="174CC6D8" w14:textId="5D02A0A2" w:rsidR="0010420D" w:rsidRPr="0061066F" w:rsidRDefault="0010420D" w:rsidP="0010420D">
      <w:pPr>
        <w:pStyle w:val="Style28"/>
        <w:rPr>
          <w:b/>
          <w:bCs/>
          <w:szCs w:val="22"/>
        </w:rPr>
      </w:pPr>
      <w:r w:rsidRPr="0061066F">
        <w:rPr>
          <w:b/>
          <w:bCs/>
          <w:szCs w:val="22"/>
        </w:rPr>
        <w:t xml:space="preserve">2.  Address for Notices to </w:t>
      </w:r>
      <w:r w:rsidR="0061066F" w:rsidRPr="0061066F">
        <w:rPr>
          <w:b/>
          <w:bCs/>
          <w:szCs w:val="22"/>
        </w:rPr>
        <w:t>Investor</w:t>
      </w:r>
      <w:r w:rsidRPr="0061066F">
        <w:rPr>
          <w:b/>
          <w:bCs/>
          <w:szCs w:val="22"/>
        </w:rPr>
        <w:t>:</w:t>
      </w:r>
    </w:p>
    <w:tbl>
      <w:tblPr>
        <w:tblW w:w="9360" w:type="dxa"/>
        <w:tblInd w:w="108" w:type="dxa"/>
        <w:tblLook w:val="0000" w:firstRow="0" w:lastRow="0" w:firstColumn="0" w:lastColumn="0" w:noHBand="0" w:noVBand="0"/>
      </w:tblPr>
      <w:tblGrid>
        <w:gridCol w:w="9360"/>
      </w:tblGrid>
      <w:tr w:rsidR="0010420D" w:rsidRPr="0061066F" w14:paraId="5EC535FF" w14:textId="77777777" w:rsidTr="00B84D89">
        <w:tc>
          <w:tcPr>
            <w:tcW w:w="9360" w:type="dxa"/>
            <w:tcBorders>
              <w:bottom w:val="single" w:sz="4" w:space="0" w:color="auto"/>
            </w:tcBorders>
          </w:tcPr>
          <w:p w14:paraId="77750171" w14:textId="77777777" w:rsidR="0010420D" w:rsidRPr="0061066F" w:rsidRDefault="0010420D" w:rsidP="00B84D89">
            <w:pPr>
              <w:rPr>
                <w:rFonts w:ascii="Times New Roman" w:hAnsi="Times New Roman" w:cs="Times New Roman"/>
              </w:rPr>
            </w:pPr>
          </w:p>
        </w:tc>
      </w:tr>
      <w:tr w:rsidR="0010420D" w:rsidRPr="0061066F" w14:paraId="21DD4F20" w14:textId="77777777" w:rsidTr="00B84D89">
        <w:tc>
          <w:tcPr>
            <w:tcW w:w="9360" w:type="dxa"/>
            <w:tcBorders>
              <w:top w:val="single" w:sz="4" w:space="0" w:color="auto"/>
              <w:bottom w:val="single" w:sz="4" w:space="0" w:color="auto"/>
            </w:tcBorders>
          </w:tcPr>
          <w:p w14:paraId="4EB571D8" w14:textId="77777777" w:rsidR="0010420D" w:rsidRPr="0061066F" w:rsidRDefault="0010420D" w:rsidP="00B84D89">
            <w:pPr>
              <w:rPr>
                <w:rFonts w:ascii="Times New Roman" w:hAnsi="Times New Roman" w:cs="Times New Roman"/>
              </w:rPr>
            </w:pPr>
          </w:p>
        </w:tc>
      </w:tr>
      <w:tr w:rsidR="0010420D" w:rsidRPr="0061066F" w14:paraId="77B47A93" w14:textId="77777777" w:rsidTr="00B84D89">
        <w:tc>
          <w:tcPr>
            <w:tcW w:w="9360" w:type="dxa"/>
            <w:tcBorders>
              <w:top w:val="single" w:sz="4" w:space="0" w:color="auto"/>
              <w:bottom w:val="single" w:sz="4" w:space="0" w:color="auto"/>
            </w:tcBorders>
          </w:tcPr>
          <w:p w14:paraId="4231486E" w14:textId="77777777" w:rsidR="0010420D" w:rsidRPr="0061066F" w:rsidRDefault="0010420D" w:rsidP="00B84D89">
            <w:pPr>
              <w:rPr>
                <w:rFonts w:ascii="Times New Roman" w:hAnsi="Times New Roman" w:cs="Times New Roman"/>
              </w:rPr>
            </w:pPr>
          </w:p>
        </w:tc>
      </w:tr>
      <w:tr w:rsidR="0010420D" w:rsidRPr="0061066F" w14:paraId="6A8AE29B" w14:textId="77777777" w:rsidTr="00B84D89">
        <w:tc>
          <w:tcPr>
            <w:tcW w:w="9360" w:type="dxa"/>
            <w:tcBorders>
              <w:top w:val="single" w:sz="4" w:space="0" w:color="auto"/>
            </w:tcBorders>
          </w:tcPr>
          <w:p w14:paraId="61CF58B4" w14:textId="77777777" w:rsidR="0010420D" w:rsidRPr="0061066F" w:rsidRDefault="0010420D" w:rsidP="00B84D89">
            <w:pPr>
              <w:tabs>
                <w:tab w:val="left" w:pos="9264"/>
              </w:tabs>
              <w:rPr>
                <w:rFonts w:ascii="Times New Roman" w:hAnsi="Times New Roman" w:cs="Times New Roman"/>
              </w:rPr>
            </w:pPr>
            <w:r w:rsidRPr="0061066F">
              <w:rPr>
                <w:rFonts w:ascii="Times New Roman" w:hAnsi="Times New Roman" w:cs="Times New Roman"/>
              </w:rPr>
              <w:t>Telephone:</w:t>
            </w:r>
            <w:r w:rsidRPr="0061066F">
              <w:rPr>
                <w:rFonts w:ascii="Times New Roman" w:hAnsi="Times New Roman" w:cs="Times New Roman"/>
                <w:u w:val="single"/>
              </w:rPr>
              <w:tab/>
            </w:r>
          </w:p>
        </w:tc>
      </w:tr>
      <w:tr w:rsidR="0010420D" w:rsidRPr="0061066F" w14:paraId="22AEBB16" w14:textId="77777777" w:rsidTr="00B84D89">
        <w:tc>
          <w:tcPr>
            <w:tcW w:w="9360" w:type="dxa"/>
          </w:tcPr>
          <w:p w14:paraId="6D243FC1" w14:textId="77777777" w:rsidR="0010420D" w:rsidRPr="0061066F" w:rsidRDefault="0010420D" w:rsidP="00B84D89">
            <w:pPr>
              <w:tabs>
                <w:tab w:val="left" w:pos="9264"/>
              </w:tabs>
              <w:rPr>
                <w:rFonts w:ascii="Times New Roman" w:hAnsi="Times New Roman" w:cs="Times New Roman"/>
              </w:rPr>
            </w:pPr>
            <w:r w:rsidRPr="0061066F">
              <w:rPr>
                <w:rFonts w:ascii="Times New Roman" w:hAnsi="Times New Roman" w:cs="Times New Roman"/>
              </w:rPr>
              <w:t>E-Mail: _____________________________________________________________________</w:t>
            </w:r>
          </w:p>
        </w:tc>
      </w:tr>
      <w:tr w:rsidR="0010420D" w:rsidRPr="0061066F" w14:paraId="145251DE" w14:textId="77777777" w:rsidTr="00B84D89">
        <w:tc>
          <w:tcPr>
            <w:tcW w:w="9360" w:type="dxa"/>
          </w:tcPr>
          <w:p w14:paraId="244C0B18" w14:textId="77777777" w:rsidR="0010420D" w:rsidRPr="0061066F" w:rsidRDefault="0010420D" w:rsidP="00B84D89">
            <w:pPr>
              <w:tabs>
                <w:tab w:val="left" w:pos="9264"/>
              </w:tabs>
              <w:rPr>
                <w:rFonts w:ascii="Times New Roman" w:hAnsi="Times New Roman" w:cs="Times New Roman"/>
              </w:rPr>
            </w:pPr>
            <w:r w:rsidRPr="0061066F">
              <w:rPr>
                <w:rFonts w:ascii="Times New Roman" w:hAnsi="Times New Roman" w:cs="Times New Roman"/>
              </w:rPr>
              <w:t>Contact Person:</w:t>
            </w:r>
            <w:r w:rsidRPr="0061066F">
              <w:rPr>
                <w:rFonts w:ascii="Times New Roman" w:hAnsi="Times New Roman" w:cs="Times New Roman"/>
                <w:u w:val="single"/>
              </w:rPr>
              <w:tab/>
            </w:r>
          </w:p>
        </w:tc>
      </w:tr>
    </w:tbl>
    <w:p w14:paraId="351B6354" w14:textId="77777777" w:rsidR="0010420D" w:rsidRPr="0061066F" w:rsidRDefault="0010420D" w:rsidP="0010420D">
      <w:pPr>
        <w:rPr>
          <w:rFonts w:ascii="Times New Roman" w:hAnsi="Times New Roman" w:cs="Times New Roman"/>
        </w:rPr>
      </w:pPr>
    </w:p>
    <w:p w14:paraId="76BE5166" w14:textId="77777777" w:rsidR="0010420D" w:rsidRPr="0061066F" w:rsidRDefault="0010420D" w:rsidP="0010420D">
      <w:pPr>
        <w:pStyle w:val="Style28"/>
        <w:rPr>
          <w:b/>
          <w:bCs/>
          <w:szCs w:val="22"/>
        </w:rPr>
      </w:pPr>
      <w:r w:rsidRPr="0061066F">
        <w:rPr>
          <w:b/>
          <w:bCs/>
          <w:szCs w:val="22"/>
        </w:rPr>
        <w:t>3.  Broker-Dealer Status:</w:t>
      </w:r>
    </w:p>
    <w:p w14:paraId="7E45A59F" w14:textId="77777777" w:rsidR="0010420D" w:rsidRPr="0061066F" w:rsidRDefault="0010420D" w:rsidP="0010420D">
      <w:pPr>
        <w:pStyle w:val="Style28"/>
        <w:jc w:val="both"/>
        <w:rPr>
          <w:szCs w:val="22"/>
        </w:rPr>
      </w:pPr>
      <w:r w:rsidRPr="0061066F">
        <w:rPr>
          <w:szCs w:val="22"/>
        </w:rPr>
        <w:tab/>
        <w:t>(a)</w:t>
      </w:r>
      <w:r w:rsidRPr="0061066F">
        <w:rPr>
          <w:szCs w:val="22"/>
        </w:rPr>
        <w:tab/>
        <w:t>Are you a broker-dealer?</w:t>
      </w:r>
    </w:p>
    <w:p w14:paraId="50EFB06F" w14:textId="77777777" w:rsidR="0010420D" w:rsidRPr="0061066F" w:rsidRDefault="0010420D" w:rsidP="0010420D">
      <w:pPr>
        <w:pStyle w:val="Style6"/>
        <w:jc w:val="both"/>
        <w:rPr>
          <w:sz w:val="22"/>
          <w:szCs w:val="22"/>
        </w:rPr>
      </w:pPr>
      <w:r w:rsidRPr="0061066F">
        <w:rPr>
          <w:sz w:val="22"/>
          <w:szCs w:val="22"/>
        </w:rPr>
        <w:tab/>
        <w:t xml:space="preserve">Yes   </w:t>
      </w:r>
      <w:r w:rsidRPr="0061066F">
        <w:rPr>
          <w:sz w:val="22"/>
          <w:szCs w:val="22"/>
        </w:rPr>
        <w:t xml:space="preserve"> </w:t>
      </w:r>
      <w:r w:rsidRPr="0061066F">
        <w:rPr>
          <w:sz w:val="22"/>
          <w:szCs w:val="22"/>
        </w:rPr>
        <w:tab/>
        <w:t xml:space="preserve">No   </w:t>
      </w:r>
      <w:r w:rsidRPr="0061066F">
        <w:rPr>
          <w:sz w:val="22"/>
          <w:szCs w:val="22"/>
        </w:rPr>
        <w:t xml:space="preserve"> </w:t>
      </w:r>
    </w:p>
    <w:p w14:paraId="16506CEA" w14:textId="77777777" w:rsidR="0010420D" w:rsidRPr="0061066F" w:rsidRDefault="0010420D" w:rsidP="0010420D">
      <w:pPr>
        <w:pStyle w:val="Style28"/>
        <w:jc w:val="both"/>
        <w:rPr>
          <w:szCs w:val="22"/>
        </w:rPr>
      </w:pPr>
      <w:r w:rsidRPr="0061066F">
        <w:rPr>
          <w:szCs w:val="22"/>
        </w:rPr>
        <w:tab/>
        <w:t>(b)</w:t>
      </w:r>
      <w:r w:rsidRPr="0061066F">
        <w:rPr>
          <w:szCs w:val="22"/>
        </w:rPr>
        <w:tab/>
        <w:t>If “yes” to Section 3(a), did you receive your Registrable Securities as compensation for investment banking services to the Company?</w:t>
      </w:r>
    </w:p>
    <w:p w14:paraId="266F17A3" w14:textId="77777777" w:rsidR="0010420D" w:rsidRPr="0061066F" w:rsidRDefault="0010420D" w:rsidP="0010420D">
      <w:pPr>
        <w:pStyle w:val="Style6"/>
        <w:jc w:val="both"/>
        <w:rPr>
          <w:sz w:val="22"/>
          <w:szCs w:val="22"/>
        </w:rPr>
      </w:pPr>
      <w:r w:rsidRPr="0061066F">
        <w:rPr>
          <w:sz w:val="22"/>
          <w:szCs w:val="22"/>
        </w:rPr>
        <w:tab/>
        <w:t xml:space="preserve">Yes   </w:t>
      </w:r>
      <w:r w:rsidRPr="0061066F">
        <w:rPr>
          <w:sz w:val="22"/>
          <w:szCs w:val="22"/>
        </w:rPr>
        <w:t xml:space="preserve"> </w:t>
      </w:r>
      <w:r w:rsidRPr="0061066F">
        <w:rPr>
          <w:sz w:val="22"/>
          <w:szCs w:val="22"/>
        </w:rPr>
        <w:tab/>
        <w:t xml:space="preserve">No   </w:t>
      </w:r>
      <w:r w:rsidRPr="0061066F">
        <w:rPr>
          <w:sz w:val="22"/>
          <w:szCs w:val="22"/>
        </w:rPr>
        <w:t xml:space="preserve"> </w:t>
      </w:r>
    </w:p>
    <w:p w14:paraId="0EEA9EC3" w14:textId="77777777" w:rsidR="0010420D" w:rsidRPr="0061066F" w:rsidRDefault="0010420D" w:rsidP="0010420D">
      <w:pPr>
        <w:pStyle w:val="Style28"/>
        <w:jc w:val="both"/>
        <w:rPr>
          <w:szCs w:val="22"/>
        </w:rPr>
      </w:pPr>
      <w:r w:rsidRPr="0061066F">
        <w:rPr>
          <w:szCs w:val="22"/>
        </w:rPr>
        <w:tab/>
        <w:t>Note:</w:t>
      </w:r>
      <w:r w:rsidRPr="0061066F">
        <w:rPr>
          <w:szCs w:val="22"/>
        </w:rPr>
        <w:tab/>
        <w:t>If “no” to Section 3(b), the Commission’s staff has indicated that you should be identified as an underwriter in the Registration Statement.</w:t>
      </w:r>
    </w:p>
    <w:p w14:paraId="59D94A72" w14:textId="77777777" w:rsidR="0010420D" w:rsidRPr="0061066F" w:rsidRDefault="0010420D" w:rsidP="0010420D">
      <w:pPr>
        <w:pStyle w:val="Style28"/>
        <w:jc w:val="both"/>
        <w:rPr>
          <w:szCs w:val="22"/>
        </w:rPr>
      </w:pPr>
      <w:r w:rsidRPr="0061066F">
        <w:rPr>
          <w:szCs w:val="22"/>
        </w:rPr>
        <w:tab/>
        <w:t>(c)</w:t>
      </w:r>
      <w:r w:rsidRPr="0061066F">
        <w:rPr>
          <w:szCs w:val="22"/>
        </w:rPr>
        <w:tab/>
        <w:t>Are you an affiliate of a broker-dealer?</w:t>
      </w:r>
    </w:p>
    <w:p w14:paraId="0009ECAE" w14:textId="77777777" w:rsidR="0010420D" w:rsidRPr="0061066F" w:rsidRDefault="0010420D" w:rsidP="0010420D">
      <w:pPr>
        <w:pStyle w:val="Style6"/>
        <w:jc w:val="both"/>
        <w:rPr>
          <w:sz w:val="22"/>
          <w:szCs w:val="22"/>
        </w:rPr>
      </w:pPr>
      <w:r w:rsidRPr="0061066F">
        <w:rPr>
          <w:sz w:val="22"/>
          <w:szCs w:val="22"/>
        </w:rPr>
        <w:tab/>
        <w:t xml:space="preserve">Yes   </w:t>
      </w:r>
      <w:r w:rsidRPr="0061066F">
        <w:rPr>
          <w:sz w:val="22"/>
          <w:szCs w:val="22"/>
        </w:rPr>
        <w:t xml:space="preserve"> </w:t>
      </w:r>
      <w:r w:rsidRPr="0061066F">
        <w:rPr>
          <w:sz w:val="22"/>
          <w:szCs w:val="22"/>
        </w:rPr>
        <w:tab/>
        <w:t xml:space="preserve">No   </w:t>
      </w:r>
      <w:r w:rsidRPr="0061066F">
        <w:rPr>
          <w:sz w:val="22"/>
          <w:szCs w:val="22"/>
        </w:rPr>
        <w:t xml:space="preserve"> </w:t>
      </w:r>
    </w:p>
    <w:p w14:paraId="17C98CF4" w14:textId="77777777" w:rsidR="0010420D" w:rsidRPr="0061066F" w:rsidRDefault="0010420D" w:rsidP="0010420D">
      <w:pPr>
        <w:pStyle w:val="Style28"/>
        <w:jc w:val="both"/>
        <w:rPr>
          <w:szCs w:val="22"/>
        </w:rPr>
      </w:pPr>
      <w:r w:rsidRPr="0061066F">
        <w:rPr>
          <w:szCs w:val="22"/>
        </w:rPr>
        <w:tab/>
        <w:t>(d)</w:t>
      </w:r>
      <w:r w:rsidRPr="0061066F">
        <w:rPr>
          <w:szCs w:val="22"/>
        </w:rPr>
        <w:tab/>
        <w:t>If you are an affiliate of a broker-dealer, do you certify that you purchased the Registrable Securities in the ordinary course of business, and at the time of the purchase of the Registrable Securities to be resold, you had no agreements or understandings, directly or indirectly, with any person to distribute the Registrable Securities?</w:t>
      </w:r>
    </w:p>
    <w:p w14:paraId="2A3139E5" w14:textId="77777777" w:rsidR="0010420D" w:rsidRPr="0061066F" w:rsidRDefault="0010420D" w:rsidP="0010420D">
      <w:pPr>
        <w:pStyle w:val="Style6"/>
        <w:jc w:val="both"/>
        <w:rPr>
          <w:sz w:val="22"/>
          <w:szCs w:val="22"/>
        </w:rPr>
      </w:pPr>
      <w:r w:rsidRPr="0061066F">
        <w:rPr>
          <w:sz w:val="22"/>
          <w:szCs w:val="22"/>
        </w:rPr>
        <w:tab/>
        <w:t xml:space="preserve">Yes   </w:t>
      </w:r>
      <w:r w:rsidRPr="0061066F">
        <w:rPr>
          <w:sz w:val="22"/>
          <w:szCs w:val="22"/>
        </w:rPr>
        <w:t xml:space="preserve"> </w:t>
      </w:r>
      <w:r w:rsidRPr="0061066F">
        <w:rPr>
          <w:sz w:val="22"/>
          <w:szCs w:val="22"/>
        </w:rPr>
        <w:tab/>
        <w:t xml:space="preserve">No   </w:t>
      </w:r>
      <w:r w:rsidRPr="0061066F">
        <w:rPr>
          <w:sz w:val="22"/>
          <w:szCs w:val="22"/>
        </w:rPr>
        <w:t xml:space="preserve"> </w:t>
      </w:r>
    </w:p>
    <w:p w14:paraId="3D86D1BD" w14:textId="7954B8CA" w:rsidR="0010420D" w:rsidRPr="0061066F" w:rsidRDefault="0010420D" w:rsidP="0010420D">
      <w:pPr>
        <w:pStyle w:val="Style28"/>
        <w:jc w:val="both"/>
        <w:rPr>
          <w:szCs w:val="22"/>
        </w:rPr>
      </w:pPr>
      <w:r w:rsidRPr="0061066F">
        <w:rPr>
          <w:szCs w:val="22"/>
        </w:rPr>
        <w:tab/>
        <w:t>Note:</w:t>
      </w:r>
      <w:r w:rsidRPr="0061066F">
        <w:rPr>
          <w:szCs w:val="22"/>
        </w:rPr>
        <w:tab/>
        <w:t>If “no” to Section 3(d), the Commission’s staff has indicated that you should be identified as an underwriter in the Registration Statement.</w:t>
      </w:r>
    </w:p>
    <w:p w14:paraId="7829153A" w14:textId="40AA11D5" w:rsidR="0010420D" w:rsidRPr="0061066F" w:rsidRDefault="0010420D" w:rsidP="0010420D">
      <w:pPr>
        <w:pStyle w:val="Style28"/>
        <w:rPr>
          <w:b/>
          <w:bCs/>
          <w:szCs w:val="22"/>
        </w:rPr>
      </w:pPr>
      <w:r w:rsidRPr="0061066F">
        <w:rPr>
          <w:b/>
          <w:bCs/>
          <w:szCs w:val="22"/>
        </w:rPr>
        <w:t xml:space="preserve">4.  Beneficial Ownership of Securities of the Company Owned by the </w:t>
      </w:r>
      <w:r w:rsidR="0061066F" w:rsidRPr="0061066F">
        <w:rPr>
          <w:b/>
          <w:bCs/>
          <w:szCs w:val="22"/>
        </w:rPr>
        <w:t>Investor</w:t>
      </w:r>
      <w:r w:rsidRPr="0061066F">
        <w:rPr>
          <w:b/>
          <w:bCs/>
          <w:szCs w:val="22"/>
        </w:rPr>
        <w:t>.</w:t>
      </w:r>
    </w:p>
    <w:p w14:paraId="5B203C8B" w14:textId="77777777" w:rsidR="0010420D" w:rsidRPr="0061066F" w:rsidRDefault="0010420D" w:rsidP="0010420D">
      <w:pPr>
        <w:pStyle w:val="Style2"/>
        <w:ind w:left="720"/>
        <w:jc w:val="both"/>
        <w:rPr>
          <w:i/>
          <w:iCs/>
          <w:szCs w:val="22"/>
        </w:rPr>
      </w:pPr>
      <w:r w:rsidRPr="0061066F">
        <w:rPr>
          <w:i/>
          <w:iCs/>
          <w:szCs w:val="22"/>
        </w:rPr>
        <w:t>Except as set forth below in this Item 4, the undersigned is not the beneficial or registered owner of any securities of the Company other than the securities issuable pursuant to the Purchase Agreement.</w:t>
      </w:r>
    </w:p>
    <w:p w14:paraId="7EBF7EAD" w14:textId="3E2B4933" w:rsidR="0010420D" w:rsidRPr="0061066F" w:rsidRDefault="0010420D" w:rsidP="0010420D">
      <w:pPr>
        <w:pStyle w:val="Style28"/>
        <w:jc w:val="both"/>
        <w:rPr>
          <w:szCs w:val="22"/>
        </w:rPr>
      </w:pPr>
      <w:r w:rsidRPr="0061066F">
        <w:rPr>
          <w:szCs w:val="22"/>
        </w:rPr>
        <w:tab/>
        <w:t>(a)</w:t>
      </w:r>
      <w:r w:rsidRPr="0061066F">
        <w:rPr>
          <w:szCs w:val="22"/>
        </w:rPr>
        <w:tab/>
        <w:t xml:space="preserve">Type and Amount of other securities beneficially owned by the </w:t>
      </w:r>
      <w:r w:rsidR="0061066F" w:rsidRPr="0061066F">
        <w:rPr>
          <w:szCs w:val="22"/>
        </w:rPr>
        <w:t>Investor</w:t>
      </w:r>
      <w:r w:rsidRPr="0061066F">
        <w:rPr>
          <w:szCs w:val="22"/>
        </w:rPr>
        <w:t>:</w:t>
      </w:r>
    </w:p>
    <w:tbl>
      <w:tblPr>
        <w:tblW w:w="7920" w:type="dxa"/>
        <w:tblInd w:w="1548" w:type="dxa"/>
        <w:tblLook w:val="0000" w:firstRow="0" w:lastRow="0" w:firstColumn="0" w:lastColumn="0" w:noHBand="0" w:noVBand="0"/>
      </w:tblPr>
      <w:tblGrid>
        <w:gridCol w:w="7920"/>
      </w:tblGrid>
      <w:tr w:rsidR="0010420D" w:rsidRPr="0061066F" w14:paraId="279B160F" w14:textId="77777777" w:rsidTr="00B84D89">
        <w:tc>
          <w:tcPr>
            <w:tcW w:w="7920" w:type="dxa"/>
            <w:tcBorders>
              <w:bottom w:val="single" w:sz="4" w:space="0" w:color="auto"/>
            </w:tcBorders>
          </w:tcPr>
          <w:p w14:paraId="136BBF6B" w14:textId="77777777" w:rsidR="0010420D" w:rsidRPr="0061066F" w:rsidRDefault="0010420D" w:rsidP="00B84D89">
            <w:pPr>
              <w:rPr>
                <w:rFonts w:ascii="Times New Roman" w:hAnsi="Times New Roman" w:cs="Times New Roman"/>
              </w:rPr>
            </w:pPr>
          </w:p>
        </w:tc>
      </w:tr>
      <w:tr w:rsidR="0010420D" w:rsidRPr="0061066F" w14:paraId="2B109450" w14:textId="77777777" w:rsidTr="00B84D89">
        <w:tc>
          <w:tcPr>
            <w:tcW w:w="7920" w:type="dxa"/>
            <w:tcBorders>
              <w:top w:val="single" w:sz="4" w:space="0" w:color="auto"/>
              <w:bottom w:val="single" w:sz="4" w:space="0" w:color="auto"/>
            </w:tcBorders>
          </w:tcPr>
          <w:p w14:paraId="03A9FB0B" w14:textId="77777777" w:rsidR="0010420D" w:rsidRPr="0061066F" w:rsidRDefault="0010420D" w:rsidP="00B84D89">
            <w:pPr>
              <w:rPr>
                <w:rFonts w:ascii="Times New Roman" w:hAnsi="Times New Roman" w:cs="Times New Roman"/>
              </w:rPr>
            </w:pPr>
          </w:p>
        </w:tc>
      </w:tr>
      <w:tr w:rsidR="0010420D" w:rsidRPr="0061066F" w14:paraId="194D639B" w14:textId="77777777" w:rsidTr="00B84D89">
        <w:tc>
          <w:tcPr>
            <w:tcW w:w="7920" w:type="dxa"/>
            <w:tcBorders>
              <w:top w:val="single" w:sz="4" w:space="0" w:color="auto"/>
            </w:tcBorders>
          </w:tcPr>
          <w:p w14:paraId="36168732" w14:textId="77777777" w:rsidR="0010420D" w:rsidRPr="0061066F" w:rsidRDefault="0010420D" w:rsidP="00B84D89">
            <w:pPr>
              <w:rPr>
                <w:rFonts w:ascii="Times New Roman" w:hAnsi="Times New Roman" w:cs="Times New Roman"/>
              </w:rPr>
            </w:pPr>
          </w:p>
        </w:tc>
      </w:tr>
    </w:tbl>
    <w:p w14:paraId="2AA154C9" w14:textId="77777777" w:rsidR="0010420D" w:rsidRPr="0061066F" w:rsidRDefault="0010420D" w:rsidP="0061066F">
      <w:pPr>
        <w:pStyle w:val="Style28"/>
        <w:ind w:left="0" w:firstLine="0"/>
        <w:rPr>
          <w:szCs w:val="22"/>
        </w:rPr>
      </w:pPr>
    </w:p>
    <w:p w14:paraId="0A3E743F" w14:textId="4CA114F6" w:rsidR="0010420D" w:rsidRPr="0061066F" w:rsidRDefault="0010420D" w:rsidP="0061066F">
      <w:pPr>
        <w:pStyle w:val="Style28"/>
        <w:keepNext/>
        <w:rPr>
          <w:b/>
          <w:bCs/>
          <w:szCs w:val="22"/>
        </w:rPr>
      </w:pPr>
      <w:r w:rsidRPr="0061066F">
        <w:rPr>
          <w:b/>
          <w:bCs/>
          <w:szCs w:val="22"/>
        </w:rPr>
        <w:t>5.  Relationships with the Company:</w:t>
      </w:r>
    </w:p>
    <w:p w14:paraId="18FE4478" w14:textId="77777777" w:rsidR="0010420D" w:rsidRPr="0061066F" w:rsidRDefault="0010420D" w:rsidP="0010420D">
      <w:pPr>
        <w:pStyle w:val="Style2"/>
        <w:ind w:left="720"/>
        <w:jc w:val="both"/>
        <w:rPr>
          <w:i/>
          <w:iCs/>
          <w:szCs w:val="22"/>
        </w:rPr>
      </w:pPr>
      <w:r w:rsidRPr="0061066F">
        <w:rPr>
          <w:i/>
          <w:iCs/>
          <w:szCs w:val="22"/>
        </w:rPr>
        <w:t>Except as set forth below, neither the undersigned nor any of its affiliates, officers, directors or principal equity holders (owners of 5% of more of the equity securities of the undersigned) has held any position or office or has had any other material relationship with the Company (or its predecessors or affiliates) during the past three years.</w:t>
      </w:r>
    </w:p>
    <w:p w14:paraId="6D95702E" w14:textId="77777777" w:rsidR="0010420D" w:rsidRPr="0061066F" w:rsidRDefault="0010420D" w:rsidP="0010420D">
      <w:pPr>
        <w:pStyle w:val="Style28"/>
        <w:keepNext/>
        <w:rPr>
          <w:szCs w:val="22"/>
        </w:rPr>
      </w:pPr>
      <w:r w:rsidRPr="0061066F">
        <w:rPr>
          <w:szCs w:val="22"/>
        </w:rPr>
        <w:tab/>
        <w:t>State any exceptions here:</w:t>
      </w:r>
    </w:p>
    <w:tbl>
      <w:tblPr>
        <w:tblW w:w="8640" w:type="dxa"/>
        <w:tblInd w:w="828" w:type="dxa"/>
        <w:tblLook w:val="0000" w:firstRow="0" w:lastRow="0" w:firstColumn="0" w:lastColumn="0" w:noHBand="0" w:noVBand="0"/>
      </w:tblPr>
      <w:tblGrid>
        <w:gridCol w:w="8640"/>
      </w:tblGrid>
      <w:tr w:rsidR="0010420D" w:rsidRPr="0061066F" w14:paraId="50D402F2" w14:textId="77777777" w:rsidTr="00B84D89">
        <w:tc>
          <w:tcPr>
            <w:tcW w:w="8640" w:type="dxa"/>
            <w:tcBorders>
              <w:bottom w:val="single" w:sz="4" w:space="0" w:color="auto"/>
            </w:tcBorders>
          </w:tcPr>
          <w:p w14:paraId="18FD8495" w14:textId="77777777" w:rsidR="0010420D" w:rsidRPr="0061066F" w:rsidRDefault="0010420D" w:rsidP="00B84D89">
            <w:pPr>
              <w:rPr>
                <w:rFonts w:ascii="Times New Roman" w:hAnsi="Times New Roman" w:cs="Times New Roman"/>
              </w:rPr>
            </w:pPr>
          </w:p>
        </w:tc>
      </w:tr>
      <w:tr w:rsidR="0010420D" w:rsidRPr="0061066F" w14:paraId="43A011DC" w14:textId="77777777" w:rsidTr="00B84D89">
        <w:tc>
          <w:tcPr>
            <w:tcW w:w="8640" w:type="dxa"/>
            <w:tcBorders>
              <w:top w:val="single" w:sz="4" w:space="0" w:color="auto"/>
              <w:bottom w:val="single" w:sz="4" w:space="0" w:color="auto"/>
            </w:tcBorders>
          </w:tcPr>
          <w:p w14:paraId="7081EE4E" w14:textId="77777777" w:rsidR="0010420D" w:rsidRPr="0061066F" w:rsidRDefault="0010420D" w:rsidP="00B84D89">
            <w:pPr>
              <w:rPr>
                <w:rFonts w:ascii="Times New Roman" w:hAnsi="Times New Roman" w:cs="Times New Roman"/>
              </w:rPr>
            </w:pPr>
          </w:p>
        </w:tc>
      </w:tr>
      <w:tr w:rsidR="0010420D" w:rsidRPr="0061066F" w14:paraId="3A156746" w14:textId="77777777" w:rsidTr="00B84D89">
        <w:tc>
          <w:tcPr>
            <w:tcW w:w="8640" w:type="dxa"/>
            <w:tcBorders>
              <w:top w:val="single" w:sz="4" w:space="0" w:color="auto"/>
            </w:tcBorders>
          </w:tcPr>
          <w:p w14:paraId="6ED9F192" w14:textId="77777777" w:rsidR="0010420D" w:rsidRPr="0061066F" w:rsidRDefault="0010420D" w:rsidP="00B84D89">
            <w:pPr>
              <w:rPr>
                <w:rFonts w:ascii="Times New Roman" w:hAnsi="Times New Roman" w:cs="Times New Roman"/>
              </w:rPr>
            </w:pPr>
          </w:p>
        </w:tc>
      </w:tr>
    </w:tbl>
    <w:p w14:paraId="6227BE5F" w14:textId="77777777" w:rsidR="0010420D" w:rsidRPr="0061066F" w:rsidRDefault="0010420D" w:rsidP="0010420D">
      <w:pPr>
        <w:pStyle w:val="Style2"/>
        <w:rPr>
          <w:szCs w:val="22"/>
        </w:rPr>
      </w:pPr>
    </w:p>
    <w:p w14:paraId="29BF2977" w14:textId="77777777" w:rsidR="0010420D" w:rsidRPr="0061066F" w:rsidRDefault="0010420D" w:rsidP="0010420D">
      <w:pPr>
        <w:pStyle w:val="Style2"/>
        <w:ind w:firstLine="720"/>
        <w:jc w:val="both"/>
        <w:rPr>
          <w:szCs w:val="22"/>
        </w:rPr>
      </w:pPr>
      <w:r w:rsidRPr="0061066F">
        <w:rPr>
          <w:szCs w:val="22"/>
        </w:rPr>
        <w:t>The undersigned agrees to promptly notify the Company of any material inaccuracies or changes in the information provided herein that may occur subsequent to the date hereof at any time while the Registration Statement remains effective; provided, that the undersigned shall not be required to notify the Company of any changes to the number of securities held or owned by the undersigned or its affiliates.</w:t>
      </w:r>
    </w:p>
    <w:p w14:paraId="25A683BD" w14:textId="77777777" w:rsidR="0010420D" w:rsidRPr="0061066F" w:rsidRDefault="0010420D" w:rsidP="0010420D">
      <w:pPr>
        <w:pStyle w:val="Style2"/>
        <w:ind w:firstLine="720"/>
        <w:jc w:val="both"/>
        <w:rPr>
          <w:szCs w:val="22"/>
        </w:rPr>
      </w:pPr>
      <w:r w:rsidRPr="0061066F">
        <w:rPr>
          <w:szCs w:val="22"/>
        </w:rPr>
        <w:t>By signing below, the undersigned consents to the disclosure of the information contained herein in its answers to Items 1 through 5 and the inclusion of such information in the Registration Statement and the related prospectus and any amendments or supplements thereto.  The undersigned understands that such information will be relied upon by the Company in connection with the preparation or amendment of the Registration Statement and the related prospectus and any amendments or supplements thereto.</w:t>
      </w:r>
    </w:p>
    <w:p w14:paraId="0018A468" w14:textId="77777777" w:rsidR="0010420D" w:rsidRPr="0061066F" w:rsidRDefault="0010420D" w:rsidP="0010420D">
      <w:pPr>
        <w:pStyle w:val="Style2"/>
        <w:ind w:firstLine="720"/>
        <w:jc w:val="both"/>
        <w:rPr>
          <w:szCs w:val="22"/>
        </w:rPr>
      </w:pPr>
      <w:r w:rsidRPr="0061066F">
        <w:rPr>
          <w:szCs w:val="22"/>
        </w:rPr>
        <w:t>IN WITNESS WHEREOF the undersigned, by authority duly given, has caused this Notice and Questionnaire to be executed and delivered either in person or by its duly authorized agent.</w:t>
      </w:r>
    </w:p>
    <w:p w14:paraId="4C67ECD7" w14:textId="77777777" w:rsidR="0010420D" w:rsidRPr="0061066F" w:rsidRDefault="0010420D" w:rsidP="0010420D">
      <w:pPr>
        <w:pStyle w:val="Style29"/>
        <w:tabs>
          <w:tab w:val="left" w:pos="4680"/>
        </w:tabs>
        <w:rPr>
          <w:szCs w:val="22"/>
          <w:u w:val="single"/>
        </w:rPr>
      </w:pPr>
      <w:r w:rsidRPr="0061066F">
        <w:rPr>
          <w:szCs w:val="22"/>
        </w:rPr>
        <w:t xml:space="preserve">Date: </w:t>
      </w:r>
      <w:r w:rsidRPr="0061066F">
        <w:rPr>
          <w:szCs w:val="22"/>
          <w:u w:val="single"/>
        </w:rPr>
        <w:tab/>
      </w:r>
      <w:r w:rsidRPr="0061066F">
        <w:rPr>
          <w:szCs w:val="22"/>
        </w:rPr>
        <w:tab/>
        <w:t xml:space="preserve">Beneficial Owner: </w:t>
      </w:r>
      <w:r w:rsidRPr="0061066F">
        <w:rPr>
          <w:szCs w:val="22"/>
          <w:u w:val="single"/>
        </w:rPr>
        <w:tab/>
      </w:r>
    </w:p>
    <w:p w14:paraId="49F5E3C0" w14:textId="77777777" w:rsidR="0010420D" w:rsidRPr="0061066F" w:rsidRDefault="0010420D" w:rsidP="0010420D">
      <w:pPr>
        <w:pStyle w:val="Style29"/>
        <w:tabs>
          <w:tab w:val="left" w:pos="4680"/>
        </w:tabs>
        <w:rPr>
          <w:szCs w:val="22"/>
          <w:u w:val="single"/>
        </w:rPr>
      </w:pPr>
    </w:p>
    <w:p w14:paraId="792F1696" w14:textId="77777777" w:rsidR="0010420D" w:rsidRPr="0061066F" w:rsidRDefault="0010420D" w:rsidP="0010420D">
      <w:pPr>
        <w:pStyle w:val="Style29"/>
        <w:tabs>
          <w:tab w:val="left" w:pos="4680"/>
        </w:tabs>
        <w:rPr>
          <w:szCs w:val="22"/>
          <w:u w:val="single"/>
        </w:rPr>
      </w:pPr>
      <w:r w:rsidRPr="0061066F">
        <w:rPr>
          <w:szCs w:val="22"/>
        </w:rPr>
        <w:tab/>
      </w:r>
      <w:r w:rsidRPr="0061066F">
        <w:rPr>
          <w:szCs w:val="22"/>
        </w:rPr>
        <w:tab/>
        <w:t>By:</w:t>
      </w:r>
      <w:r w:rsidRPr="0061066F">
        <w:rPr>
          <w:szCs w:val="22"/>
        </w:rPr>
        <w:tab/>
      </w:r>
      <w:r w:rsidRPr="0061066F">
        <w:rPr>
          <w:szCs w:val="22"/>
          <w:u w:val="single"/>
        </w:rPr>
        <w:tab/>
      </w:r>
    </w:p>
    <w:p w14:paraId="1E827088" w14:textId="77777777" w:rsidR="0010420D" w:rsidRPr="0061066F" w:rsidRDefault="0010420D" w:rsidP="0010420D">
      <w:pPr>
        <w:pStyle w:val="Style29"/>
        <w:tabs>
          <w:tab w:val="left" w:pos="4680"/>
        </w:tabs>
        <w:rPr>
          <w:szCs w:val="22"/>
        </w:rPr>
      </w:pPr>
      <w:r w:rsidRPr="0061066F">
        <w:rPr>
          <w:szCs w:val="22"/>
        </w:rPr>
        <w:tab/>
      </w:r>
      <w:r w:rsidRPr="0061066F">
        <w:rPr>
          <w:szCs w:val="22"/>
        </w:rPr>
        <w:tab/>
      </w:r>
      <w:r w:rsidRPr="0061066F">
        <w:rPr>
          <w:szCs w:val="22"/>
        </w:rPr>
        <w:tab/>
        <w:t>Name:</w:t>
      </w:r>
    </w:p>
    <w:p w14:paraId="0D23C496" w14:textId="77777777" w:rsidR="0010420D" w:rsidRPr="0061066F" w:rsidRDefault="0010420D" w:rsidP="0010420D">
      <w:pPr>
        <w:pStyle w:val="Style29"/>
        <w:tabs>
          <w:tab w:val="left" w:pos="4680"/>
        </w:tabs>
        <w:rPr>
          <w:szCs w:val="22"/>
        </w:rPr>
      </w:pPr>
      <w:r w:rsidRPr="0061066F">
        <w:rPr>
          <w:szCs w:val="22"/>
        </w:rPr>
        <w:tab/>
      </w:r>
      <w:r w:rsidRPr="0061066F">
        <w:rPr>
          <w:szCs w:val="22"/>
        </w:rPr>
        <w:tab/>
      </w:r>
      <w:r w:rsidRPr="0061066F">
        <w:rPr>
          <w:szCs w:val="22"/>
        </w:rPr>
        <w:tab/>
        <w:t>Title:</w:t>
      </w:r>
      <w:r w:rsidRPr="0061066F">
        <w:rPr>
          <w:szCs w:val="22"/>
        </w:rPr>
        <w:tab/>
      </w:r>
    </w:p>
    <w:p w14:paraId="3039644B" w14:textId="77777777" w:rsidR="0010420D" w:rsidRPr="0061066F" w:rsidRDefault="0010420D" w:rsidP="0010420D">
      <w:pPr>
        <w:rPr>
          <w:rFonts w:ascii="Times New Roman" w:hAnsi="Times New Roman" w:cs="Times New Roman"/>
          <w:b/>
          <w:bCs/>
        </w:rPr>
      </w:pPr>
    </w:p>
    <w:p w14:paraId="24C954C2" w14:textId="26B03E49" w:rsidR="0010420D" w:rsidRPr="0061066F" w:rsidRDefault="0010420D" w:rsidP="0010420D">
      <w:pPr>
        <w:jc w:val="both"/>
        <w:rPr>
          <w:rFonts w:ascii="Times New Roman" w:hAnsi="Times New Roman" w:cs="Times New Roman"/>
          <w:b/>
          <w:bCs/>
        </w:rPr>
      </w:pPr>
      <w:r w:rsidRPr="0061066F">
        <w:rPr>
          <w:rFonts w:ascii="Times New Roman" w:hAnsi="Times New Roman" w:cs="Times New Roman"/>
          <w:b/>
          <w:bCs/>
        </w:rPr>
        <w:t xml:space="preserve">PLEASE EMAIL A .PDF COPY OF THE COMPLETED AND EXECUTED QUESTIONNAIRE TO:  </w:t>
      </w:r>
    </w:p>
    <w:p w14:paraId="1ABF32C6" w14:textId="77777777" w:rsidR="0010420D" w:rsidRPr="006D0CF5" w:rsidRDefault="0010420D" w:rsidP="006D0CF5">
      <w:pPr>
        <w:spacing w:after="0" w:line="240" w:lineRule="auto"/>
        <w:jc w:val="center"/>
        <w:rPr>
          <w:rFonts w:ascii="Times New Roman" w:eastAsia="Times New Roman" w:hAnsi="Times New Roman" w:cs="Times New Roman"/>
          <w:b/>
          <w:bCs/>
          <w:color w:val="000000"/>
        </w:rPr>
      </w:pPr>
    </w:p>
    <w:bookmarkEnd w:id="0"/>
    <w:p w14:paraId="212117BB" w14:textId="77777777" w:rsidR="00B35FD8" w:rsidRDefault="00B35FD8">
      <w:pPr>
        <w:spacing w:after="0" w:line="240" w:lineRule="auto"/>
        <w:rPr>
          <w:rFonts w:ascii="Times New Roman" w:eastAsia="Times New Roman" w:hAnsi="Times New Roman" w:cs="Times New Roman"/>
          <w:color w:val="000000"/>
        </w:rPr>
      </w:pPr>
    </w:p>
    <w:sectPr w:rsidR="00B35FD8" w:rsidSect="002B2D2B">
      <w:footerReference w:type="default" r:id="rId19"/>
      <w:footerReference w:type="first" r:id="rId20"/>
      <w:pgSz w:w="12240" w:h="15840"/>
      <w:pgMar w:top="1440" w:right="1440" w:bottom="1440" w:left="144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6A">
      <wne:macro wne:macroName="PCGGLOBAL.GLOBALMACROS.CUSTOMFORMATBULLETUP"/>
    </wne:keymap>
    <wne:keymap wne:kcmPrimary="056A">
      <wne:macro wne:macroName="PCGGLOBAL.GLOBALMACROS.CUSTOMFORMATBULLETDOW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AC31" w14:textId="77777777" w:rsidR="008B7FD8" w:rsidRDefault="008B7FD8">
      <w:pPr>
        <w:spacing w:after="0" w:line="240" w:lineRule="auto"/>
      </w:pPr>
      <w:r>
        <w:separator/>
      </w:r>
    </w:p>
  </w:endnote>
  <w:endnote w:type="continuationSeparator" w:id="0">
    <w:p w14:paraId="73D25A4B" w14:textId="77777777" w:rsidR="008B7FD8" w:rsidRDefault="008B7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DD7B" w14:textId="77777777" w:rsidR="00602678" w:rsidRDefault="00602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A909" w14:textId="379F3461" w:rsidR="00B35FD8" w:rsidRDefault="002161CA">
    <w:pPr>
      <w:pStyle w:val="Footer"/>
      <w:jc w:val="center"/>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C53A55">
      <w:rPr>
        <w:rFonts w:ascii="Times New Roman" w:hAnsi="Times New Roman" w:cs="Times New Roman"/>
        <w:noProof/>
      </w:rPr>
      <w:t>2</w:t>
    </w:r>
    <w:r>
      <w:rPr>
        <w:rFonts w:ascii="Times New Roman" w:hAnsi="Times New Roman" w:cs="Times New Roman"/>
        <w:noProof/>
      </w:rPr>
      <w:fldChar w:fldCharType="end"/>
    </w:r>
  </w:p>
  <w:p w14:paraId="0E5D116E" w14:textId="6E2629CF" w:rsidR="00B35FD8" w:rsidRDefault="0084225D" w:rsidP="0084225D">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sidR="002933F1">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B597" w14:textId="41278DC5" w:rsidR="00B35FD8" w:rsidRDefault="0084225D" w:rsidP="0084225D">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sidR="002933F1">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94" w:name="SWStart"/>
  <w:p w14:paraId="2957BF8E" w14:textId="41953151" w:rsidR="00671C11" w:rsidRPr="00671C11" w:rsidRDefault="00A1749D" w:rsidP="00671C11">
    <w:pPr>
      <w:pStyle w:val="Footer"/>
      <w:jc w:val="cente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66432" behindDoc="0" locked="0" layoutInCell="0" allowOverlap="1" wp14:anchorId="1391C745" wp14:editId="1FFD47EC">
              <wp:simplePos x="0" y="0"/>
              <wp:positionH relativeFrom="column">
                <wp:posOffset>0</wp:posOffset>
              </wp:positionH>
              <wp:positionV relativeFrom="page">
                <wp:posOffset>9600565</wp:posOffset>
              </wp:positionV>
              <wp:extent cx="5943600" cy="274320"/>
              <wp:effectExtent l="0" t="0" r="0" b="11430"/>
              <wp:wrapNone/>
              <wp:docPr id="3" name="SWFootPg99"/>
              <wp:cNvGraphicFramePr/>
              <a:graphic xmlns:a="http://schemas.openxmlformats.org/drawingml/2006/main">
                <a:graphicData uri="http://schemas.microsoft.com/office/word/2010/wordprocessingShape">
                  <wps:wsp>
                    <wps:cNvSpPr txBox="1"/>
                    <wps:spPr>
                      <a:xfrm>
                        <a:off x="0" y="0"/>
                        <a:ext cx="5943600" cy="2743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A32FA6" w14:textId="1A3A3F45" w:rsidR="00A1749D" w:rsidRPr="00A1749D" w:rsidRDefault="00A1749D" w:rsidP="00A1749D">
                          <w:pPr>
                            <w:rPr>
                              <w:sz w:val="14"/>
                            </w:rPr>
                          </w:pPr>
                          <w:r>
                            <w:rPr>
                              <w:sz w:val="14"/>
                            </w:rPr>
                            <w:fldChar w:fldCharType="begin"/>
                          </w:r>
                          <w:r>
                            <w:rPr>
                              <w:sz w:val="14"/>
                            </w:rPr>
                            <w:instrText xml:space="preserve"> </w:instrText>
                          </w:r>
                          <w:r w:rsidRPr="00A1749D">
                            <w:rPr>
                              <w:sz w:val="14"/>
                            </w:rPr>
                            <w:instrText>IF "</w:instrText>
                          </w:r>
                          <w:r w:rsidRPr="00A1749D">
                            <w:rPr>
                              <w:sz w:val="14"/>
                            </w:rPr>
                            <w:fldChar w:fldCharType="begin"/>
                          </w:r>
                          <w:r w:rsidRPr="00A1749D">
                            <w:rPr>
                              <w:sz w:val="14"/>
                            </w:rPr>
                            <w:instrText xml:space="preserve"> DOCVARIABLE "SWDocIDLocation" </w:instrText>
                          </w:r>
                          <w:r w:rsidRPr="00A1749D">
                            <w:rPr>
                              <w:sz w:val="14"/>
                            </w:rPr>
                            <w:fldChar w:fldCharType="separate"/>
                          </w:r>
                          <w:r w:rsidR="00C32276">
                            <w:rPr>
                              <w:sz w:val="14"/>
                            </w:rPr>
                            <w:instrText>4096</w:instrText>
                          </w:r>
                          <w:r w:rsidRPr="00A1749D">
                            <w:rPr>
                              <w:sz w:val="14"/>
                            </w:rPr>
                            <w:fldChar w:fldCharType="end"/>
                          </w:r>
                          <w:r w:rsidRPr="00A1749D">
                            <w:rPr>
                              <w:sz w:val="14"/>
                            </w:rPr>
                            <w:instrText>" = "2" "</w:instrText>
                          </w:r>
                          <w:r w:rsidRPr="00A1749D">
                            <w:rPr>
                              <w:sz w:val="14"/>
                            </w:rPr>
                            <w:fldChar w:fldCharType="begin"/>
                          </w:r>
                          <w:r w:rsidRPr="00A1749D">
                            <w:rPr>
                              <w:sz w:val="14"/>
                            </w:rPr>
                            <w:instrText xml:space="preserve"> DOCPROPERTY "SWDocID" </w:instrText>
                          </w:r>
                          <w:r w:rsidRPr="00A1749D">
                            <w:rPr>
                              <w:sz w:val="14"/>
                            </w:rPr>
                            <w:fldChar w:fldCharType="separate"/>
                          </w:r>
                          <w:r>
                            <w:rPr>
                              <w:sz w:val="14"/>
                            </w:rPr>
                            <w:instrText xml:space="preserve"> 4885-9433-7646 </w:instrText>
                          </w:r>
                          <w:r w:rsidRPr="00A1749D">
                            <w:rPr>
                              <w:sz w:val="14"/>
                            </w:rPr>
                            <w:fldChar w:fldCharType="end"/>
                          </w:r>
                          <w:r w:rsidRPr="00A1749D">
                            <w:rPr>
                              <w:sz w:val="14"/>
                            </w:rPr>
                            <w:instrText>" ""</w:instrText>
                          </w:r>
                          <w:r>
                            <w:rPr>
                              <w:sz w:val="14"/>
                            </w:rPr>
                            <w:instrText xml:space="preserve"> </w:instrText>
                          </w:r>
                          <w:r w:rsidR="002A6704">
                            <w:rPr>
                              <w:sz w:val="14"/>
                            </w:rPr>
                            <w:fldChar w:fldCharType="separate"/>
                          </w:r>
                          <w:r>
                            <w:rPr>
                              <w:sz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391C745" id="_x0000_t202" coordsize="21600,21600" o:spt="202" path="m,l,21600r21600,l21600,xe">
              <v:stroke joinstyle="miter"/>
              <v:path gradientshapeok="t" o:connecttype="rect"/>
            </v:shapetype>
            <v:shape id="SWFootPg99" o:spid="_x0000_s1026" type="#_x0000_t202" style="position:absolute;left:0;text-align:left;margin-left:0;margin-top:755.95pt;width:468pt;height:21.6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pFDQIAABwEAAAOAAAAZHJzL2Uyb0RvYy54bWysU11v2yAUfZ+0/4B4X+wkbbZZcaqsVaZJ&#10;UVspnfpMMMSWgMuAxM5+/S7YTqZuT9Ne8DX3+5zD8q7TipyE8w2Ykk4nOSXCcKgacyjp95fNh0+U&#10;+MBMxRQYUdKz8PRu9f7dsrWFmEENqhKOYBHji9aWtA7BFlnmeS008xOwwqBTgtMs4K87ZJVjLVbX&#10;Kpvl+SJrwVXWARfe4+1D76SrVF9KwcOTlF4EokqKs4V0unTu45mtlqw4OGbrhg9jsH+YQrPGYNNL&#10;qQcWGDm65o9SuuEOPMgw4aAzkLLhIu2A20zzN9vsamZF2gXB8fYCk/9/ZfnjaWefHQndF+iQwAhI&#10;a33h8TLu00mn4xcnJehHCM8X2EQXCMfL288380WOLo6+2ceb+Szhml2zrfPhqwBNolFSh7QktNhp&#10;6wN2xNAxJDYzsGmUStQoQ9qSLua3eUq4eDBDGUy8zhqt0O27YYE9VGfcy0FPubd802DzLfPhmTnk&#10;GOdF3YYnPKQCbAKDRUkN7uff7mM8Qo9eSlrUTEn9jyNzghL1zSApUWCj4UZjPxrmqO8BZTjFF2F5&#10;MjHBBTWa0oF+RTmvYxd0McOxV0nDaN6HXrn4HLhYr1MQysiysDU7y2PpCF+E8qV7Zc4OeAdk6hFG&#10;NbHiDex9bA/8+hhANomTCGiP4oAzSjBRNTyXqPHf/1PU9VGvfgEAAP//AwBQSwMEFAAGAAgAAAAh&#10;AGzebg3eAAAACgEAAA8AAABkcnMvZG93bnJldi54bWxMj81OwzAQhO9IvIO1SNyoY1AqGuJUiJ8b&#10;UGiLBDcnNkmEvY5sJw1vz/YEx/1mNDtTrmdn2WRC7D1KEIsMmMHG6x5bCfvd48U1sJgUamU9Ggk/&#10;JsK6Oj0pVaH9Ad/MtE0toxCMhZLQpTQUnMemM07FhR8Mkvblg1OJztByHdSBwp3ll1m25E71SB86&#10;NZi7zjTf29FJsB8xPNVZ+pzu2+f0uuHj+4N4kfL8bL69AZbMnP7McKxP1aGiTrUfUUdmJdCQRDQX&#10;YgWM9NXVklB9RHkugFcl/z+h+gUAAP//AwBQSwECLQAUAAYACAAAACEAtoM4kv4AAADhAQAAEwAA&#10;AAAAAAAAAAAAAAAAAAAAW0NvbnRlbnRfVHlwZXNdLnhtbFBLAQItABQABgAIAAAAIQA4/SH/1gAA&#10;AJQBAAALAAAAAAAAAAAAAAAAAC8BAABfcmVscy8ucmVsc1BLAQItABQABgAIAAAAIQCdjrpFDQIA&#10;ABwEAAAOAAAAAAAAAAAAAAAAAC4CAABkcnMvZTJvRG9jLnhtbFBLAQItABQABgAIAAAAIQBs3m4N&#10;3gAAAAoBAAAPAAAAAAAAAAAAAAAAAGcEAABkcnMvZG93bnJldi54bWxQSwUGAAAAAAQABADzAAAA&#10;cgUAAAAA&#10;" o:allowincell="f" filled="f" stroked="f" strokeweight=".5pt">
              <v:textbox inset="0,0,0,0">
                <w:txbxContent>
                  <w:p w14:paraId="2FA32FA6" w14:textId="1A3A3F45" w:rsidR="00A1749D" w:rsidRPr="00A1749D" w:rsidRDefault="00A1749D" w:rsidP="00A1749D">
                    <w:pPr>
                      <w:rPr>
                        <w:sz w:val="14"/>
                      </w:rPr>
                    </w:pPr>
                    <w:r>
                      <w:rPr>
                        <w:sz w:val="14"/>
                      </w:rPr>
                      <w:fldChar w:fldCharType="begin"/>
                    </w:r>
                    <w:r>
                      <w:rPr>
                        <w:sz w:val="14"/>
                      </w:rPr>
                      <w:instrText xml:space="preserve"> </w:instrText>
                    </w:r>
                    <w:r w:rsidRPr="00A1749D">
                      <w:rPr>
                        <w:sz w:val="14"/>
                      </w:rPr>
                      <w:instrText>IF "</w:instrText>
                    </w:r>
                    <w:r w:rsidRPr="00A1749D">
                      <w:rPr>
                        <w:sz w:val="14"/>
                      </w:rPr>
                      <w:fldChar w:fldCharType="begin"/>
                    </w:r>
                    <w:r w:rsidRPr="00A1749D">
                      <w:rPr>
                        <w:sz w:val="14"/>
                      </w:rPr>
                      <w:instrText xml:space="preserve"> DOCVARIABLE "SWDocIDLocation" </w:instrText>
                    </w:r>
                    <w:r w:rsidRPr="00A1749D">
                      <w:rPr>
                        <w:sz w:val="14"/>
                      </w:rPr>
                      <w:fldChar w:fldCharType="separate"/>
                    </w:r>
                    <w:r w:rsidR="00C32276">
                      <w:rPr>
                        <w:sz w:val="14"/>
                      </w:rPr>
                      <w:instrText>4096</w:instrText>
                    </w:r>
                    <w:r w:rsidRPr="00A1749D">
                      <w:rPr>
                        <w:sz w:val="14"/>
                      </w:rPr>
                      <w:fldChar w:fldCharType="end"/>
                    </w:r>
                    <w:r w:rsidRPr="00A1749D">
                      <w:rPr>
                        <w:sz w:val="14"/>
                      </w:rPr>
                      <w:instrText>" = "2" "</w:instrText>
                    </w:r>
                    <w:r w:rsidRPr="00A1749D">
                      <w:rPr>
                        <w:sz w:val="14"/>
                      </w:rPr>
                      <w:fldChar w:fldCharType="begin"/>
                    </w:r>
                    <w:r w:rsidRPr="00A1749D">
                      <w:rPr>
                        <w:sz w:val="14"/>
                      </w:rPr>
                      <w:instrText xml:space="preserve"> DOCPROPERTY "SWDocID" </w:instrText>
                    </w:r>
                    <w:r w:rsidRPr="00A1749D">
                      <w:rPr>
                        <w:sz w:val="14"/>
                      </w:rPr>
                      <w:fldChar w:fldCharType="separate"/>
                    </w:r>
                    <w:r>
                      <w:rPr>
                        <w:sz w:val="14"/>
                      </w:rPr>
                      <w:instrText xml:space="preserve"> 4885-9433-7646 </w:instrText>
                    </w:r>
                    <w:r w:rsidRPr="00A1749D">
                      <w:rPr>
                        <w:sz w:val="14"/>
                      </w:rPr>
                      <w:fldChar w:fldCharType="end"/>
                    </w:r>
                    <w:r w:rsidRPr="00A1749D">
                      <w:rPr>
                        <w:sz w:val="14"/>
                      </w:rPr>
                      <w:instrText>" ""</w:instrText>
                    </w:r>
                    <w:r>
                      <w:rPr>
                        <w:sz w:val="14"/>
                      </w:rPr>
                      <w:instrText xml:space="preserve"> </w:instrText>
                    </w:r>
                    <w:r w:rsidR="00C657D9">
                      <w:rPr>
                        <w:sz w:val="14"/>
                      </w:rPr>
                      <w:fldChar w:fldCharType="separate"/>
                    </w:r>
                    <w:r>
                      <w:rPr>
                        <w:sz w:val="14"/>
                      </w:rPr>
                      <w:fldChar w:fldCharType="end"/>
                    </w:r>
                  </w:p>
                </w:txbxContent>
              </v:textbox>
              <w10:wrap anchory="page"/>
            </v:shape>
          </w:pict>
        </mc:Fallback>
      </mc:AlternateContent>
    </w:r>
    <w:r w:rsidR="00671C11" w:rsidRPr="00671C11">
      <w:rPr>
        <w:rFonts w:ascii="Times New Roman" w:hAnsi="Times New Roman" w:cs="Times New Roman"/>
        <w:i/>
        <w:iCs/>
      </w:rPr>
      <w:t>[</w:t>
    </w:r>
    <w:bookmarkEnd w:id="94"/>
    <w:r w:rsidR="00671C11" w:rsidRPr="00671C11">
      <w:rPr>
        <w:rFonts w:ascii="Times New Roman" w:hAnsi="Times New Roman" w:cs="Times New Roman"/>
        <w:i/>
        <w:iCs/>
      </w:rPr>
      <w:t>Signature Page to Registration Rights Agreement]</w:t>
    </w:r>
  </w:p>
  <w:p w14:paraId="573D80B3" w14:textId="7A7EE06D" w:rsidR="00671C11" w:rsidRDefault="00671C11" w:rsidP="00671C11">
    <w:pPr>
      <w:pStyle w:val="Footer"/>
      <w:jc w:val="center"/>
      <w:rPr>
        <w:rFonts w:ascii="Times New Roman" w:hAnsi="Times New Roman" w:cs="Times New Roman"/>
        <w:noProof/>
      </w:rPr>
    </w:pPr>
  </w:p>
  <w:p w14:paraId="52C72545" w14:textId="3B1CA7C2" w:rsidR="002933F1" w:rsidRDefault="002933F1" w:rsidP="00D07E57">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p w14:paraId="44FFBA44" w14:textId="58F294F4" w:rsidR="00671C11" w:rsidRDefault="00671C11" w:rsidP="0084225D">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sidR="00C32276">
      <w:rPr>
        <w:sz w:val="14"/>
      </w:rPr>
      <w:instrText>4096</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1F93" w14:textId="77777777" w:rsidR="00671C11" w:rsidRPr="00671C11" w:rsidRDefault="00671C11" w:rsidP="00671C11">
    <w:pPr>
      <w:pStyle w:val="Footer"/>
      <w:jc w:val="center"/>
      <w:rPr>
        <w:rFonts w:ascii="Times New Roman" w:hAnsi="Times New Roman" w:cs="Times New Roman"/>
        <w:i/>
        <w:iCs/>
      </w:rPr>
    </w:pPr>
    <w:r w:rsidRPr="00671C11">
      <w:rPr>
        <w:rFonts w:ascii="Times New Roman" w:hAnsi="Times New Roman" w:cs="Times New Roman"/>
        <w:i/>
        <w:iCs/>
      </w:rPr>
      <w:t>[Signature Page to Registration Rights Agreement]</w:t>
    </w:r>
  </w:p>
  <w:p w14:paraId="1A419240" w14:textId="08DDDB90" w:rsidR="002933F1" w:rsidRDefault="002933F1" w:rsidP="00607648">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p w14:paraId="169AD420" w14:textId="3622315D" w:rsidR="00671C11" w:rsidRDefault="00671C11" w:rsidP="0084225D">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sidR="00C32276">
      <w:rPr>
        <w:sz w:val="14"/>
      </w:rPr>
      <w:instrText>4096</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6470"/>
      <w:docPartObj>
        <w:docPartGallery w:val="Page Numbers (Bottom of Page)"/>
        <w:docPartUnique/>
      </w:docPartObj>
    </w:sdtPr>
    <w:sdtEndPr>
      <w:rPr>
        <w:noProof/>
      </w:rPr>
    </w:sdtEndPr>
    <w:sdtContent>
      <w:p w14:paraId="15257500" w14:textId="5EB5D457" w:rsidR="0061066F" w:rsidRDefault="006106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BF8FEA" w14:textId="391AEEA5" w:rsidR="002933F1" w:rsidRDefault="002933F1" w:rsidP="00D07E57">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Pr>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360492"/>
      <w:docPartObj>
        <w:docPartGallery w:val="Page Numbers (Bottom of Page)"/>
        <w:docPartUnique/>
      </w:docPartObj>
    </w:sdtPr>
    <w:sdtEndPr>
      <w:rPr>
        <w:rFonts w:ascii="Times New Roman" w:hAnsi="Times New Roman" w:cs="Times New Roman"/>
        <w:noProof/>
        <w:sz w:val="24"/>
        <w:szCs w:val="24"/>
      </w:rPr>
    </w:sdtEndPr>
    <w:sdtContent>
      <w:p w14:paraId="45BBDD93" w14:textId="57DD9453" w:rsidR="0061066F" w:rsidRPr="00FC28A9" w:rsidRDefault="0061066F">
        <w:pPr>
          <w:pStyle w:val="Footer"/>
          <w:jc w:val="center"/>
          <w:rPr>
            <w:rFonts w:ascii="Times New Roman" w:hAnsi="Times New Roman" w:cs="Times New Roman"/>
            <w:sz w:val="24"/>
            <w:szCs w:val="24"/>
          </w:rPr>
        </w:pPr>
        <w:r w:rsidRPr="00FC28A9">
          <w:rPr>
            <w:rFonts w:ascii="Times New Roman" w:hAnsi="Times New Roman" w:cs="Times New Roman"/>
            <w:sz w:val="24"/>
            <w:szCs w:val="24"/>
          </w:rPr>
          <w:fldChar w:fldCharType="begin"/>
        </w:r>
        <w:r w:rsidRPr="00FC28A9">
          <w:rPr>
            <w:rFonts w:ascii="Times New Roman" w:hAnsi="Times New Roman" w:cs="Times New Roman"/>
            <w:sz w:val="24"/>
            <w:szCs w:val="24"/>
          </w:rPr>
          <w:instrText xml:space="preserve"> PAGE   \* MERGEFORMAT </w:instrText>
        </w:r>
        <w:r w:rsidRPr="00FC28A9">
          <w:rPr>
            <w:rFonts w:ascii="Times New Roman" w:hAnsi="Times New Roman" w:cs="Times New Roman"/>
            <w:sz w:val="24"/>
            <w:szCs w:val="24"/>
          </w:rPr>
          <w:fldChar w:fldCharType="separate"/>
        </w:r>
        <w:r w:rsidRPr="00FC28A9">
          <w:rPr>
            <w:rFonts w:ascii="Times New Roman" w:hAnsi="Times New Roman" w:cs="Times New Roman"/>
            <w:noProof/>
            <w:sz w:val="24"/>
            <w:szCs w:val="24"/>
          </w:rPr>
          <w:t>2</w:t>
        </w:r>
        <w:r w:rsidRPr="00FC28A9">
          <w:rPr>
            <w:rFonts w:ascii="Times New Roman" w:hAnsi="Times New Roman" w:cs="Times New Roman"/>
            <w:noProof/>
            <w:sz w:val="24"/>
            <w:szCs w:val="24"/>
          </w:rPr>
          <w:fldChar w:fldCharType="end"/>
        </w:r>
      </w:p>
    </w:sdtContent>
  </w:sdt>
  <w:p w14:paraId="61B27C04" w14:textId="4C5C5A21" w:rsidR="002933F1" w:rsidRDefault="002933F1" w:rsidP="00607648">
    <w:pPr>
      <w:pStyle w:val="Footer"/>
    </w:pPr>
    <w:r>
      <w:rPr>
        <w:sz w:val="14"/>
      </w:rPr>
      <w:fldChar w:fldCharType="begin"/>
    </w:r>
    <w:r>
      <w:rPr>
        <w:sz w:val="14"/>
      </w:rPr>
      <w:instrText xml:space="preserve"> </w:instrText>
    </w:r>
    <w:r w:rsidRPr="0084225D">
      <w:rPr>
        <w:sz w:val="14"/>
      </w:rPr>
      <w:instrText>IF "</w:instrText>
    </w:r>
    <w:r w:rsidRPr="0084225D">
      <w:rPr>
        <w:sz w:val="14"/>
      </w:rPr>
      <w:fldChar w:fldCharType="begin"/>
    </w:r>
    <w:r w:rsidRPr="0084225D">
      <w:rPr>
        <w:sz w:val="14"/>
      </w:rPr>
      <w:instrText xml:space="preserve"> DOCVARIABLE "SWDocIDLocation" </w:instrText>
    </w:r>
    <w:r w:rsidRPr="0084225D">
      <w:rPr>
        <w:sz w:val="14"/>
      </w:rPr>
      <w:fldChar w:fldCharType="separate"/>
    </w:r>
    <w:r>
      <w:rPr>
        <w:b/>
        <w:bCs/>
        <w:sz w:val="14"/>
      </w:rPr>
      <w:instrText>Error! No document variable supplied.</w:instrText>
    </w:r>
    <w:r w:rsidRPr="0084225D">
      <w:rPr>
        <w:sz w:val="14"/>
      </w:rPr>
      <w:fldChar w:fldCharType="end"/>
    </w:r>
    <w:r w:rsidRPr="0084225D">
      <w:rPr>
        <w:sz w:val="14"/>
      </w:rPr>
      <w:instrText>" = "1" "" ""</w:instrText>
    </w:r>
    <w:r>
      <w:rPr>
        <w:sz w:val="14"/>
      </w:rPr>
      <w:instrText xml:space="preserve"> </w:instrText>
    </w:r>
    <w:r w:rsidR="002A6704">
      <w:rPr>
        <w:sz w:val="14"/>
      </w:rPr>
      <w:fldChar w:fldCharType="separate"/>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281D" w14:textId="77777777" w:rsidR="008B7FD8" w:rsidRDefault="008B7FD8">
      <w:pPr>
        <w:spacing w:after="0" w:line="240" w:lineRule="auto"/>
      </w:pPr>
      <w:r>
        <w:separator/>
      </w:r>
    </w:p>
  </w:footnote>
  <w:footnote w:type="continuationSeparator" w:id="0">
    <w:p w14:paraId="2194BE46" w14:textId="77777777" w:rsidR="008B7FD8" w:rsidRDefault="008B7FD8">
      <w:pPr>
        <w:spacing w:after="0" w:line="240" w:lineRule="auto"/>
      </w:pPr>
      <w:r>
        <w:continuationSeparator/>
      </w:r>
    </w:p>
  </w:footnote>
  <w:footnote w:id="1">
    <w:p w14:paraId="1BF7216B" w14:textId="06ECCE15" w:rsidR="004036E2" w:rsidRPr="002A6704" w:rsidRDefault="004036E2" w:rsidP="004036E2">
      <w:pPr>
        <w:pStyle w:val="FootnoteText"/>
        <w:rPr>
          <w:rFonts w:ascii="Times New Roman" w:hAnsi="Times New Roman" w:cs="Times New Roman"/>
        </w:rPr>
      </w:pPr>
      <w:r w:rsidRPr="002A6704">
        <w:rPr>
          <w:rStyle w:val="FootnoteReference"/>
          <w:rFonts w:ascii="Times New Roman" w:hAnsi="Times New Roman" w:cs="Times New Roman"/>
        </w:rPr>
        <w:footnoteRef/>
      </w:r>
      <w:r w:rsidRPr="002A6704">
        <w:rPr>
          <w:rFonts w:ascii="Times New Roman" w:hAnsi="Times New Roman" w:cs="Times New Roman"/>
        </w:rPr>
        <w:t xml:space="preserve"> These model PIPE documents (for a </w:t>
      </w:r>
      <w:r w:rsidR="00F16D38" w:rsidRPr="002A6704">
        <w:rPr>
          <w:rFonts w:ascii="Times New Roman" w:hAnsi="Times New Roman" w:cs="Times New Roman"/>
        </w:rPr>
        <w:t xml:space="preserve">foreign private </w:t>
      </w:r>
      <w:r w:rsidRPr="002A6704">
        <w:rPr>
          <w:rFonts w:ascii="Times New Roman" w:hAnsi="Times New Roman" w:cs="Times New Roman"/>
        </w:rPr>
        <w:t xml:space="preserve">issuer) have not been tailored for use in connection with a reverse merger, a deSPAC transaction or a financing requiring stockholder approval under NYSE or Nasdaq rules.  </w:t>
      </w:r>
    </w:p>
  </w:footnote>
  <w:footnote w:id="2">
    <w:p w14:paraId="14BBF22C" w14:textId="6E85012E" w:rsidR="00670C16" w:rsidRPr="002A6704" w:rsidRDefault="00670C16">
      <w:pPr>
        <w:pStyle w:val="FootnoteText"/>
        <w:rPr>
          <w:rFonts w:ascii="Times New Roman" w:hAnsi="Times New Roman" w:cs="Times New Roman"/>
        </w:rPr>
      </w:pPr>
      <w:r w:rsidRPr="002A6704">
        <w:rPr>
          <w:rStyle w:val="FootnoteReference"/>
          <w:rFonts w:ascii="Times New Roman" w:hAnsi="Times New Roman" w:cs="Times New Roman"/>
        </w:rPr>
        <w:footnoteRef/>
      </w:r>
      <w:r w:rsidRPr="002A6704">
        <w:rPr>
          <w:rFonts w:ascii="Times New Roman" w:hAnsi="Times New Roman" w:cs="Times New Roman"/>
        </w:rPr>
        <w:t xml:space="preserve"> Insert par or nominal value of the Ordinary Shares.</w:t>
      </w:r>
    </w:p>
  </w:footnote>
  <w:footnote w:id="3">
    <w:p w14:paraId="75B774A6" w14:textId="7596DD88" w:rsidR="00670C16" w:rsidRPr="002A6704" w:rsidRDefault="00670C16">
      <w:pPr>
        <w:pStyle w:val="FootnoteText"/>
        <w:rPr>
          <w:rFonts w:ascii="Times New Roman" w:hAnsi="Times New Roman" w:cs="Times New Roman"/>
        </w:rPr>
      </w:pPr>
      <w:r w:rsidRPr="002A6704">
        <w:rPr>
          <w:rStyle w:val="FootnoteReference"/>
          <w:rFonts w:ascii="Times New Roman" w:hAnsi="Times New Roman" w:cs="Times New Roman"/>
        </w:rPr>
        <w:footnoteRef/>
      </w:r>
      <w:r w:rsidRPr="002A6704">
        <w:rPr>
          <w:rFonts w:ascii="Times New Roman" w:hAnsi="Times New Roman" w:cs="Times New Roman"/>
        </w:rPr>
        <w:t xml:space="preserve"> Include if Company is issuing Ordinary Shares.</w:t>
      </w:r>
    </w:p>
  </w:footnote>
  <w:footnote w:id="4">
    <w:p w14:paraId="32ED2E8B" w14:textId="6EFD39B1" w:rsidR="00753920" w:rsidRPr="002A6704" w:rsidRDefault="00753920" w:rsidP="00753920">
      <w:pPr>
        <w:pStyle w:val="FootnoteText"/>
        <w:rPr>
          <w:rFonts w:ascii="Times New Roman" w:hAnsi="Times New Roman" w:cs="Times New Roman"/>
        </w:rPr>
      </w:pPr>
      <w:r w:rsidRPr="002A6704">
        <w:rPr>
          <w:rStyle w:val="FootnoteReference"/>
          <w:rFonts w:ascii="Times New Roman" w:hAnsi="Times New Roman" w:cs="Times New Roman"/>
        </w:rPr>
        <w:footnoteRef/>
      </w:r>
      <w:r w:rsidRPr="002A6704">
        <w:rPr>
          <w:rFonts w:ascii="Times New Roman" w:hAnsi="Times New Roman" w:cs="Times New Roman"/>
        </w:rPr>
        <w:t xml:space="preserve"> Insert par or nominal value </w:t>
      </w:r>
      <w:r w:rsidR="00670C16" w:rsidRPr="002A6704">
        <w:rPr>
          <w:rFonts w:ascii="Times New Roman" w:hAnsi="Times New Roman" w:cs="Times New Roman"/>
        </w:rPr>
        <w:t>of the Ordinary Shares.</w:t>
      </w:r>
    </w:p>
  </w:footnote>
  <w:footnote w:id="5">
    <w:p w14:paraId="4AA7FE21" w14:textId="3F63672F" w:rsidR="00670C16" w:rsidRDefault="00670C16">
      <w:pPr>
        <w:pStyle w:val="FootnoteText"/>
      </w:pPr>
      <w:r w:rsidRPr="002A6704">
        <w:rPr>
          <w:rStyle w:val="FootnoteReference"/>
          <w:rFonts w:ascii="Times New Roman" w:hAnsi="Times New Roman" w:cs="Times New Roman"/>
        </w:rPr>
        <w:footnoteRef/>
      </w:r>
      <w:r w:rsidRPr="002A6704">
        <w:rPr>
          <w:rFonts w:ascii="Times New Roman" w:hAnsi="Times New Roman" w:cs="Times New Roman"/>
        </w:rPr>
        <w:t xml:space="preserve"> Insert if Company is issuing ADSs.</w:t>
      </w:r>
    </w:p>
  </w:footnote>
  <w:footnote w:id="6">
    <w:p w14:paraId="2CDA5718" w14:textId="71D13D71" w:rsidR="00025F17" w:rsidRDefault="00025F17">
      <w:pPr>
        <w:pStyle w:val="FootnoteText"/>
      </w:pPr>
      <w:r>
        <w:rPr>
          <w:rStyle w:val="FootnoteReference"/>
        </w:rPr>
        <w:footnoteRef/>
      </w:r>
      <w:r>
        <w:t xml:space="preserve"> </w:t>
      </w:r>
      <w:r w:rsidRPr="00BC5AAF">
        <w:rPr>
          <w:rFonts w:ascii="Times New Roman" w:hAnsi="Times New Roman"/>
        </w:rPr>
        <w:t>Additional time may be needed if financial statement</w:t>
      </w:r>
      <w:r w:rsidR="00555765">
        <w:rPr>
          <w:rFonts w:ascii="Times New Roman" w:hAnsi="Times New Roman"/>
        </w:rPr>
        <w:t>s</w:t>
      </w:r>
      <w:r w:rsidRPr="00BC5AAF">
        <w:rPr>
          <w:rFonts w:ascii="Times New Roman" w:hAnsi="Times New Roman"/>
        </w:rPr>
        <w:t xml:space="preserve"> are stale</w:t>
      </w:r>
      <w:r w:rsidR="00A15392">
        <w:rPr>
          <w:rFonts w:ascii="Times New Roman" w:hAnsi="Times New Roman"/>
        </w:rPr>
        <w:t>.</w:t>
      </w:r>
    </w:p>
  </w:footnote>
  <w:footnote w:id="7">
    <w:p w14:paraId="0A4318EB" w14:textId="58E9486B" w:rsidR="009351C0" w:rsidRDefault="009351C0">
      <w:pPr>
        <w:pStyle w:val="FootnoteText"/>
      </w:pPr>
      <w:r>
        <w:rPr>
          <w:rStyle w:val="FootnoteReference"/>
        </w:rPr>
        <w:footnoteRef/>
      </w:r>
      <w:r w:rsidRPr="00BC5AAF">
        <w:rPr>
          <w:rFonts w:ascii="Times New Roman" w:hAnsi="Times New Roman"/>
        </w:rPr>
        <w:t xml:space="preserve"> This provision will be included on a case-by-case basis depending on the </w:t>
      </w:r>
      <w:r w:rsidR="00F93E03">
        <w:rPr>
          <w:rFonts w:ascii="Times New Roman" w:hAnsi="Times New Roman"/>
        </w:rPr>
        <w:t xml:space="preserve">importance </w:t>
      </w:r>
      <w:r w:rsidR="00601013">
        <w:rPr>
          <w:rFonts w:ascii="Times New Roman" w:hAnsi="Times New Roman"/>
        </w:rPr>
        <w:t xml:space="preserve">to the investor </w:t>
      </w:r>
      <w:r w:rsidR="00F93E03">
        <w:rPr>
          <w:rFonts w:ascii="Times New Roman" w:hAnsi="Times New Roman"/>
        </w:rPr>
        <w:t xml:space="preserve">of prompt resaleability and the </w:t>
      </w:r>
      <w:r w:rsidRPr="00BC5AAF">
        <w:rPr>
          <w:rFonts w:ascii="Times New Roman" w:hAnsi="Times New Roman"/>
        </w:rPr>
        <w:t>relative bargaining power of the parties.</w:t>
      </w:r>
    </w:p>
  </w:footnote>
  <w:footnote w:id="8">
    <w:p w14:paraId="117D35DA" w14:textId="381A7177" w:rsidR="00126555" w:rsidRDefault="00126555">
      <w:pPr>
        <w:pStyle w:val="FootnoteText"/>
      </w:pPr>
      <w:r>
        <w:rPr>
          <w:rStyle w:val="FootnoteReference"/>
        </w:rPr>
        <w:footnoteRef/>
      </w:r>
      <w:r>
        <w:t xml:space="preserve"> </w:t>
      </w:r>
      <w:r w:rsidRPr="00BC5AAF">
        <w:rPr>
          <w:rFonts w:ascii="Times New Roman" w:hAnsi="Times New Roman"/>
        </w:rPr>
        <w:t>Best practice is to ask Investors to provide completed Questionnaires at the time they provide executed signature pages.</w:t>
      </w:r>
      <w:r>
        <w:t xml:space="preserve"> </w:t>
      </w:r>
    </w:p>
  </w:footnote>
  <w:footnote w:id="9">
    <w:p w14:paraId="485E536A" w14:textId="038AA86C" w:rsidR="00126555" w:rsidRDefault="00126555">
      <w:pPr>
        <w:pStyle w:val="FootnoteText"/>
      </w:pPr>
      <w:r>
        <w:rPr>
          <w:rStyle w:val="FootnoteReference"/>
        </w:rPr>
        <w:footnoteRef/>
      </w:r>
      <w:r w:rsidRPr="00BC5AAF">
        <w:rPr>
          <w:rFonts w:ascii="Times New Roman" w:hAnsi="Times New Roman"/>
        </w:rPr>
        <w:t xml:space="preserve"> Best practice is to collect completed Investor Questionnaires along with executed signature pages.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C5B8" w14:textId="77777777" w:rsidR="00602678" w:rsidRDefault="006026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5350" w14:textId="77777777" w:rsidR="00B35FD8" w:rsidRDefault="00B35FD8">
    <w:pPr>
      <w:pStyle w:val="Header"/>
      <w:jc w:val="right"/>
      <w:rPr>
        <w:rFonts w:ascii="Times New Roman" w:hAnsi="Times New Roman" w:cs="Times New Roman"/>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3E4B" w14:textId="7A3B884F" w:rsidR="00872B0E" w:rsidRDefault="00872B0E" w:rsidP="00107A0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35D1" w14:textId="77777777" w:rsidR="00B35FD8" w:rsidRDefault="00B35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7F8CDD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BB01E99"/>
    <w:multiLevelType w:val="hybridMultilevel"/>
    <w:tmpl w:val="29982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6CDD"/>
    <w:multiLevelType w:val="hybridMultilevel"/>
    <w:tmpl w:val="598600EC"/>
    <w:name w:val="DocXtoolsCompanion_1"/>
    <w:lvl w:ilvl="0" w:tplc="40381604">
      <w:start w:val="1"/>
      <w:numFmt w:val="lowerLetter"/>
      <w:lvlText w:val="(%1)"/>
      <w:lvlJc w:val="left"/>
      <w:pPr>
        <w:ind w:left="720" w:hanging="360"/>
      </w:pPr>
      <w:rPr>
        <w:rFonts w:hint="default"/>
      </w:rPr>
    </w:lvl>
    <w:lvl w:ilvl="1" w:tplc="F300FE10" w:tentative="1">
      <w:start w:val="1"/>
      <w:numFmt w:val="lowerLetter"/>
      <w:lvlText w:val="%2."/>
      <w:lvlJc w:val="left"/>
      <w:pPr>
        <w:ind w:left="1440" w:hanging="360"/>
      </w:pPr>
    </w:lvl>
    <w:lvl w:ilvl="2" w:tplc="696838A0" w:tentative="1">
      <w:start w:val="1"/>
      <w:numFmt w:val="lowerRoman"/>
      <w:lvlText w:val="%3."/>
      <w:lvlJc w:val="right"/>
      <w:pPr>
        <w:ind w:left="2160" w:hanging="180"/>
      </w:pPr>
    </w:lvl>
    <w:lvl w:ilvl="3" w:tplc="B360DF6E" w:tentative="1">
      <w:start w:val="1"/>
      <w:numFmt w:val="decimal"/>
      <w:lvlText w:val="%4."/>
      <w:lvlJc w:val="left"/>
      <w:pPr>
        <w:ind w:left="2880" w:hanging="360"/>
      </w:pPr>
    </w:lvl>
    <w:lvl w:ilvl="4" w:tplc="0C628406" w:tentative="1">
      <w:start w:val="1"/>
      <w:numFmt w:val="lowerLetter"/>
      <w:lvlText w:val="%5."/>
      <w:lvlJc w:val="left"/>
      <w:pPr>
        <w:ind w:left="3600" w:hanging="360"/>
      </w:pPr>
    </w:lvl>
    <w:lvl w:ilvl="5" w:tplc="608A2A82" w:tentative="1">
      <w:start w:val="1"/>
      <w:numFmt w:val="lowerRoman"/>
      <w:lvlText w:val="%6."/>
      <w:lvlJc w:val="right"/>
      <w:pPr>
        <w:ind w:left="4320" w:hanging="180"/>
      </w:pPr>
    </w:lvl>
    <w:lvl w:ilvl="6" w:tplc="095EAD0C" w:tentative="1">
      <w:start w:val="1"/>
      <w:numFmt w:val="decimal"/>
      <w:lvlText w:val="%7."/>
      <w:lvlJc w:val="left"/>
      <w:pPr>
        <w:ind w:left="5040" w:hanging="360"/>
      </w:pPr>
    </w:lvl>
    <w:lvl w:ilvl="7" w:tplc="1B1C8ADE" w:tentative="1">
      <w:start w:val="1"/>
      <w:numFmt w:val="lowerLetter"/>
      <w:lvlText w:val="%8."/>
      <w:lvlJc w:val="left"/>
      <w:pPr>
        <w:ind w:left="5760" w:hanging="360"/>
      </w:pPr>
    </w:lvl>
    <w:lvl w:ilvl="8" w:tplc="D06AF936" w:tentative="1">
      <w:start w:val="1"/>
      <w:numFmt w:val="lowerRoman"/>
      <w:lvlText w:val="%9."/>
      <w:lvlJc w:val="right"/>
      <w:pPr>
        <w:ind w:left="6480" w:hanging="180"/>
      </w:pPr>
    </w:lvl>
  </w:abstractNum>
  <w:abstractNum w:abstractNumId="3" w15:restartNumberingAfterBreak="0">
    <w:nsid w:val="1F9B3E3E"/>
    <w:multiLevelType w:val="multilevel"/>
    <w:tmpl w:val="48289F3A"/>
    <w:name w:val="EXHIBIT_outlinedc"/>
    <w:lvl w:ilvl="0">
      <w:start w:val="1"/>
      <w:numFmt w:val="upperLetter"/>
      <w:pStyle w:val="EXHIBIToutlinedc1"/>
      <w:suff w:val="nothing"/>
      <w:lvlText w:val="Exhibit %1"/>
      <w:lvlJc w:val="left"/>
      <w:pPr>
        <w:ind w:left="0"/>
      </w:pPr>
      <w:rPr>
        <w:b/>
        <w:caps/>
        <w:u w:val="single"/>
      </w:rPr>
    </w:lvl>
    <w:lvl w:ilvl="1">
      <w:start w:val="1"/>
      <w:numFmt w:val="lowerLetter"/>
      <w:pStyle w:val="EXHIBIToutlinedc2"/>
      <w:lvlText w:val="%2)"/>
      <w:lvlJc w:val="left"/>
      <w:pPr>
        <w:ind w:left="720"/>
      </w:pPr>
    </w:lvl>
    <w:lvl w:ilvl="2">
      <w:start w:val="1"/>
      <w:numFmt w:val="lowerRoman"/>
      <w:pStyle w:val="EXHIBIToutlinedc3"/>
      <w:lvlText w:val="%3)"/>
      <w:lvlJc w:val="left"/>
      <w:pPr>
        <w:ind w:left="1440"/>
      </w:pPr>
    </w:lvl>
    <w:lvl w:ilvl="3">
      <w:start w:val="1"/>
      <w:numFmt w:val="decimal"/>
      <w:pStyle w:val="EXHIBIToutlinedc4"/>
      <w:lvlText w:val="(%4)"/>
      <w:lvlJc w:val="left"/>
      <w:pPr>
        <w:ind w:left="2160"/>
      </w:pPr>
    </w:lvl>
    <w:lvl w:ilvl="4">
      <w:start w:val="1"/>
      <w:numFmt w:val="lowerLetter"/>
      <w:pStyle w:val="EXHIBIToutlinedc5"/>
      <w:lvlText w:val="(%5)"/>
      <w:lvlJc w:val="left"/>
      <w:pPr>
        <w:ind w:left="2880"/>
      </w:pPr>
    </w:lvl>
    <w:lvl w:ilvl="5">
      <w:start w:val="1"/>
      <w:numFmt w:val="lowerRoman"/>
      <w:pStyle w:val="EXHIBIToutlinedc6"/>
      <w:lvlText w:val="(%6)"/>
      <w:lvlJc w:val="left"/>
      <w:pPr>
        <w:ind w:left="3600"/>
      </w:pPr>
    </w:lvl>
    <w:lvl w:ilvl="6">
      <w:start w:val="1"/>
      <w:numFmt w:val="decimal"/>
      <w:pStyle w:val="EXHIBIToutlinedc7"/>
      <w:lvlText w:val="%7."/>
      <w:lvlJc w:val="left"/>
      <w:pPr>
        <w:ind w:left="4320"/>
      </w:pPr>
    </w:lvl>
    <w:lvl w:ilvl="7">
      <w:start w:val="1"/>
      <w:numFmt w:val="lowerLetter"/>
      <w:pStyle w:val="EXHIBIToutlinedc8"/>
      <w:lvlText w:val="%8."/>
      <w:lvlJc w:val="left"/>
      <w:pPr>
        <w:ind w:left="5040"/>
      </w:pPr>
    </w:lvl>
    <w:lvl w:ilvl="8">
      <w:start w:val="1"/>
      <w:numFmt w:val="lowerRoman"/>
      <w:pStyle w:val="EXHIBIToutlinedc9"/>
      <w:lvlText w:val="%9."/>
      <w:lvlJc w:val="left"/>
      <w:pPr>
        <w:ind w:left="5760"/>
      </w:pPr>
    </w:lvl>
  </w:abstractNum>
  <w:abstractNum w:abstractNumId="4" w15:restartNumberingAfterBreak="0">
    <w:nsid w:val="2316424D"/>
    <w:multiLevelType w:val="multilevel"/>
    <w:tmpl w:val="21E24F1A"/>
    <w:name w:val="Numbers"/>
    <w:lvl w:ilvl="0">
      <w:start w:val="1"/>
      <w:numFmt w:val="decimal"/>
      <w:pStyle w:val="Numbers1"/>
      <w:lvlText w:val="%1."/>
      <w:lvlJc w:val="left"/>
      <w:pPr>
        <w:tabs>
          <w:tab w:val="num" w:pos="1440"/>
        </w:tabs>
        <w:ind w:firstLine="720"/>
      </w:pPr>
      <w:rPr>
        <w:rFonts w:ascii="Times New Roman" w:hAnsi="Times New Roman" w:cs="Times New Roman"/>
        <w:b w:val="0"/>
        <w:i w:val="0"/>
        <w:caps w:val="0"/>
        <w:strike w:val="0"/>
        <w:dstrike w:val="0"/>
        <w:vanish w:val="0"/>
        <w:color w:val="auto"/>
        <w:sz w:val="24"/>
        <w:u w:val="none"/>
        <w:vertAlign w:val="baseline"/>
      </w:rPr>
    </w:lvl>
    <w:lvl w:ilvl="1">
      <w:start w:val="1"/>
      <w:numFmt w:val="lowerLetter"/>
      <w:pStyle w:val="Numbers2"/>
      <w:lvlText w:val="(%2)"/>
      <w:lvlJc w:val="left"/>
      <w:pPr>
        <w:tabs>
          <w:tab w:val="num" w:pos="2160"/>
        </w:tabs>
        <w:ind w:firstLine="1440"/>
      </w:pPr>
      <w:rPr>
        <w:rFonts w:ascii="Times New Roman" w:hAnsi="Times New Roman" w:cs="Times New Roman"/>
        <w:b w:val="0"/>
        <w:i w:val="0"/>
        <w:caps w:val="0"/>
        <w:strike w:val="0"/>
        <w:dstrike w:val="0"/>
        <w:vanish w:val="0"/>
        <w:color w:val="auto"/>
        <w:sz w:val="24"/>
        <w:u w:val="none"/>
        <w:vertAlign w:val="baseline"/>
      </w:rPr>
    </w:lvl>
    <w:lvl w:ilvl="2">
      <w:start w:val="1"/>
      <w:numFmt w:val="lowerRoman"/>
      <w:pStyle w:val="Numbers3"/>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vertAlign w:val="baseline"/>
      </w:rPr>
    </w:lvl>
    <w:lvl w:ilvl="3">
      <w:start w:val="1"/>
      <w:numFmt w:val="decimal"/>
      <w:pStyle w:val="Numbers4"/>
      <w:lvlText w:val="(%4)"/>
      <w:lvlJc w:val="left"/>
      <w:pPr>
        <w:ind w:firstLine="2160"/>
      </w:pPr>
      <w:rPr>
        <w:rFonts w:ascii="Times New Roman" w:hAnsi="Times New Roman" w:cs="Times New Roman"/>
        <w:b w:val="0"/>
        <w:i w:val="0"/>
        <w:caps w:val="0"/>
        <w:strike w:val="0"/>
        <w:dstrike w:val="0"/>
        <w:vanish w:val="0"/>
        <w:color w:val="auto"/>
        <w:sz w:val="24"/>
        <w:u w:val="none"/>
        <w:vertAlign w:val="baseline"/>
      </w:rPr>
    </w:lvl>
    <w:lvl w:ilvl="4">
      <w:start w:val="1"/>
      <w:numFmt w:val="lowerLetter"/>
      <w:pStyle w:val="Numbers5"/>
      <w:lvlText w:val="(%5)"/>
      <w:lvlJc w:val="left"/>
      <w:pPr>
        <w:ind w:firstLine="2880"/>
      </w:pPr>
      <w:rPr>
        <w:rFonts w:ascii="Times New Roman" w:hAnsi="Times New Roman" w:cs="Times New Roman"/>
        <w:b w:val="0"/>
        <w:i w:val="0"/>
        <w:caps w:val="0"/>
        <w:strike w:val="0"/>
        <w:dstrike w:val="0"/>
        <w:vanish w:val="0"/>
        <w:color w:val="auto"/>
        <w:sz w:val="24"/>
        <w:u w:val="none"/>
        <w:vertAlign w:val="baseline"/>
      </w:rPr>
    </w:lvl>
    <w:lvl w:ilvl="5">
      <w:start w:val="1"/>
      <w:numFmt w:val="lowerRoman"/>
      <w:pStyle w:val="Numbers6"/>
      <w:lvlText w:val="(%6)"/>
      <w:lvlJc w:val="left"/>
      <w:pPr>
        <w:ind w:firstLine="360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Numbers7"/>
      <w:lvlText w:val="%7)"/>
      <w:lvlJc w:val="left"/>
      <w:pPr>
        <w:ind w:firstLine="43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pStyle w:val="Numbers8"/>
      <w:lvlText w:val="%8)"/>
      <w:lvlJc w:val="left"/>
      <w:pPr>
        <w:ind w:firstLine="504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Numbers9"/>
      <w:lvlText w:val="%9)"/>
      <w:lvlJc w:val="left"/>
      <w:pPr>
        <w:ind w:firstLine="576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29060318"/>
    <w:multiLevelType w:val="hybridMultilevel"/>
    <w:tmpl w:val="EDFA3ACE"/>
    <w:name w:val="DocXtoolsCompanion_2"/>
    <w:lvl w:ilvl="0" w:tplc="2E445760">
      <w:start w:val="1"/>
      <w:numFmt w:val="decimal"/>
      <w:lvlText w:val="(%1)"/>
      <w:lvlJc w:val="left"/>
      <w:pPr>
        <w:tabs>
          <w:tab w:val="num" w:pos="1080"/>
        </w:tabs>
        <w:ind w:left="1080" w:hanging="360"/>
      </w:pPr>
      <w:rPr>
        <w:rFonts w:hint="default"/>
      </w:rPr>
    </w:lvl>
    <w:lvl w:ilvl="1" w:tplc="7F9AB026" w:tentative="1">
      <w:start w:val="1"/>
      <w:numFmt w:val="lowerLetter"/>
      <w:lvlText w:val="%2."/>
      <w:lvlJc w:val="left"/>
      <w:pPr>
        <w:tabs>
          <w:tab w:val="num" w:pos="1800"/>
        </w:tabs>
        <w:ind w:left="1800" w:hanging="360"/>
      </w:pPr>
    </w:lvl>
    <w:lvl w:ilvl="2" w:tplc="18A03B52" w:tentative="1">
      <w:start w:val="1"/>
      <w:numFmt w:val="lowerRoman"/>
      <w:lvlText w:val="%3."/>
      <w:lvlJc w:val="right"/>
      <w:pPr>
        <w:tabs>
          <w:tab w:val="num" w:pos="2520"/>
        </w:tabs>
        <w:ind w:left="2520" w:hanging="180"/>
      </w:pPr>
    </w:lvl>
    <w:lvl w:ilvl="3" w:tplc="2662FAEA" w:tentative="1">
      <w:start w:val="1"/>
      <w:numFmt w:val="decimal"/>
      <w:lvlText w:val="%4."/>
      <w:lvlJc w:val="left"/>
      <w:pPr>
        <w:tabs>
          <w:tab w:val="num" w:pos="3240"/>
        </w:tabs>
        <w:ind w:left="3240" w:hanging="360"/>
      </w:pPr>
    </w:lvl>
    <w:lvl w:ilvl="4" w:tplc="70A6222E" w:tentative="1">
      <w:start w:val="1"/>
      <w:numFmt w:val="lowerLetter"/>
      <w:lvlText w:val="%5."/>
      <w:lvlJc w:val="left"/>
      <w:pPr>
        <w:tabs>
          <w:tab w:val="num" w:pos="3960"/>
        </w:tabs>
        <w:ind w:left="3960" w:hanging="360"/>
      </w:pPr>
    </w:lvl>
    <w:lvl w:ilvl="5" w:tplc="93385A92" w:tentative="1">
      <w:start w:val="1"/>
      <w:numFmt w:val="lowerRoman"/>
      <w:lvlText w:val="%6."/>
      <w:lvlJc w:val="right"/>
      <w:pPr>
        <w:tabs>
          <w:tab w:val="num" w:pos="4680"/>
        </w:tabs>
        <w:ind w:left="4680" w:hanging="180"/>
      </w:pPr>
    </w:lvl>
    <w:lvl w:ilvl="6" w:tplc="22102C38" w:tentative="1">
      <w:start w:val="1"/>
      <w:numFmt w:val="decimal"/>
      <w:lvlText w:val="%7."/>
      <w:lvlJc w:val="left"/>
      <w:pPr>
        <w:tabs>
          <w:tab w:val="num" w:pos="5400"/>
        </w:tabs>
        <w:ind w:left="5400" w:hanging="360"/>
      </w:pPr>
    </w:lvl>
    <w:lvl w:ilvl="7" w:tplc="E2324284" w:tentative="1">
      <w:start w:val="1"/>
      <w:numFmt w:val="lowerLetter"/>
      <w:lvlText w:val="%8."/>
      <w:lvlJc w:val="left"/>
      <w:pPr>
        <w:tabs>
          <w:tab w:val="num" w:pos="6120"/>
        </w:tabs>
        <w:ind w:left="6120" w:hanging="360"/>
      </w:pPr>
    </w:lvl>
    <w:lvl w:ilvl="8" w:tplc="149AD3E6" w:tentative="1">
      <w:start w:val="1"/>
      <w:numFmt w:val="lowerRoman"/>
      <w:lvlText w:val="%9."/>
      <w:lvlJc w:val="right"/>
      <w:pPr>
        <w:tabs>
          <w:tab w:val="num" w:pos="6840"/>
        </w:tabs>
        <w:ind w:left="6840" w:hanging="180"/>
      </w:pPr>
    </w:lvl>
  </w:abstractNum>
  <w:abstractNum w:abstractNumId="6" w15:restartNumberingAfterBreak="0">
    <w:nsid w:val="2EA10D6B"/>
    <w:multiLevelType w:val="multilevel"/>
    <w:tmpl w:val="CE40E492"/>
    <w:name w:val="UpperLetter_outlinedc"/>
    <w:lvl w:ilvl="0">
      <w:start w:val="1"/>
      <w:numFmt w:val="upperLetter"/>
      <w:pStyle w:val="UpperLetteroutlinedc1"/>
      <w:lvlText w:val="%1."/>
      <w:lvlJc w:val="left"/>
      <w:pPr>
        <w:ind w:left="0" w:firstLine="720"/>
      </w:pPr>
    </w:lvl>
    <w:lvl w:ilvl="1">
      <w:start w:val="1"/>
      <w:numFmt w:val="lowerLetter"/>
      <w:pStyle w:val="UpperLetteroutlinedc2"/>
      <w:lvlText w:val="%2)"/>
      <w:lvlJc w:val="left"/>
      <w:pPr>
        <w:ind w:left="720" w:firstLine="720"/>
      </w:pPr>
    </w:lvl>
    <w:lvl w:ilvl="2">
      <w:start w:val="1"/>
      <w:numFmt w:val="lowerRoman"/>
      <w:pStyle w:val="UpperLetteroutlinedc3"/>
      <w:lvlText w:val="%3)"/>
      <w:lvlJc w:val="left"/>
      <w:pPr>
        <w:ind w:left="1440" w:firstLine="720"/>
      </w:pPr>
    </w:lvl>
    <w:lvl w:ilvl="3">
      <w:start w:val="1"/>
      <w:numFmt w:val="decimal"/>
      <w:pStyle w:val="UpperLetteroutlinedc4"/>
      <w:lvlText w:val="(%4)"/>
      <w:lvlJc w:val="left"/>
      <w:pPr>
        <w:ind w:left="2160" w:firstLine="720"/>
      </w:pPr>
    </w:lvl>
    <w:lvl w:ilvl="4">
      <w:start w:val="1"/>
      <w:numFmt w:val="lowerLetter"/>
      <w:pStyle w:val="UpperLetteroutlinedc5"/>
      <w:lvlText w:val="(%5)"/>
      <w:lvlJc w:val="left"/>
      <w:pPr>
        <w:ind w:left="2880" w:firstLine="720"/>
      </w:pPr>
    </w:lvl>
    <w:lvl w:ilvl="5">
      <w:start w:val="1"/>
      <w:numFmt w:val="lowerRoman"/>
      <w:pStyle w:val="UpperLetteroutlinedc6"/>
      <w:lvlText w:val="(%6)"/>
      <w:lvlJc w:val="left"/>
      <w:pPr>
        <w:ind w:left="3600" w:firstLine="720"/>
      </w:pPr>
    </w:lvl>
    <w:lvl w:ilvl="6">
      <w:start w:val="1"/>
      <w:numFmt w:val="decimal"/>
      <w:pStyle w:val="UpperLetteroutlinedc7"/>
      <w:lvlText w:val="%7."/>
      <w:lvlJc w:val="left"/>
      <w:pPr>
        <w:ind w:left="4320" w:firstLine="720"/>
      </w:pPr>
    </w:lvl>
    <w:lvl w:ilvl="7">
      <w:start w:val="1"/>
      <w:numFmt w:val="lowerLetter"/>
      <w:pStyle w:val="UpperLetteroutlinedc8"/>
      <w:lvlText w:val="%8."/>
      <w:lvlJc w:val="left"/>
      <w:pPr>
        <w:ind w:left="5040" w:firstLine="720"/>
      </w:pPr>
    </w:lvl>
    <w:lvl w:ilvl="8">
      <w:start w:val="1"/>
      <w:numFmt w:val="lowerRoman"/>
      <w:pStyle w:val="UpperLetteroutlinedc9"/>
      <w:lvlText w:val="%9."/>
      <w:lvlJc w:val="left"/>
      <w:pPr>
        <w:ind w:left="5760" w:firstLine="720"/>
      </w:pPr>
    </w:lvl>
  </w:abstractNum>
  <w:abstractNum w:abstractNumId="7" w15:restartNumberingAfterBreak="0">
    <w:nsid w:val="32A10E3F"/>
    <w:multiLevelType w:val="hybridMultilevel"/>
    <w:tmpl w:val="AE685ED6"/>
    <w:name w:val="Simple List·C#4911"/>
    <w:lvl w:ilvl="0" w:tplc="C076E56C">
      <w:start w:val="1"/>
      <w:numFmt w:val="decimal"/>
      <w:lvlText w:val="(%1)"/>
      <w:lvlJc w:val="left"/>
      <w:pPr>
        <w:tabs>
          <w:tab w:val="num" w:pos="1080"/>
        </w:tabs>
        <w:ind w:left="1080" w:hanging="360"/>
      </w:pPr>
      <w:rPr>
        <w:rFonts w:cs="Times New Roman" w:hint="default"/>
      </w:rPr>
    </w:lvl>
    <w:lvl w:ilvl="1" w:tplc="0556EC9A">
      <w:start w:val="1"/>
      <w:numFmt w:val="lowerLetter"/>
      <w:lvlText w:val="%2."/>
      <w:lvlJc w:val="left"/>
      <w:pPr>
        <w:tabs>
          <w:tab w:val="num" w:pos="1800"/>
        </w:tabs>
        <w:ind w:left="1800" w:hanging="360"/>
      </w:pPr>
      <w:rPr>
        <w:rFonts w:cs="Times New Roman"/>
      </w:rPr>
    </w:lvl>
    <w:lvl w:ilvl="2" w:tplc="5C081770">
      <w:start w:val="1"/>
      <w:numFmt w:val="lowerRoman"/>
      <w:lvlText w:val="%3."/>
      <w:lvlJc w:val="right"/>
      <w:pPr>
        <w:tabs>
          <w:tab w:val="num" w:pos="2520"/>
        </w:tabs>
        <w:ind w:left="2520" w:hanging="180"/>
      </w:pPr>
      <w:rPr>
        <w:rFonts w:cs="Times New Roman"/>
      </w:rPr>
    </w:lvl>
    <w:lvl w:ilvl="3" w:tplc="82625DF4">
      <w:start w:val="1"/>
      <w:numFmt w:val="decimal"/>
      <w:lvlText w:val="%4."/>
      <w:lvlJc w:val="left"/>
      <w:pPr>
        <w:tabs>
          <w:tab w:val="num" w:pos="3240"/>
        </w:tabs>
        <w:ind w:left="3240" w:hanging="360"/>
      </w:pPr>
      <w:rPr>
        <w:rFonts w:cs="Times New Roman"/>
      </w:rPr>
    </w:lvl>
    <w:lvl w:ilvl="4" w:tplc="CE52C6FE">
      <w:start w:val="1"/>
      <w:numFmt w:val="lowerLetter"/>
      <w:lvlText w:val="%5."/>
      <w:lvlJc w:val="left"/>
      <w:pPr>
        <w:tabs>
          <w:tab w:val="num" w:pos="3960"/>
        </w:tabs>
        <w:ind w:left="3960" w:hanging="360"/>
      </w:pPr>
      <w:rPr>
        <w:rFonts w:cs="Times New Roman"/>
      </w:rPr>
    </w:lvl>
    <w:lvl w:ilvl="5" w:tplc="A538056E">
      <w:start w:val="1"/>
      <w:numFmt w:val="lowerRoman"/>
      <w:lvlText w:val="%6."/>
      <w:lvlJc w:val="right"/>
      <w:pPr>
        <w:tabs>
          <w:tab w:val="num" w:pos="4680"/>
        </w:tabs>
        <w:ind w:left="4680" w:hanging="180"/>
      </w:pPr>
      <w:rPr>
        <w:rFonts w:cs="Times New Roman"/>
      </w:rPr>
    </w:lvl>
    <w:lvl w:ilvl="6" w:tplc="CD446642">
      <w:start w:val="1"/>
      <w:numFmt w:val="decimal"/>
      <w:lvlText w:val="%7."/>
      <w:lvlJc w:val="left"/>
      <w:pPr>
        <w:tabs>
          <w:tab w:val="num" w:pos="5400"/>
        </w:tabs>
        <w:ind w:left="5400" w:hanging="360"/>
      </w:pPr>
      <w:rPr>
        <w:rFonts w:cs="Times New Roman"/>
      </w:rPr>
    </w:lvl>
    <w:lvl w:ilvl="7" w:tplc="84E02D74">
      <w:start w:val="1"/>
      <w:numFmt w:val="lowerLetter"/>
      <w:lvlText w:val="%8."/>
      <w:lvlJc w:val="left"/>
      <w:pPr>
        <w:tabs>
          <w:tab w:val="num" w:pos="6120"/>
        </w:tabs>
        <w:ind w:left="6120" w:hanging="360"/>
      </w:pPr>
      <w:rPr>
        <w:rFonts w:cs="Times New Roman"/>
      </w:rPr>
    </w:lvl>
    <w:lvl w:ilvl="8" w:tplc="4B7EB002">
      <w:start w:val="1"/>
      <w:numFmt w:val="lowerRoman"/>
      <w:lvlText w:val="%9."/>
      <w:lvlJc w:val="right"/>
      <w:pPr>
        <w:tabs>
          <w:tab w:val="num" w:pos="6840"/>
        </w:tabs>
        <w:ind w:left="6840" w:hanging="180"/>
      </w:pPr>
      <w:rPr>
        <w:rFonts w:cs="Times New Roman"/>
      </w:rPr>
    </w:lvl>
  </w:abstractNum>
  <w:abstractNum w:abstractNumId="8" w15:restartNumberingAfterBreak="0">
    <w:nsid w:val="3B9D2863"/>
    <w:multiLevelType w:val="hybridMultilevel"/>
    <w:tmpl w:val="49DCD906"/>
    <w:name w:val="DocXtoolsCompanion_4"/>
    <w:lvl w:ilvl="0" w:tplc="95C04F8A">
      <w:start w:val="1"/>
      <w:numFmt w:val="decimal"/>
      <w:lvlText w:val="(%1)"/>
      <w:lvlJc w:val="left"/>
      <w:pPr>
        <w:tabs>
          <w:tab w:val="num" w:pos="1080"/>
        </w:tabs>
        <w:ind w:left="1080" w:hanging="360"/>
      </w:pPr>
      <w:rPr>
        <w:rFonts w:hint="default"/>
      </w:rPr>
    </w:lvl>
    <w:lvl w:ilvl="1" w:tplc="CEEE2B54">
      <w:start w:val="1"/>
      <w:numFmt w:val="lowerLetter"/>
      <w:lvlText w:val="%2."/>
      <w:lvlJc w:val="left"/>
      <w:pPr>
        <w:tabs>
          <w:tab w:val="num" w:pos="1800"/>
        </w:tabs>
        <w:ind w:left="1800" w:hanging="360"/>
      </w:pPr>
    </w:lvl>
    <w:lvl w:ilvl="2" w:tplc="A46C4E68" w:tentative="1">
      <w:start w:val="1"/>
      <w:numFmt w:val="lowerRoman"/>
      <w:lvlText w:val="%3."/>
      <w:lvlJc w:val="right"/>
      <w:pPr>
        <w:tabs>
          <w:tab w:val="num" w:pos="2520"/>
        </w:tabs>
        <w:ind w:left="2520" w:hanging="180"/>
      </w:pPr>
    </w:lvl>
    <w:lvl w:ilvl="3" w:tplc="77346886" w:tentative="1">
      <w:start w:val="1"/>
      <w:numFmt w:val="decimal"/>
      <w:lvlText w:val="%4."/>
      <w:lvlJc w:val="left"/>
      <w:pPr>
        <w:tabs>
          <w:tab w:val="num" w:pos="3240"/>
        </w:tabs>
        <w:ind w:left="3240" w:hanging="360"/>
      </w:pPr>
    </w:lvl>
    <w:lvl w:ilvl="4" w:tplc="5726C810" w:tentative="1">
      <w:start w:val="1"/>
      <w:numFmt w:val="lowerLetter"/>
      <w:lvlText w:val="%5."/>
      <w:lvlJc w:val="left"/>
      <w:pPr>
        <w:tabs>
          <w:tab w:val="num" w:pos="3960"/>
        </w:tabs>
        <w:ind w:left="3960" w:hanging="360"/>
      </w:pPr>
    </w:lvl>
    <w:lvl w:ilvl="5" w:tplc="B6C2C7E8" w:tentative="1">
      <w:start w:val="1"/>
      <w:numFmt w:val="lowerRoman"/>
      <w:lvlText w:val="%6."/>
      <w:lvlJc w:val="right"/>
      <w:pPr>
        <w:tabs>
          <w:tab w:val="num" w:pos="4680"/>
        </w:tabs>
        <w:ind w:left="4680" w:hanging="180"/>
      </w:pPr>
    </w:lvl>
    <w:lvl w:ilvl="6" w:tplc="C548CD8E" w:tentative="1">
      <w:start w:val="1"/>
      <w:numFmt w:val="decimal"/>
      <w:lvlText w:val="%7."/>
      <w:lvlJc w:val="left"/>
      <w:pPr>
        <w:tabs>
          <w:tab w:val="num" w:pos="5400"/>
        </w:tabs>
        <w:ind w:left="5400" w:hanging="360"/>
      </w:pPr>
    </w:lvl>
    <w:lvl w:ilvl="7" w:tplc="4C0008B6" w:tentative="1">
      <w:start w:val="1"/>
      <w:numFmt w:val="lowerLetter"/>
      <w:lvlText w:val="%8."/>
      <w:lvlJc w:val="left"/>
      <w:pPr>
        <w:tabs>
          <w:tab w:val="num" w:pos="6120"/>
        </w:tabs>
        <w:ind w:left="6120" w:hanging="360"/>
      </w:pPr>
    </w:lvl>
    <w:lvl w:ilvl="8" w:tplc="822C6694" w:tentative="1">
      <w:start w:val="1"/>
      <w:numFmt w:val="lowerRoman"/>
      <w:lvlText w:val="%9."/>
      <w:lvlJc w:val="right"/>
      <w:pPr>
        <w:tabs>
          <w:tab w:val="num" w:pos="6840"/>
        </w:tabs>
        <w:ind w:left="6840" w:hanging="180"/>
      </w:pPr>
    </w:lvl>
  </w:abstractNum>
  <w:abstractNum w:abstractNumId="9" w15:restartNumberingAfterBreak="0">
    <w:nsid w:val="3F794040"/>
    <w:multiLevelType w:val="hybridMultilevel"/>
    <w:tmpl w:val="84F657C0"/>
    <w:name w:val="DocXtoolsCompanion_5"/>
    <w:lvl w:ilvl="0" w:tplc="FC3E58FA">
      <w:start w:val="1"/>
      <w:numFmt w:val="lowerLetter"/>
      <w:lvlText w:val="%1."/>
      <w:lvlJc w:val="left"/>
      <w:pPr>
        <w:ind w:left="2160" w:hanging="720"/>
      </w:pPr>
      <w:rPr>
        <w:rFonts w:hint="default"/>
      </w:rPr>
    </w:lvl>
    <w:lvl w:ilvl="1" w:tplc="077EC8BA" w:tentative="1">
      <w:start w:val="1"/>
      <w:numFmt w:val="lowerLetter"/>
      <w:lvlText w:val="%2."/>
      <w:lvlJc w:val="left"/>
      <w:pPr>
        <w:ind w:left="2520" w:hanging="360"/>
      </w:pPr>
    </w:lvl>
    <w:lvl w:ilvl="2" w:tplc="3A984758" w:tentative="1">
      <w:start w:val="1"/>
      <w:numFmt w:val="lowerRoman"/>
      <w:lvlText w:val="%3."/>
      <w:lvlJc w:val="right"/>
      <w:pPr>
        <w:ind w:left="3240" w:hanging="180"/>
      </w:pPr>
    </w:lvl>
    <w:lvl w:ilvl="3" w:tplc="8C2A8990" w:tentative="1">
      <w:start w:val="1"/>
      <w:numFmt w:val="decimal"/>
      <w:lvlText w:val="%4."/>
      <w:lvlJc w:val="left"/>
      <w:pPr>
        <w:ind w:left="3960" w:hanging="360"/>
      </w:pPr>
    </w:lvl>
    <w:lvl w:ilvl="4" w:tplc="C9F2F148" w:tentative="1">
      <w:start w:val="1"/>
      <w:numFmt w:val="lowerLetter"/>
      <w:lvlText w:val="%5."/>
      <w:lvlJc w:val="left"/>
      <w:pPr>
        <w:ind w:left="4680" w:hanging="360"/>
      </w:pPr>
    </w:lvl>
    <w:lvl w:ilvl="5" w:tplc="1DE662E2" w:tentative="1">
      <w:start w:val="1"/>
      <w:numFmt w:val="lowerRoman"/>
      <w:lvlText w:val="%6."/>
      <w:lvlJc w:val="right"/>
      <w:pPr>
        <w:ind w:left="5400" w:hanging="180"/>
      </w:pPr>
    </w:lvl>
    <w:lvl w:ilvl="6" w:tplc="113C9C64" w:tentative="1">
      <w:start w:val="1"/>
      <w:numFmt w:val="decimal"/>
      <w:lvlText w:val="%7."/>
      <w:lvlJc w:val="left"/>
      <w:pPr>
        <w:ind w:left="6120" w:hanging="360"/>
      </w:pPr>
    </w:lvl>
    <w:lvl w:ilvl="7" w:tplc="4C5A8366" w:tentative="1">
      <w:start w:val="1"/>
      <w:numFmt w:val="lowerLetter"/>
      <w:lvlText w:val="%8."/>
      <w:lvlJc w:val="left"/>
      <w:pPr>
        <w:ind w:left="6840" w:hanging="360"/>
      </w:pPr>
    </w:lvl>
    <w:lvl w:ilvl="8" w:tplc="79EA883A" w:tentative="1">
      <w:start w:val="1"/>
      <w:numFmt w:val="lowerRoman"/>
      <w:lvlText w:val="%9."/>
      <w:lvlJc w:val="right"/>
      <w:pPr>
        <w:ind w:left="7560" w:hanging="180"/>
      </w:pPr>
    </w:lvl>
  </w:abstractNum>
  <w:abstractNum w:abstractNumId="10" w15:restartNumberingAfterBreak="0">
    <w:nsid w:val="422B2B94"/>
    <w:multiLevelType w:val="hybridMultilevel"/>
    <w:tmpl w:val="03D450AE"/>
    <w:name w:val="DocXtoolsCompanion_6"/>
    <w:lvl w:ilvl="0" w:tplc="BA5E1F58">
      <w:start w:val="1"/>
      <w:numFmt w:val="lowerRoman"/>
      <w:lvlText w:val="(%1)"/>
      <w:lvlJc w:val="left"/>
      <w:pPr>
        <w:ind w:left="1080" w:hanging="720"/>
      </w:pPr>
    </w:lvl>
    <w:lvl w:ilvl="1" w:tplc="ECA040A0">
      <w:start w:val="1"/>
      <w:numFmt w:val="lowerLetter"/>
      <w:lvlText w:val="%2."/>
      <w:lvlJc w:val="left"/>
      <w:pPr>
        <w:ind w:left="1440" w:hanging="360"/>
      </w:pPr>
    </w:lvl>
    <w:lvl w:ilvl="2" w:tplc="A2AE8718">
      <w:start w:val="1"/>
      <w:numFmt w:val="lowerRoman"/>
      <w:lvlText w:val="%3."/>
      <w:lvlJc w:val="right"/>
      <w:pPr>
        <w:ind w:left="2160" w:hanging="180"/>
      </w:pPr>
    </w:lvl>
    <w:lvl w:ilvl="3" w:tplc="314E0868">
      <w:start w:val="1"/>
      <w:numFmt w:val="decimal"/>
      <w:lvlText w:val="%4."/>
      <w:lvlJc w:val="left"/>
      <w:pPr>
        <w:ind w:left="2880" w:hanging="360"/>
      </w:pPr>
    </w:lvl>
    <w:lvl w:ilvl="4" w:tplc="010C8BB8">
      <w:start w:val="1"/>
      <w:numFmt w:val="lowerLetter"/>
      <w:lvlText w:val="%5."/>
      <w:lvlJc w:val="left"/>
      <w:pPr>
        <w:ind w:left="3600" w:hanging="360"/>
      </w:pPr>
    </w:lvl>
    <w:lvl w:ilvl="5" w:tplc="7E865D3C">
      <w:start w:val="1"/>
      <w:numFmt w:val="lowerRoman"/>
      <w:lvlText w:val="%6."/>
      <w:lvlJc w:val="right"/>
      <w:pPr>
        <w:ind w:left="4320" w:hanging="180"/>
      </w:pPr>
    </w:lvl>
    <w:lvl w:ilvl="6" w:tplc="2D92B74E">
      <w:start w:val="1"/>
      <w:numFmt w:val="decimal"/>
      <w:lvlText w:val="%7."/>
      <w:lvlJc w:val="left"/>
      <w:pPr>
        <w:ind w:left="5040" w:hanging="360"/>
      </w:pPr>
    </w:lvl>
    <w:lvl w:ilvl="7" w:tplc="E2C8B13A">
      <w:start w:val="1"/>
      <w:numFmt w:val="lowerLetter"/>
      <w:lvlText w:val="%8."/>
      <w:lvlJc w:val="left"/>
      <w:pPr>
        <w:ind w:left="5760" w:hanging="360"/>
      </w:pPr>
    </w:lvl>
    <w:lvl w:ilvl="8" w:tplc="856E64EE">
      <w:start w:val="1"/>
      <w:numFmt w:val="lowerRoman"/>
      <w:lvlText w:val="%9."/>
      <w:lvlJc w:val="right"/>
      <w:pPr>
        <w:ind w:left="6480" w:hanging="180"/>
      </w:pPr>
    </w:lvl>
  </w:abstractNum>
  <w:abstractNum w:abstractNumId="11" w15:restartNumberingAfterBreak="0">
    <w:nsid w:val="446C1559"/>
    <w:multiLevelType w:val="multilevel"/>
    <w:tmpl w:val="30DCB388"/>
    <w:name w:val="DocXtoolsCompanion_7"/>
    <w:lvl w:ilvl="0">
      <w:start w:val="1"/>
      <w:numFmt w:val="decimal"/>
      <w:pStyle w:val="Decimaloutlinedc1"/>
      <w:lvlText w:val="%1."/>
      <w:lvlJc w:val="left"/>
      <w:pPr>
        <w:tabs>
          <w:tab w:val="num" w:pos="1440"/>
        </w:tabs>
        <w:ind w:left="1080" w:hanging="360"/>
      </w:pPr>
      <w:rPr>
        <w:rFonts w:ascii="Times New Roman" w:hAnsi="Times New Roman" w:cs="Times New Roman" w:hint="default"/>
        <w:vanish w:val="0"/>
        <w:color w:val="auto"/>
        <w:sz w:val="22"/>
      </w:rPr>
    </w:lvl>
    <w:lvl w:ilvl="1">
      <w:start w:val="1"/>
      <w:numFmt w:val="lowerLetter"/>
      <w:pStyle w:val="Decimaloutlinedc2"/>
      <w:lvlText w:val="(%2)"/>
      <w:lvlJc w:val="left"/>
      <w:pPr>
        <w:tabs>
          <w:tab w:val="num" w:pos="2160"/>
        </w:tabs>
        <w:ind w:left="0" w:firstLine="1440"/>
      </w:pPr>
    </w:lvl>
    <w:lvl w:ilvl="2">
      <w:start w:val="1"/>
      <w:numFmt w:val="lowerRoman"/>
      <w:pStyle w:val="Decimaloutlinedc3"/>
      <w:lvlText w:val="%3."/>
      <w:lvlJc w:val="right"/>
      <w:pPr>
        <w:tabs>
          <w:tab w:val="num" w:pos="2880"/>
        </w:tabs>
        <w:ind w:left="720" w:firstLine="1440"/>
      </w:pPr>
      <w:rPr>
        <w:vanish w:val="0"/>
        <w:color w:val="auto"/>
      </w:rPr>
    </w:lvl>
    <w:lvl w:ilvl="3" w:tentative="1">
      <w:start w:val="1"/>
      <w:numFmt w:val="decimal"/>
      <w:pStyle w:val="Decimaloutlinedc4"/>
      <w:lvlText w:val="%4."/>
      <w:lvlJc w:val="left"/>
      <w:pPr>
        <w:tabs>
          <w:tab w:val="num" w:pos="3600"/>
        </w:tabs>
        <w:ind w:left="1440" w:firstLine="1440"/>
      </w:pPr>
      <w:rPr>
        <w:vanish w:val="0"/>
        <w:color w:val="auto"/>
      </w:rPr>
    </w:lvl>
    <w:lvl w:ilvl="4" w:tentative="1">
      <w:start w:val="1"/>
      <w:numFmt w:val="lowerLetter"/>
      <w:pStyle w:val="Decimaloutlinedc5"/>
      <w:lvlText w:val="%5."/>
      <w:lvlJc w:val="left"/>
      <w:pPr>
        <w:tabs>
          <w:tab w:val="num" w:pos="4320"/>
        </w:tabs>
        <w:ind w:left="2160" w:firstLine="1440"/>
      </w:pPr>
      <w:rPr>
        <w:vanish w:val="0"/>
        <w:color w:val="auto"/>
      </w:rPr>
    </w:lvl>
    <w:lvl w:ilvl="5" w:tentative="1">
      <w:start w:val="1"/>
      <w:numFmt w:val="lowerRoman"/>
      <w:pStyle w:val="Decimaloutlinedc6"/>
      <w:lvlText w:val="%6."/>
      <w:lvlJc w:val="right"/>
      <w:pPr>
        <w:tabs>
          <w:tab w:val="num" w:pos="5040"/>
        </w:tabs>
        <w:ind w:left="2880" w:firstLine="1440"/>
      </w:pPr>
      <w:rPr>
        <w:vanish w:val="0"/>
        <w:color w:val="auto"/>
      </w:rPr>
    </w:lvl>
    <w:lvl w:ilvl="6" w:tentative="1">
      <w:start w:val="1"/>
      <w:numFmt w:val="decimal"/>
      <w:pStyle w:val="Decimaloutlinedc7"/>
      <w:lvlText w:val="%7."/>
      <w:lvlJc w:val="left"/>
      <w:pPr>
        <w:tabs>
          <w:tab w:val="num" w:pos="5760"/>
        </w:tabs>
        <w:ind w:left="3600" w:firstLine="1440"/>
      </w:pPr>
      <w:rPr>
        <w:vanish w:val="0"/>
        <w:color w:val="auto"/>
      </w:rPr>
    </w:lvl>
    <w:lvl w:ilvl="7" w:tentative="1">
      <w:start w:val="1"/>
      <w:numFmt w:val="lowerLetter"/>
      <w:pStyle w:val="Decimaloutlinedc8"/>
      <w:lvlText w:val="%8."/>
      <w:lvlJc w:val="left"/>
      <w:pPr>
        <w:tabs>
          <w:tab w:val="num" w:pos="6480"/>
        </w:tabs>
        <w:ind w:left="4320" w:firstLine="1440"/>
      </w:pPr>
      <w:rPr>
        <w:vanish w:val="0"/>
        <w:color w:val="auto"/>
      </w:rPr>
    </w:lvl>
    <w:lvl w:ilvl="8" w:tentative="1">
      <w:start w:val="1"/>
      <w:numFmt w:val="lowerRoman"/>
      <w:pStyle w:val="Decimaloutlinedc9"/>
      <w:lvlText w:val="%9."/>
      <w:lvlJc w:val="right"/>
      <w:pPr>
        <w:tabs>
          <w:tab w:val="num" w:pos="7200"/>
        </w:tabs>
        <w:ind w:left="5040" w:firstLine="1440"/>
      </w:pPr>
      <w:rPr>
        <w:vanish w:val="0"/>
        <w:color w:val="auto"/>
      </w:rPr>
    </w:lvl>
  </w:abstractNum>
  <w:abstractNum w:abstractNumId="12" w15:restartNumberingAfterBreak="0">
    <w:nsid w:val="4ABC534F"/>
    <w:multiLevelType w:val="hybridMultilevel"/>
    <w:tmpl w:val="7480BF5E"/>
    <w:name w:val="DocXtoolsCompanion_8"/>
    <w:lvl w:ilvl="0" w:tplc="5BD8FE0E">
      <w:start w:val="1"/>
      <w:numFmt w:val="decimal"/>
      <w:lvlText w:val="%1."/>
      <w:lvlJc w:val="left"/>
      <w:pPr>
        <w:ind w:left="1800" w:hanging="360"/>
      </w:pPr>
    </w:lvl>
    <w:lvl w:ilvl="1" w:tplc="F2F8A272" w:tentative="1">
      <w:start w:val="1"/>
      <w:numFmt w:val="lowerLetter"/>
      <w:lvlText w:val="%2."/>
      <w:lvlJc w:val="left"/>
      <w:pPr>
        <w:ind w:left="2520" w:hanging="360"/>
      </w:pPr>
    </w:lvl>
    <w:lvl w:ilvl="2" w:tplc="748A412E" w:tentative="1">
      <w:start w:val="1"/>
      <w:numFmt w:val="lowerRoman"/>
      <w:lvlText w:val="%3."/>
      <w:lvlJc w:val="right"/>
      <w:pPr>
        <w:ind w:left="3240" w:hanging="180"/>
      </w:pPr>
    </w:lvl>
    <w:lvl w:ilvl="3" w:tplc="0F34ACEA" w:tentative="1">
      <w:start w:val="1"/>
      <w:numFmt w:val="decimal"/>
      <w:lvlText w:val="%4."/>
      <w:lvlJc w:val="left"/>
      <w:pPr>
        <w:ind w:left="3960" w:hanging="360"/>
      </w:pPr>
    </w:lvl>
    <w:lvl w:ilvl="4" w:tplc="2A94BD86" w:tentative="1">
      <w:start w:val="1"/>
      <w:numFmt w:val="lowerLetter"/>
      <w:lvlText w:val="%5."/>
      <w:lvlJc w:val="left"/>
      <w:pPr>
        <w:ind w:left="4680" w:hanging="360"/>
      </w:pPr>
    </w:lvl>
    <w:lvl w:ilvl="5" w:tplc="2D3810BE" w:tentative="1">
      <w:start w:val="1"/>
      <w:numFmt w:val="lowerRoman"/>
      <w:lvlText w:val="%6."/>
      <w:lvlJc w:val="right"/>
      <w:pPr>
        <w:ind w:left="5400" w:hanging="180"/>
      </w:pPr>
    </w:lvl>
    <w:lvl w:ilvl="6" w:tplc="C6F09918" w:tentative="1">
      <w:start w:val="1"/>
      <w:numFmt w:val="decimal"/>
      <w:lvlText w:val="%7."/>
      <w:lvlJc w:val="left"/>
      <w:pPr>
        <w:ind w:left="6120" w:hanging="360"/>
      </w:pPr>
    </w:lvl>
    <w:lvl w:ilvl="7" w:tplc="984866AE" w:tentative="1">
      <w:start w:val="1"/>
      <w:numFmt w:val="lowerLetter"/>
      <w:lvlText w:val="%8."/>
      <w:lvlJc w:val="left"/>
      <w:pPr>
        <w:ind w:left="6840" w:hanging="360"/>
      </w:pPr>
    </w:lvl>
    <w:lvl w:ilvl="8" w:tplc="7E6EEAA4" w:tentative="1">
      <w:start w:val="1"/>
      <w:numFmt w:val="lowerRoman"/>
      <w:lvlText w:val="%9."/>
      <w:lvlJc w:val="right"/>
      <w:pPr>
        <w:ind w:left="7560" w:hanging="180"/>
      </w:pPr>
    </w:lvl>
  </w:abstractNum>
  <w:abstractNum w:abstractNumId="13" w15:restartNumberingAfterBreak="0">
    <w:nsid w:val="4B9F642B"/>
    <w:multiLevelType w:val="hybridMultilevel"/>
    <w:tmpl w:val="0B8C6336"/>
    <w:lvl w:ilvl="0" w:tplc="D3166A5E">
      <w:numFmt w:val="bullet"/>
      <w:lvlText w:val="•"/>
      <w:lvlJc w:val="left"/>
      <w:pPr>
        <w:ind w:left="2160" w:hanging="144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4A5C14"/>
    <w:multiLevelType w:val="multilevel"/>
    <w:tmpl w:val="2410F6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F7578C"/>
    <w:multiLevelType w:val="singleLevel"/>
    <w:tmpl w:val="BB6CD26A"/>
    <w:lvl w:ilvl="0">
      <w:start w:val="1"/>
      <w:numFmt w:val="bullet"/>
      <w:lvlText w:val=""/>
      <w:lvlJc w:val="left"/>
      <w:pPr>
        <w:tabs>
          <w:tab w:val="num" w:pos="360"/>
        </w:tabs>
        <w:ind w:left="360" w:hanging="360"/>
      </w:pPr>
      <w:rPr>
        <w:rFonts w:ascii="Symbol" w:hAnsi="Symbol" w:hint="default"/>
        <w:color w:val="auto"/>
      </w:rPr>
    </w:lvl>
  </w:abstractNum>
  <w:abstractNum w:abstractNumId="16" w15:restartNumberingAfterBreak="0">
    <w:nsid w:val="63772000"/>
    <w:multiLevelType w:val="hybridMultilevel"/>
    <w:tmpl w:val="300CCCC6"/>
    <w:name w:val="DocXtoolsCompanion_9"/>
    <w:lvl w:ilvl="0" w:tplc="AE14A25C">
      <w:start w:val="1"/>
      <w:numFmt w:val="upperLetter"/>
      <w:lvlText w:val="(%1)"/>
      <w:lvlJc w:val="left"/>
      <w:pPr>
        <w:ind w:left="2160" w:hanging="360"/>
      </w:pPr>
      <w:rPr>
        <w:rFonts w:hint="default"/>
      </w:rPr>
    </w:lvl>
    <w:lvl w:ilvl="1" w:tplc="1A9E84DE" w:tentative="1">
      <w:start w:val="1"/>
      <w:numFmt w:val="lowerLetter"/>
      <w:lvlText w:val="%2."/>
      <w:lvlJc w:val="left"/>
      <w:pPr>
        <w:ind w:left="2880" w:hanging="360"/>
      </w:pPr>
    </w:lvl>
    <w:lvl w:ilvl="2" w:tplc="B60A1112" w:tentative="1">
      <w:start w:val="1"/>
      <w:numFmt w:val="lowerRoman"/>
      <w:lvlText w:val="%3."/>
      <w:lvlJc w:val="right"/>
      <w:pPr>
        <w:ind w:left="3600" w:hanging="180"/>
      </w:pPr>
    </w:lvl>
    <w:lvl w:ilvl="3" w:tplc="4790DE54" w:tentative="1">
      <w:start w:val="1"/>
      <w:numFmt w:val="decimal"/>
      <w:lvlText w:val="%4."/>
      <w:lvlJc w:val="left"/>
      <w:pPr>
        <w:ind w:left="4320" w:hanging="360"/>
      </w:pPr>
    </w:lvl>
    <w:lvl w:ilvl="4" w:tplc="F7E6FA6E" w:tentative="1">
      <w:start w:val="1"/>
      <w:numFmt w:val="lowerLetter"/>
      <w:lvlText w:val="%5."/>
      <w:lvlJc w:val="left"/>
      <w:pPr>
        <w:ind w:left="5040" w:hanging="360"/>
      </w:pPr>
    </w:lvl>
    <w:lvl w:ilvl="5" w:tplc="F586A8EC" w:tentative="1">
      <w:start w:val="1"/>
      <w:numFmt w:val="lowerRoman"/>
      <w:lvlText w:val="%6."/>
      <w:lvlJc w:val="right"/>
      <w:pPr>
        <w:ind w:left="5760" w:hanging="180"/>
      </w:pPr>
    </w:lvl>
    <w:lvl w:ilvl="6" w:tplc="DFF2DE0A" w:tentative="1">
      <w:start w:val="1"/>
      <w:numFmt w:val="decimal"/>
      <w:lvlText w:val="%7."/>
      <w:lvlJc w:val="left"/>
      <w:pPr>
        <w:ind w:left="6480" w:hanging="360"/>
      </w:pPr>
    </w:lvl>
    <w:lvl w:ilvl="7" w:tplc="B8064306" w:tentative="1">
      <w:start w:val="1"/>
      <w:numFmt w:val="lowerLetter"/>
      <w:lvlText w:val="%8."/>
      <w:lvlJc w:val="left"/>
      <w:pPr>
        <w:ind w:left="7200" w:hanging="360"/>
      </w:pPr>
    </w:lvl>
    <w:lvl w:ilvl="8" w:tplc="CC323472" w:tentative="1">
      <w:start w:val="1"/>
      <w:numFmt w:val="lowerRoman"/>
      <w:lvlText w:val="%9."/>
      <w:lvlJc w:val="right"/>
      <w:pPr>
        <w:ind w:left="7920" w:hanging="180"/>
      </w:pPr>
    </w:lvl>
  </w:abstractNum>
  <w:abstractNum w:abstractNumId="17" w15:restartNumberingAfterBreak="0">
    <w:nsid w:val="67D827E4"/>
    <w:multiLevelType w:val="hybridMultilevel"/>
    <w:tmpl w:val="5E38FAEC"/>
    <w:name w:val="DocXtoolsCompanion_10"/>
    <w:lvl w:ilvl="0" w:tplc="51769D7E">
      <w:start w:val="1"/>
      <w:numFmt w:val="lowerRoman"/>
      <w:lvlText w:val="(%1)"/>
      <w:lvlJc w:val="left"/>
      <w:pPr>
        <w:ind w:left="3240" w:hanging="720"/>
      </w:pPr>
      <w:rPr>
        <w:rFonts w:hint="default"/>
      </w:rPr>
    </w:lvl>
    <w:lvl w:ilvl="1" w:tplc="964C6650" w:tentative="1">
      <w:start w:val="1"/>
      <w:numFmt w:val="lowerLetter"/>
      <w:lvlText w:val="%2."/>
      <w:lvlJc w:val="left"/>
      <w:pPr>
        <w:ind w:left="2160" w:hanging="360"/>
      </w:pPr>
    </w:lvl>
    <w:lvl w:ilvl="2" w:tplc="8EA6DCCC" w:tentative="1">
      <w:start w:val="1"/>
      <w:numFmt w:val="lowerRoman"/>
      <w:lvlText w:val="%3."/>
      <w:lvlJc w:val="right"/>
      <w:pPr>
        <w:ind w:left="2880" w:hanging="180"/>
      </w:pPr>
    </w:lvl>
    <w:lvl w:ilvl="3" w:tplc="38C07F4C" w:tentative="1">
      <w:start w:val="1"/>
      <w:numFmt w:val="decimal"/>
      <w:lvlText w:val="%4."/>
      <w:lvlJc w:val="left"/>
      <w:pPr>
        <w:ind w:left="3600" w:hanging="360"/>
      </w:pPr>
    </w:lvl>
    <w:lvl w:ilvl="4" w:tplc="E3105EDE" w:tentative="1">
      <w:start w:val="1"/>
      <w:numFmt w:val="lowerLetter"/>
      <w:lvlText w:val="%5."/>
      <w:lvlJc w:val="left"/>
      <w:pPr>
        <w:ind w:left="4320" w:hanging="360"/>
      </w:pPr>
    </w:lvl>
    <w:lvl w:ilvl="5" w:tplc="F686336A" w:tentative="1">
      <w:start w:val="1"/>
      <w:numFmt w:val="lowerRoman"/>
      <w:lvlText w:val="%6."/>
      <w:lvlJc w:val="right"/>
      <w:pPr>
        <w:ind w:left="5040" w:hanging="180"/>
      </w:pPr>
    </w:lvl>
    <w:lvl w:ilvl="6" w:tplc="C9289AC6" w:tentative="1">
      <w:start w:val="1"/>
      <w:numFmt w:val="decimal"/>
      <w:lvlText w:val="%7."/>
      <w:lvlJc w:val="left"/>
      <w:pPr>
        <w:ind w:left="5760" w:hanging="360"/>
      </w:pPr>
    </w:lvl>
    <w:lvl w:ilvl="7" w:tplc="273A52A6" w:tentative="1">
      <w:start w:val="1"/>
      <w:numFmt w:val="lowerLetter"/>
      <w:lvlText w:val="%8."/>
      <w:lvlJc w:val="left"/>
      <w:pPr>
        <w:ind w:left="6480" w:hanging="360"/>
      </w:pPr>
    </w:lvl>
    <w:lvl w:ilvl="8" w:tplc="433CBADC" w:tentative="1">
      <w:start w:val="1"/>
      <w:numFmt w:val="lowerRoman"/>
      <w:lvlText w:val="%9."/>
      <w:lvlJc w:val="right"/>
      <w:pPr>
        <w:ind w:left="7200" w:hanging="180"/>
      </w:pPr>
    </w:lvl>
  </w:abstractNum>
  <w:abstractNum w:abstractNumId="18" w15:restartNumberingAfterBreak="0">
    <w:nsid w:val="67F56674"/>
    <w:multiLevelType w:val="hybridMultilevel"/>
    <w:tmpl w:val="C6821C94"/>
    <w:name w:val="DocXtoolsCompanion_11"/>
    <w:lvl w:ilvl="0" w:tplc="C9E4CF24">
      <w:start w:val="1"/>
      <w:numFmt w:val="lowerLetter"/>
      <w:lvlText w:val="(%1)"/>
      <w:lvlJc w:val="left"/>
      <w:pPr>
        <w:ind w:left="720" w:hanging="360"/>
      </w:pPr>
      <w:rPr>
        <w:rFonts w:hint="default"/>
      </w:rPr>
    </w:lvl>
    <w:lvl w:ilvl="1" w:tplc="3C0E381E" w:tentative="1">
      <w:start w:val="1"/>
      <w:numFmt w:val="lowerLetter"/>
      <w:lvlText w:val="%2."/>
      <w:lvlJc w:val="left"/>
      <w:pPr>
        <w:ind w:left="1440" w:hanging="360"/>
      </w:pPr>
    </w:lvl>
    <w:lvl w:ilvl="2" w:tplc="2EACD888" w:tentative="1">
      <w:start w:val="1"/>
      <w:numFmt w:val="lowerRoman"/>
      <w:lvlText w:val="%3."/>
      <w:lvlJc w:val="right"/>
      <w:pPr>
        <w:ind w:left="2160" w:hanging="180"/>
      </w:pPr>
    </w:lvl>
    <w:lvl w:ilvl="3" w:tplc="76A4EB74" w:tentative="1">
      <w:start w:val="1"/>
      <w:numFmt w:val="decimal"/>
      <w:lvlText w:val="%4."/>
      <w:lvlJc w:val="left"/>
      <w:pPr>
        <w:ind w:left="2880" w:hanging="360"/>
      </w:pPr>
    </w:lvl>
    <w:lvl w:ilvl="4" w:tplc="71E86E7E" w:tentative="1">
      <w:start w:val="1"/>
      <w:numFmt w:val="lowerLetter"/>
      <w:lvlText w:val="%5."/>
      <w:lvlJc w:val="left"/>
      <w:pPr>
        <w:ind w:left="3600" w:hanging="360"/>
      </w:pPr>
    </w:lvl>
    <w:lvl w:ilvl="5" w:tplc="3954CA6C" w:tentative="1">
      <w:start w:val="1"/>
      <w:numFmt w:val="lowerRoman"/>
      <w:lvlText w:val="%6."/>
      <w:lvlJc w:val="right"/>
      <w:pPr>
        <w:ind w:left="4320" w:hanging="180"/>
      </w:pPr>
    </w:lvl>
    <w:lvl w:ilvl="6" w:tplc="4328DA6C" w:tentative="1">
      <w:start w:val="1"/>
      <w:numFmt w:val="decimal"/>
      <w:lvlText w:val="%7."/>
      <w:lvlJc w:val="left"/>
      <w:pPr>
        <w:ind w:left="5040" w:hanging="360"/>
      </w:pPr>
    </w:lvl>
    <w:lvl w:ilvl="7" w:tplc="DD94EF98" w:tentative="1">
      <w:start w:val="1"/>
      <w:numFmt w:val="lowerLetter"/>
      <w:lvlText w:val="%8."/>
      <w:lvlJc w:val="left"/>
      <w:pPr>
        <w:ind w:left="5760" w:hanging="360"/>
      </w:pPr>
    </w:lvl>
    <w:lvl w:ilvl="8" w:tplc="5B7047E8" w:tentative="1">
      <w:start w:val="1"/>
      <w:numFmt w:val="lowerRoman"/>
      <w:lvlText w:val="%9."/>
      <w:lvlJc w:val="right"/>
      <w:pPr>
        <w:ind w:left="6480" w:hanging="180"/>
      </w:pPr>
    </w:lvl>
  </w:abstractNum>
  <w:abstractNum w:abstractNumId="19" w15:restartNumberingAfterBreak="0">
    <w:nsid w:val="78A35890"/>
    <w:multiLevelType w:val="hybridMultilevel"/>
    <w:tmpl w:val="698EE552"/>
    <w:name w:val="DocXtoolsCompanion_12"/>
    <w:lvl w:ilvl="0" w:tplc="9CC49298">
      <w:start w:val="1"/>
      <w:numFmt w:val="lowerLetter"/>
      <w:lvlText w:val="(%1)"/>
      <w:lvlJc w:val="left"/>
      <w:pPr>
        <w:ind w:left="1800" w:hanging="360"/>
      </w:pPr>
      <w:rPr>
        <w:rFonts w:hint="default"/>
      </w:rPr>
    </w:lvl>
    <w:lvl w:ilvl="1" w:tplc="7E3EB658" w:tentative="1">
      <w:start w:val="1"/>
      <w:numFmt w:val="lowerLetter"/>
      <w:lvlText w:val="%2."/>
      <w:lvlJc w:val="left"/>
      <w:pPr>
        <w:ind w:left="2520" w:hanging="360"/>
      </w:pPr>
    </w:lvl>
    <w:lvl w:ilvl="2" w:tplc="DA4ADA4A" w:tentative="1">
      <w:start w:val="1"/>
      <w:numFmt w:val="lowerRoman"/>
      <w:lvlText w:val="%3."/>
      <w:lvlJc w:val="right"/>
      <w:pPr>
        <w:ind w:left="3240" w:hanging="180"/>
      </w:pPr>
    </w:lvl>
    <w:lvl w:ilvl="3" w:tplc="E682B84E" w:tentative="1">
      <w:start w:val="1"/>
      <w:numFmt w:val="decimal"/>
      <w:lvlText w:val="%4."/>
      <w:lvlJc w:val="left"/>
      <w:pPr>
        <w:ind w:left="3960" w:hanging="360"/>
      </w:pPr>
    </w:lvl>
    <w:lvl w:ilvl="4" w:tplc="1CA07F46" w:tentative="1">
      <w:start w:val="1"/>
      <w:numFmt w:val="lowerLetter"/>
      <w:lvlText w:val="%5."/>
      <w:lvlJc w:val="left"/>
      <w:pPr>
        <w:ind w:left="4680" w:hanging="360"/>
      </w:pPr>
    </w:lvl>
    <w:lvl w:ilvl="5" w:tplc="0E24E4B8" w:tentative="1">
      <w:start w:val="1"/>
      <w:numFmt w:val="lowerRoman"/>
      <w:lvlText w:val="%6."/>
      <w:lvlJc w:val="right"/>
      <w:pPr>
        <w:ind w:left="5400" w:hanging="180"/>
      </w:pPr>
    </w:lvl>
    <w:lvl w:ilvl="6" w:tplc="EEEEB6A4" w:tentative="1">
      <w:start w:val="1"/>
      <w:numFmt w:val="decimal"/>
      <w:lvlText w:val="%7."/>
      <w:lvlJc w:val="left"/>
      <w:pPr>
        <w:ind w:left="6120" w:hanging="360"/>
      </w:pPr>
    </w:lvl>
    <w:lvl w:ilvl="7" w:tplc="296C64B6" w:tentative="1">
      <w:start w:val="1"/>
      <w:numFmt w:val="lowerLetter"/>
      <w:lvlText w:val="%8."/>
      <w:lvlJc w:val="left"/>
      <w:pPr>
        <w:ind w:left="6840" w:hanging="360"/>
      </w:pPr>
    </w:lvl>
    <w:lvl w:ilvl="8" w:tplc="0B3448EE" w:tentative="1">
      <w:start w:val="1"/>
      <w:numFmt w:val="lowerRoman"/>
      <w:lvlText w:val="%9."/>
      <w:lvlJc w:val="right"/>
      <w:pPr>
        <w:ind w:left="7560" w:hanging="180"/>
      </w:pPr>
    </w:lvl>
  </w:abstractNum>
  <w:abstractNum w:abstractNumId="20" w15:restartNumberingAfterBreak="0">
    <w:nsid w:val="7AB6603B"/>
    <w:multiLevelType w:val="hybridMultilevel"/>
    <w:tmpl w:val="CB1223AE"/>
    <w:name w:val="DocXtoolsCompanion_13"/>
    <w:lvl w:ilvl="0" w:tplc="183AD380">
      <w:start w:val="1"/>
      <w:numFmt w:val="decimal"/>
      <w:lvlText w:val="%1."/>
      <w:lvlJc w:val="left"/>
      <w:pPr>
        <w:ind w:left="1080" w:hanging="360"/>
      </w:pPr>
      <w:rPr>
        <w:rFonts w:hint="default"/>
      </w:rPr>
    </w:lvl>
    <w:lvl w:ilvl="1" w:tplc="786EAF8E" w:tentative="1">
      <w:start w:val="1"/>
      <w:numFmt w:val="lowerLetter"/>
      <w:lvlText w:val="%2."/>
      <w:lvlJc w:val="left"/>
      <w:pPr>
        <w:ind w:left="1800" w:hanging="360"/>
      </w:pPr>
    </w:lvl>
    <w:lvl w:ilvl="2" w:tplc="6DE43264" w:tentative="1">
      <w:start w:val="1"/>
      <w:numFmt w:val="lowerRoman"/>
      <w:lvlText w:val="%3."/>
      <w:lvlJc w:val="right"/>
      <w:pPr>
        <w:ind w:left="2520" w:hanging="180"/>
      </w:pPr>
    </w:lvl>
    <w:lvl w:ilvl="3" w:tplc="A6BADA72" w:tentative="1">
      <w:start w:val="1"/>
      <w:numFmt w:val="decimal"/>
      <w:lvlText w:val="%4."/>
      <w:lvlJc w:val="left"/>
      <w:pPr>
        <w:ind w:left="3240" w:hanging="360"/>
      </w:pPr>
    </w:lvl>
    <w:lvl w:ilvl="4" w:tplc="DB863EC2" w:tentative="1">
      <w:start w:val="1"/>
      <w:numFmt w:val="lowerLetter"/>
      <w:lvlText w:val="%5."/>
      <w:lvlJc w:val="left"/>
      <w:pPr>
        <w:ind w:left="3960" w:hanging="360"/>
      </w:pPr>
    </w:lvl>
    <w:lvl w:ilvl="5" w:tplc="0382FCB8" w:tentative="1">
      <w:start w:val="1"/>
      <w:numFmt w:val="lowerRoman"/>
      <w:lvlText w:val="%6."/>
      <w:lvlJc w:val="right"/>
      <w:pPr>
        <w:ind w:left="4680" w:hanging="180"/>
      </w:pPr>
    </w:lvl>
    <w:lvl w:ilvl="6" w:tplc="A6B86D26" w:tentative="1">
      <w:start w:val="1"/>
      <w:numFmt w:val="decimal"/>
      <w:lvlText w:val="%7."/>
      <w:lvlJc w:val="left"/>
      <w:pPr>
        <w:ind w:left="5400" w:hanging="360"/>
      </w:pPr>
    </w:lvl>
    <w:lvl w:ilvl="7" w:tplc="BC0460A8" w:tentative="1">
      <w:start w:val="1"/>
      <w:numFmt w:val="lowerLetter"/>
      <w:lvlText w:val="%8."/>
      <w:lvlJc w:val="left"/>
      <w:pPr>
        <w:ind w:left="6120" w:hanging="360"/>
      </w:pPr>
    </w:lvl>
    <w:lvl w:ilvl="8" w:tplc="93E430D8" w:tentative="1">
      <w:start w:val="1"/>
      <w:numFmt w:val="lowerRoman"/>
      <w:lvlText w:val="%9."/>
      <w:lvlJc w:val="right"/>
      <w:pPr>
        <w:ind w:left="6840" w:hanging="180"/>
      </w:pPr>
    </w:lvl>
  </w:abstractNum>
  <w:abstractNum w:abstractNumId="21" w15:restartNumberingAfterBreak="0">
    <w:nsid w:val="7CEB075B"/>
    <w:multiLevelType w:val="hybridMultilevel"/>
    <w:tmpl w:val="B0845F56"/>
    <w:name w:val="DocXtoolsCompanion_14"/>
    <w:lvl w:ilvl="0" w:tplc="860639B6">
      <w:start w:val="1"/>
      <w:numFmt w:val="bullet"/>
      <w:lvlText w:val=""/>
      <w:lvlJc w:val="left"/>
      <w:pPr>
        <w:ind w:left="2160" w:hanging="360"/>
      </w:pPr>
      <w:rPr>
        <w:rFonts w:ascii="Symbol" w:hAnsi="Symbol" w:hint="default"/>
      </w:rPr>
    </w:lvl>
    <w:lvl w:ilvl="1" w:tplc="5B067BEC" w:tentative="1">
      <w:start w:val="1"/>
      <w:numFmt w:val="bullet"/>
      <w:lvlText w:val="o"/>
      <w:lvlJc w:val="left"/>
      <w:pPr>
        <w:ind w:left="2880" w:hanging="360"/>
      </w:pPr>
      <w:rPr>
        <w:rFonts w:ascii="Courier New" w:hAnsi="Courier New" w:cs="Courier New" w:hint="default"/>
      </w:rPr>
    </w:lvl>
    <w:lvl w:ilvl="2" w:tplc="85CA3694" w:tentative="1">
      <w:start w:val="1"/>
      <w:numFmt w:val="bullet"/>
      <w:lvlText w:val=""/>
      <w:lvlJc w:val="left"/>
      <w:pPr>
        <w:ind w:left="3600" w:hanging="360"/>
      </w:pPr>
      <w:rPr>
        <w:rFonts w:ascii="Wingdings" w:hAnsi="Wingdings" w:hint="default"/>
      </w:rPr>
    </w:lvl>
    <w:lvl w:ilvl="3" w:tplc="540EF95A" w:tentative="1">
      <w:start w:val="1"/>
      <w:numFmt w:val="bullet"/>
      <w:lvlText w:val=""/>
      <w:lvlJc w:val="left"/>
      <w:pPr>
        <w:ind w:left="4320" w:hanging="360"/>
      </w:pPr>
      <w:rPr>
        <w:rFonts w:ascii="Symbol" w:hAnsi="Symbol" w:hint="default"/>
      </w:rPr>
    </w:lvl>
    <w:lvl w:ilvl="4" w:tplc="A7084E94" w:tentative="1">
      <w:start w:val="1"/>
      <w:numFmt w:val="bullet"/>
      <w:lvlText w:val="o"/>
      <w:lvlJc w:val="left"/>
      <w:pPr>
        <w:ind w:left="5040" w:hanging="360"/>
      </w:pPr>
      <w:rPr>
        <w:rFonts w:ascii="Courier New" w:hAnsi="Courier New" w:cs="Courier New" w:hint="default"/>
      </w:rPr>
    </w:lvl>
    <w:lvl w:ilvl="5" w:tplc="FBEC29A2" w:tentative="1">
      <w:start w:val="1"/>
      <w:numFmt w:val="bullet"/>
      <w:lvlText w:val=""/>
      <w:lvlJc w:val="left"/>
      <w:pPr>
        <w:ind w:left="5760" w:hanging="360"/>
      </w:pPr>
      <w:rPr>
        <w:rFonts w:ascii="Wingdings" w:hAnsi="Wingdings" w:hint="default"/>
      </w:rPr>
    </w:lvl>
    <w:lvl w:ilvl="6" w:tplc="92AAE97E" w:tentative="1">
      <w:start w:val="1"/>
      <w:numFmt w:val="bullet"/>
      <w:lvlText w:val=""/>
      <w:lvlJc w:val="left"/>
      <w:pPr>
        <w:ind w:left="6480" w:hanging="360"/>
      </w:pPr>
      <w:rPr>
        <w:rFonts w:ascii="Symbol" w:hAnsi="Symbol" w:hint="default"/>
      </w:rPr>
    </w:lvl>
    <w:lvl w:ilvl="7" w:tplc="19BCC486" w:tentative="1">
      <w:start w:val="1"/>
      <w:numFmt w:val="bullet"/>
      <w:lvlText w:val="o"/>
      <w:lvlJc w:val="left"/>
      <w:pPr>
        <w:ind w:left="7200" w:hanging="360"/>
      </w:pPr>
      <w:rPr>
        <w:rFonts w:ascii="Courier New" w:hAnsi="Courier New" w:cs="Courier New" w:hint="default"/>
      </w:rPr>
    </w:lvl>
    <w:lvl w:ilvl="8" w:tplc="0108D20C" w:tentative="1">
      <w:start w:val="1"/>
      <w:numFmt w:val="bullet"/>
      <w:lvlText w:val=""/>
      <w:lvlJc w:val="left"/>
      <w:pPr>
        <w:ind w:left="7920" w:hanging="360"/>
      </w:pPr>
      <w:rPr>
        <w:rFonts w:ascii="Wingdings" w:hAnsi="Wingdings" w:hint="default"/>
      </w:rPr>
    </w:lvl>
  </w:abstractNum>
  <w:num w:numId="1" w16cid:durableId="2142185355">
    <w:abstractNumId w:val="20"/>
  </w:num>
  <w:num w:numId="2" w16cid:durableId="2030174856">
    <w:abstractNumId w:val="11"/>
  </w:num>
  <w:num w:numId="3" w16cid:durableId="779036175">
    <w:abstractNumId w:val="12"/>
  </w:num>
  <w:num w:numId="4" w16cid:durableId="1521819459">
    <w:abstractNumId w:val="9"/>
  </w:num>
  <w:num w:numId="5" w16cid:durableId="1749302609">
    <w:abstractNumId w:val="17"/>
  </w:num>
  <w:num w:numId="6" w16cid:durableId="1818262087">
    <w:abstractNumId w:val="16"/>
  </w:num>
  <w:num w:numId="7" w16cid:durableId="1077748145">
    <w:abstractNumId w:val="18"/>
  </w:num>
  <w:num w:numId="8" w16cid:durableId="1206332953">
    <w:abstractNumId w:val="19"/>
  </w:num>
  <w:num w:numId="9" w16cid:durableId="1664821217">
    <w:abstractNumId w:val="2"/>
  </w:num>
  <w:num w:numId="10" w16cid:durableId="1042289600">
    <w:abstractNumId w:val="7"/>
  </w:num>
  <w:num w:numId="11" w16cid:durableId="1515800368">
    <w:abstractNumId w:val="5"/>
  </w:num>
  <w:num w:numId="12" w16cid:durableId="1586303285">
    <w:abstractNumId w:val="8"/>
  </w:num>
  <w:num w:numId="13" w16cid:durableId="335961450">
    <w:abstractNumId w:val="21"/>
  </w:num>
  <w:num w:numId="14" w16cid:durableId="18923768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7674470">
    <w:abstractNumId w:val="14"/>
  </w:num>
  <w:num w:numId="16" w16cid:durableId="933243984">
    <w:abstractNumId w:val="6"/>
  </w:num>
  <w:num w:numId="17" w16cid:durableId="1231454079">
    <w:abstractNumId w:val="3"/>
  </w:num>
  <w:num w:numId="18" w16cid:durableId="1277834924">
    <w:abstractNumId w:val="0"/>
  </w:num>
  <w:num w:numId="19" w16cid:durableId="2061123561">
    <w:abstractNumId w:val="11"/>
  </w:num>
  <w:num w:numId="20" w16cid:durableId="1883247862">
    <w:abstractNumId w:val="11"/>
  </w:num>
  <w:num w:numId="21" w16cid:durableId="1755317165">
    <w:abstractNumId w:val="11"/>
  </w:num>
  <w:num w:numId="22" w16cid:durableId="951323391">
    <w:abstractNumId w:val="4"/>
  </w:num>
  <w:num w:numId="23" w16cid:durableId="842859136">
    <w:abstractNumId w:val="11"/>
  </w:num>
  <w:num w:numId="24" w16cid:durableId="276179820">
    <w:abstractNumId w:val="15"/>
  </w:num>
  <w:num w:numId="25" w16cid:durableId="1931347690">
    <w:abstractNumId w:val="13"/>
  </w:num>
  <w:num w:numId="26" w16cid:durableId="1796017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proofState w:spelling="clean"/>
  <w:trackRevisions/>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ClientMatter" w:val="True"/>
    <w:docVar w:name="DocIDLibrary" w:val="True"/>
    <w:docVar w:name="DocIDType" w:val="AllPages"/>
    <w:docVar w:name="LegacyDocIDRemoved" w:val="True"/>
  </w:docVars>
  <w:rsids>
    <w:rsidRoot w:val="00B35FD8"/>
    <w:rsid w:val="00002BCA"/>
    <w:rsid w:val="000151C8"/>
    <w:rsid w:val="00023301"/>
    <w:rsid w:val="00025D95"/>
    <w:rsid w:val="00025F17"/>
    <w:rsid w:val="0003611D"/>
    <w:rsid w:val="00044105"/>
    <w:rsid w:val="000457CC"/>
    <w:rsid w:val="00052637"/>
    <w:rsid w:val="000544CB"/>
    <w:rsid w:val="00054E1E"/>
    <w:rsid w:val="00055F3E"/>
    <w:rsid w:val="0007081C"/>
    <w:rsid w:val="00071E25"/>
    <w:rsid w:val="00076B57"/>
    <w:rsid w:val="00090E53"/>
    <w:rsid w:val="00093D3B"/>
    <w:rsid w:val="000A7938"/>
    <w:rsid w:val="000B1B58"/>
    <w:rsid w:val="000B378C"/>
    <w:rsid w:val="000B5252"/>
    <w:rsid w:val="000B592D"/>
    <w:rsid w:val="000C4BBD"/>
    <w:rsid w:val="000C7987"/>
    <w:rsid w:val="000F52B7"/>
    <w:rsid w:val="000F6D54"/>
    <w:rsid w:val="000F6EC4"/>
    <w:rsid w:val="00100BA4"/>
    <w:rsid w:val="0010420D"/>
    <w:rsid w:val="00107A0D"/>
    <w:rsid w:val="001102C0"/>
    <w:rsid w:val="0011165B"/>
    <w:rsid w:val="00112463"/>
    <w:rsid w:val="0011750E"/>
    <w:rsid w:val="00117C1A"/>
    <w:rsid w:val="00126555"/>
    <w:rsid w:val="00126D85"/>
    <w:rsid w:val="00145A43"/>
    <w:rsid w:val="00154224"/>
    <w:rsid w:val="00157968"/>
    <w:rsid w:val="00157D65"/>
    <w:rsid w:val="00171CE1"/>
    <w:rsid w:val="00175BDB"/>
    <w:rsid w:val="00191982"/>
    <w:rsid w:val="001A4641"/>
    <w:rsid w:val="001A4751"/>
    <w:rsid w:val="001B7EC0"/>
    <w:rsid w:val="001C01F8"/>
    <w:rsid w:val="001C20A8"/>
    <w:rsid w:val="001C28B2"/>
    <w:rsid w:val="001C655F"/>
    <w:rsid w:val="001D5B43"/>
    <w:rsid w:val="001E5D8C"/>
    <w:rsid w:val="001E655C"/>
    <w:rsid w:val="001F672E"/>
    <w:rsid w:val="001F7304"/>
    <w:rsid w:val="001F737D"/>
    <w:rsid w:val="00202292"/>
    <w:rsid w:val="00204407"/>
    <w:rsid w:val="00215F4D"/>
    <w:rsid w:val="002161CA"/>
    <w:rsid w:val="00222300"/>
    <w:rsid w:val="00223531"/>
    <w:rsid w:val="00224A74"/>
    <w:rsid w:val="00227586"/>
    <w:rsid w:val="00227FD0"/>
    <w:rsid w:val="00232283"/>
    <w:rsid w:val="00235F04"/>
    <w:rsid w:val="002360F8"/>
    <w:rsid w:val="002501FA"/>
    <w:rsid w:val="00255353"/>
    <w:rsid w:val="00267C0F"/>
    <w:rsid w:val="00270E80"/>
    <w:rsid w:val="00282363"/>
    <w:rsid w:val="0028538F"/>
    <w:rsid w:val="002874B5"/>
    <w:rsid w:val="002933F1"/>
    <w:rsid w:val="002A5A93"/>
    <w:rsid w:val="002A6704"/>
    <w:rsid w:val="002B2D2B"/>
    <w:rsid w:val="002B3343"/>
    <w:rsid w:val="002B41BE"/>
    <w:rsid w:val="002B4810"/>
    <w:rsid w:val="002B5903"/>
    <w:rsid w:val="002C1244"/>
    <w:rsid w:val="002C3CF9"/>
    <w:rsid w:val="002D13F4"/>
    <w:rsid w:val="002E2317"/>
    <w:rsid w:val="002E6DE8"/>
    <w:rsid w:val="002F078F"/>
    <w:rsid w:val="002F481E"/>
    <w:rsid w:val="002F73F8"/>
    <w:rsid w:val="002F76B8"/>
    <w:rsid w:val="00320CB2"/>
    <w:rsid w:val="00343061"/>
    <w:rsid w:val="00353193"/>
    <w:rsid w:val="00353BF0"/>
    <w:rsid w:val="0036552E"/>
    <w:rsid w:val="00376DE9"/>
    <w:rsid w:val="0038092F"/>
    <w:rsid w:val="003811DE"/>
    <w:rsid w:val="00385237"/>
    <w:rsid w:val="003864F2"/>
    <w:rsid w:val="00387C65"/>
    <w:rsid w:val="00395AC2"/>
    <w:rsid w:val="003A44A9"/>
    <w:rsid w:val="003A559E"/>
    <w:rsid w:val="003B0FF6"/>
    <w:rsid w:val="003B1CE5"/>
    <w:rsid w:val="003B4E24"/>
    <w:rsid w:val="003B683E"/>
    <w:rsid w:val="003B6C7F"/>
    <w:rsid w:val="003E539D"/>
    <w:rsid w:val="003E758A"/>
    <w:rsid w:val="003F18FD"/>
    <w:rsid w:val="003F2469"/>
    <w:rsid w:val="003F3C8F"/>
    <w:rsid w:val="004036E2"/>
    <w:rsid w:val="004124CF"/>
    <w:rsid w:val="004136D9"/>
    <w:rsid w:val="004166AB"/>
    <w:rsid w:val="004208D6"/>
    <w:rsid w:val="00427A3A"/>
    <w:rsid w:val="00446F07"/>
    <w:rsid w:val="00452E4D"/>
    <w:rsid w:val="00454DBF"/>
    <w:rsid w:val="00460805"/>
    <w:rsid w:val="0046169E"/>
    <w:rsid w:val="0048247E"/>
    <w:rsid w:val="004A3405"/>
    <w:rsid w:val="004A412E"/>
    <w:rsid w:val="004A4D92"/>
    <w:rsid w:val="004A6B63"/>
    <w:rsid w:val="004C6EB1"/>
    <w:rsid w:val="004C7BD5"/>
    <w:rsid w:val="004D6522"/>
    <w:rsid w:val="004E316D"/>
    <w:rsid w:val="0050315C"/>
    <w:rsid w:val="00503F96"/>
    <w:rsid w:val="00507833"/>
    <w:rsid w:val="0051047A"/>
    <w:rsid w:val="0051576A"/>
    <w:rsid w:val="005177CF"/>
    <w:rsid w:val="00530C93"/>
    <w:rsid w:val="00534365"/>
    <w:rsid w:val="00537182"/>
    <w:rsid w:val="00543DB2"/>
    <w:rsid w:val="00550407"/>
    <w:rsid w:val="0055052C"/>
    <w:rsid w:val="0055276E"/>
    <w:rsid w:val="00555765"/>
    <w:rsid w:val="00581F6C"/>
    <w:rsid w:val="005823B3"/>
    <w:rsid w:val="00597193"/>
    <w:rsid w:val="00597378"/>
    <w:rsid w:val="005A4E6C"/>
    <w:rsid w:val="005B28FD"/>
    <w:rsid w:val="005B7A20"/>
    <w:rsid w:val="005E47E2"/>
    <w:rsid w:val="005F02E2"/>
    <w:rsid w:val="0060040C"/>
    <w:rsid w:val="00601013"/>
    <w:rsid w:val="00602678"/>
    <w:rsid w:val="0060628B"/>
    <w:rsid w:val="0061066F"/>
    <w:rsid w:val="00611E49"/>
    <w:rsid w:val="0062749D"/>
    <w:rsid w:val="00631BB4"/>
    <w:rsid w:val="00631DA7"/>
    <w:rsid w:val="006411BA"/>
    <w:rsid w:val="00666127"/>
    <w:rsid w:val="00667C95"/>
    <w:rsid w:val="00670C16"/>
    <w:rsid w:val="00671C11"/>
    <w:rsid w:val="00671DA0"/>
    <w:rsid w:val="00676A72"/>
    <w:rsid w:val="006825E1"/>
    <w:rsid w:val="00682B83"/>
    <w:rsid w:val="0068364D"/>
    <w:rsid w:val="0069051F"/>
    <w:rsid w:val="006963B3"/>
    <w:rsid w:val="006A64C5"/>
    <w:rsid w:val="006B5BDD"/>
    <w:rsid w:val="006D0B94"/>
    <w:rsid w:val="006D0CF5"/>
    <w:rsid w:val="006D2420"/>
    <w:rsid w:val="006E53C5"/>
    <w:rsid w:val="00723F2B"/>
    <w:rsid w:val="007427EC"/>
    <w:rsid w:val="00750483"/>
    <w:rsid w:val="00752DA3"/>
    <w:rsid w:val="00753920"/>
    <w:rsid w:val="0076561F"/>
    <w:rsid w:val="00767190"/>
    <w:rsid w:val="007735AE"/>
    <w:rsid w:val="00776014"/>
    <w:rsid w:val="00777287"/>
    <w:rsid w:val="00784E44"/>
    <w:rsid w:val="00797305"/>
    <w:rsid w:val="007A4B55"/>
    <w:rsid w:val="007B5438"/>
    <w:rsid w:val="007B7585"/>
    <w:rsid w:val="007C1FBD"/>
    <w:rsid w:val="007D21E5"/>
    <w:rsid w:val="007D75E2"/>
    <w:rsid w:val="007F5E65"/>
    <w:rsid w:val="00805F58"/>
    <w:rsid w:val="008064BE"/>
    <w:rsid w:val="008228BC"/>
    <w:rsid w:val="008238E9"/>
    <w:rsid w:val="008258A2"/>
    <w:rsid w:val="00826CF9"/>
    <w:rsid w:val="00831B49"/>
    <w:rsid w:val="00832870"/>
    <w:rsid w:val="0084225D"/>
    <w:rsid w:val="008443B5"/>
    <w:rsid w:val="00845B46"/>
    <w:rsid w:val="008530BD"/>
    <w:rsid w:val="008563E6"/>
    <w:rsid w:val="00867C1F"/>
    <w:rsid w:val="00872B0E"/>
    <w:rsid w:val="0088083F"/>
    <w:rsid w:val="0089394E"/>
    <w:rsid w:val="00894CC9"/>
    <w:rsid w:val="008B7FD8"/>
    <w:rsid w:val="008D1E96"/>
    <w:rsid w:val="008D3B96"/>
    <w:rsid w:val="008E0047"/>
    <w:rsid w:val="008E229B"/>
    <w:rsid w:val="008E6BE5"/>
    <w:rsid w:val="008F058F"/>
    <w:rsid w:val="008F28E2"/>
    <w:rsid w:val="008F4794"/>
    <w:rsid w:val="008F77FA"/>
    <w:rsid w:val="00906C3A"/>
    <w:rsid w:val="00907820"/>
    <w:rsid w:val="009136FB"/>
    <w:rsid w:val="00914986"/>
    <w:rsid w:val="00916DD6"/>
    <w:rsid w:val="00920EC0"/>
    <w:rsid w:val="0092219E"/>
    <w:rsid w:val="00922C85"/>
    <w:rsid w:val="009244C7"/>
    <w:rsid w:val="009336DC"/>
    <w:rsid w:val="009351C0"/>
    <w:rsid w:val="00945A8D"/>
    <w:rsid w:val="00952771"/>
    <w:rsid w:val="00954D4C"/>
    <w:rsid w:val="00974861"/>
    <w:rsid w:val="0097490D"/>
    <w:rsid w:val="00977884"/>
    <w:rsid w:val="009808D8"/>
    <w:rsid w:val="00987EBA"/>
    <w:rsid w:val="009A3EA5"/>
    <w:rsid w:val="009C045F"/>
    <w:rsid w:val="009C12E3"/>
    <w:rsid w:val="009C223B"/>
    <w:rsid w:val="009C240A"/>
    <w:rsid w:val="009D36F0"/>
    <w:rsid w:val="009D3A7C"/>
    <w:rsid w:val="009D4129"/>
    <w:rsid w:val="009D7EB8"/>
    <w:rsid w:val="009E1309"/>
    <w:rsid w:val="009E5428"/>
    <w:rsid w:val="00A01E3C"/>
    <w:rsid w:val="00A0415C"/>
    <w:rsid w:val="00A07433"/>
    <w:rsid w:val="00A07A8B"/>
    <w:rsid w:val="00A15392"/>
    <w:rsid w:val="00A1749D"/>
    <w:rsid w:val="00A25DDB"/>
    <w:rsid w:val="00A270B9"/>
    <w:rsid w:val="00A30CA5"/>
    <w:rsid w:val="00A33437"/>
    <w:rsid w:val="00A44548"/>
    <w:rsid w:val="00A5629F"/>
    <w:rsid w:val="00A608C9"/>
    <w:rsid w:val="00A62B44"/>
    <w:rsid w:val="00A6401E"/>
    <w:rsid w:val="00A96A6A"/>
    <w:rsid w:val="00A96A6C"/>
    <w:rsid w:val="00AA2AFA"/>
    <w:rsid w:val="00AB1AB2"/>
    <w:rsid w:val="00AB4C54"/>
    <w:rsid w:val="00AB6D87"/>
    <w:rsid w:val="00AC532C"/>
    <w:rsid w:val="00AD4937"/>
    <w:rsid w:val="00AD7097"/>
    <w:rsid w:val="00AD772F"/>
    <w:rsid w:val="00AE06C1"/>
    <w:rsid w:val="00AE3795"/>
    <w:rsid w:val="00AE7F49"/>
    <w:rsid w:val="00AF6073"/>
    <w:rsid w:val="00B026B7"/>
    <w:rsid w:val="00B22288"/>
    <w:rsid w:val="00B27D31"/>
    <w:rsid w:val="00B35FD8"/>
    <w:rsid w:val="00B452BC"/>
    <w:rsid w:val="00B45F7C"/>
    <w:rsid w:val="00B51902"/>
    <w:rsid w:val="00B5443C"/>
    <w:rsid w:val="00B57BC6"/>
    <w:rsid w:val="00B63102"/>
    <w:rsid w:val="00B652AA"/>
    <w:rsid w:val="00B87E7A"/>
    <w:rsid w:val="00B97E6C"/>
    <w:rsid w:val="00BA0840"/>
    <w:rsid w:val="00BA1A53"/>
    <w:rsid w:val="00BA3298"/>
    <w:rsid w:val="00BB0AFF"/>
    <w:rsid w:val="00BB31AC"/>
    <w:rsid w:val="00BB386F"/>
    <w:rsid w:val="00BB7CB3"/>
    <w:rsid w:val="00BC5AAF"/>
    <w:rsid w:val="00BD44DB"/>
    <w:rsid w:val="00BD7B51"/>
    <w:rsid w:val="00BE0E63"/>
    <w:rsid w:val="00BE71C3"/>
    <w:rsid w:val="00BF6DDD"/>
    <w:rsid w:val="00C00C0E"/>
    <w:rsid w:val="00C06BCC"/>
    <w:rsid w:val="00C17F71"/>
    <w:rsid w:val="00C22C0E"/>
    <w:rsid w:val="00C2423A"/>
    <w:rsid w:val="00C272D2"/>
    <w:rsid w:val="00C32276"/>
    <w:rsid w:val="00C33D00"/>
    <w:rsid w:val="00C53A55"/>
    <w:rsid w:val="00C55A98"/>
    <w:rsid w:val="00C62100"/>
    <w:rsid w:val="00C62B6B"/>
    <w:rsid w:val="00C657D9"/>
    <w:rsid w:val="00C72D76"/>
    <w:rsid w:val="00C91766"/>
    <w:rsid w:val="00CA1CB0"/>
    <w:rsid w:val="00CA454A"/>
    <w:rsid w:val="00CB7EE7"/>
    <w:rsid w:val="00CC2AE7"/>
    <w:rsid w:val="00CE1275"/>
    <w:rsid w:val="00CE41D9"/>
    <w:rsid w:val="00CE4F63"/>
    <w:rsid w:val="00CF60E8"/>
    <w:rsid w:val="00CF7CFE"/>
    <w:rsid w:val="00D063A1"/>
    <w:rsid w:val="00D070EB"/>
    <w:rsid w:val="00D07A59"/>
    <w:rsid w:val="00D222FC"/>
    <w:rsid w:val="00D26066"/>
    <w:rsid w:val="00D31FE8"/>
    <w:rsid w:val="00D33B29"/>
    <w:rsid w:val="00D37AFF"/>
    <w:rsid w:val="00D40035"/>
    <w:rsid w:val="00D40B83"/>
    <w:rsid w:val="00D45142"/>
    <w:rsid w:val="00D47735"/>
    <w:rsid w:val="00D74CF8"/>
    <w:rsid w:val="00D74E38"/>
    <w:rsid w:val="00D75BB1"/>
    <w:rsid w:val="00D77010"/>
    <w:rsid w:val="00D879E8"/>
    <w:rsid w:val="00D95EF5"/>
    <w:rsid w:val="00D95F5B"/>
    <w:rsid w:val="00D96E73"/>
    <w:rsid w:val="00DA14A3"/>
    <w:rsid w:val="00DB4B57"/>
    <w:rsid w:val="00DD6097"/>
    <w:rsid w:val="00DE1080"/>
    <w:rsid w:val="00E008F4"/>
    <w:rsid w:val="00E01157"/>
    <w:rsid w:val="00E0502C"/>
    <w:rsid w:val="00E352D2"/>
    <w:rsid w:val="00E46D98"/>
    <w:rsid w:val="00E46DF1"/>
    <w:rsid w:val="00E80406"/>
    <w:rsid w:val="00E83EF5"/>
    <w:rsid w:val="00E92B05"/>
    <w:rsid w:val="00E93127"/>
    <w:rsid w:val="00E94ADB"/>
    <w:rsid w:val="00EA7C27"/>
    <w:rsid w:val="00EB63D2"/>
    <w:rsid w:val="00ED30B7"/>
    <w:rsid w:val="00ED7ACA"/>
    <w:rsid w:val="00EF3F00"/>
    <w:rsid w:val="00F16D38"/>
    <w:rsid w:val="00F3356D"/>
    <w:rsid w:val="00F36C6B"/>
    <w:rsid w:val="00F37752"/>
    <w:rsid w:val="00F5059F"/>
    <w:rsid w:val="00F51D16"/>
    <w:rsid w:val="00F53FE0"/>
    <w:rsid w:val="00F56053"/>
    <w:rsid w:val="00F60D01"/>
    <w:rsid w:val="00F65A7D"/>
    <w:rsid w:val="00F82879"/>
    <w:rsid w:val="00F86D57"/>
    <w:rsid w:val="00F93E03"/>
    <w:rsid w:val="00FA36AC"/>
    <w:rsid w:val="00FA3AE8"/>
    <w:rsid w:val="00FA4B79"/>
    <w:rsid w:val="00FA58E0"/>
    <w:rsid w:val="00FB03BD"/>
    <w:rsid w:val="00FB108A"/>
    <w:rsid w:val="00FC096C"/>
    <w:rsid w:val="00FC28A9"/>
    <w:rsid w:val="00FD13C1"/>
    <w:rsid w:val="00FD6CD0"/>
    <w:rsid w:val="00FE3F75"/>
    <w:rsid w:val="00FF6D90"/>
    <w:rsid w:val="00FF6DC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19"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35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DocID">
    <w:name w:val="DocID"/>
    <w:basedOn w:val="DefaultParagraphFont"/>
    <w:rPr>
      <w:rFonts w:ascii="Arial" w:eastAsia="Times New Roman" w:hAnsi="Arial" w:cs="Arial"/>
      <w:b w:val="0"/>
      <w:i w:val="0"/>
      <w:caps w:val="0"/>
      <w:vanish w:val="0"/>
      <w:color w:val="000000"/>
      <w:sz w:val="15"/>
      <w:u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iPriority w:val="99"/>
    <w:semiHidden/>
    <w:pPr>
      <w:widowControl w:val="0"/>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semiHidden/>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KBodyFirstIndent1">
    <w:name w:val="K Body First Indent 1&quot;"/>
    <w:basedOn w:val="Normal"/>
    <w:pPr>
      <w:spacing w:after="240" w:line="240" w:lineRule="auto"/>
      <w:ind w:firstLine="1440"/>
      <w:jc w:val="both"/>
    </w:pPr>
    <w:rPr>
      <w:rFonts w:ascii="Times New Roman" w:eastAsia="Times New Roman" w:hAnsi="Times New Roman" w:cs="Times New Roman"/>
      <w:sz w:val="24"/>
      <w:szCs w:val="24"/>
    </w:rPr>
  </w:style>
  <w:style w:type="paragraph" w:customStyle="1" w:styleId="MacPacTrailer">
    <w:name w:val="MacPac Trailer"/>
    <w:pPr>
      <w:widowControl w:val="0"/>
      <w:spacing w:after="0" w:line="200" w:lineRule="exact"/>
    </w:pPr>
    <w:rPr>
      <w:rFonts w:ascii="Arial" w:eastAsia="Times New Roman" w:hAnsi="Arial" w:cs="Times New Roman"/>
      <w:sz w:val="15"/>
    </w:rPr>
  </w:style>
  <w:style w:type="character" w:styleId="PlaceholderText">
    <w:name w:val="Placeholder Text"/>
    <w:basedOn w:val="DefaultParagraphFont"/>
    <w:uiPriority w:val="99"/>
    <w:semiHidden/>
    <w:rPr>
      <w:color w:val="80808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Hyperlink">
    <w:name w:val="Hyperlink"/>
    <w:basedOn w:val="DefaultParagraphFont"/>
    <w:uiPriority w:val="99"/>
    <w:unhideWhenUsed/>
    <w:rPr>
      <w:color w:val="0000FF" w:themeColor="hyperlink"/>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paragraph" w:customStyle="1" w:styleId="KIndent2">
    <w:name w:val="K Indent2"/>
    <w:basedOn w:val="Normal"/>
    <w:qFormat/>
    <w:pPr>
      <w:spacing w:after="240" w:line="240" w:lineRule="auto"/>
      <w:ind w:left="1440"/>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unhideWhenUsed/>
    <w:rPr>
      <w:vertAlign w:val="superscript"/>
    </w:rPr>
  </w:style>
  <w:style w:type="paragraph" w:customStyle="1" w:styleId="Decimaloutlinedc1">
    <w:name w:val="Decimal_outlinedc_1"/>
    <w:basedOn w:val="Normal"/>
    <w:pPr>
      <w:numPr>
        <w:numId w:val="2"/>
      </w:numPr>
      <w:spacing w:after="0" w:line="240" w:lineRule="auto"/>
      <w:contextualSpacing/>
      <w:outlineLvl w:val="0"/>
    </w:pPr>
    <w:rPr>
      <w:rFonts w:ascii="Times New Roman" w:hAnsi="Times New Roman"/>
      <w:b/>
    </w:rPr>
  </w:style>
  <w:style w:type="paragraph" w:customStyle="1" w:styleId="Decimaloutlinedc2">
    <w:name w:val="Decimal_outlinedc_2"/>
    <w:basedOn w:val="Normal"/>
    <w:pPr>
      <w:numPr>
        <w:ilvl w:val="1"/>
        <w:numId w:val="2"/>
      </w:numPr>
      <w:spacing w:after="0" w:line="240" w:lineRule="auto"/>
      <w:jc w:val="both"/>
      <w:outlineLvl w:val="1"/>
    </w:pPr>
    <w:rPr>
      <w:rFonts w:ascii="Times New Roman" w:hAnsi="Times New Roman"/>
    </w:rPr>
  </w:style>
  <w:style w:type="paragraph" w:customStyle="1" w:styleId="Decimaloutlinedc3">
    <w:name w:val="Decimal_outlinedc_3"/>
    <w:basedOn w:val="Normal"/>
    <w:pPr>
      <w:numPr>
        <w:ilvl w:val="2"/>
        <w:numId w:val="2"/>
      </w:numPr>
      <w:jc w:val="both"/>
      <w:outlineLvl w:val="2"/>
    </w:pPr>
    <w:rPr>
      <w:rFonts w:ascii="Times New Roman" w:hAnsi="Times New Roman"/>
    </w:rPr>
  </w:style>
  <w:style w:type="paragraph" w:customStyle="1" w:styleId="Decimaloutlinedc4">
    <w:name w:val="Decimal_outlinedc_4"/>
    <w:basedOn w:val="Normal"/>
    <w:pPr>
      <w:numPr>
        <w:ilvl w:val="3"/>
        <w:numId w:val="2"/>
      </w:numPr>
      <w:jc w:val="both"/>
      <w:outlineLvl w:val="3"/>
    </w:pPr>
    <w:rPr>
      <w:rFonts w:ascii="Times New Roman" w:hAnsi="Times New Roman"/>
    </w:rPr>
  </w:style>
  <w:style w:type="paragraph" w:customStyle="1" w:styleId="Decimaloutlinedc5">
    <w:name w:val="Decimal_outlinedc_5"/>
    <w:basedOn w:val="Normal"/>
    <w:pPr>
      <w:numPr>
        <w:ilvl w:val="4"/>
        <w:numId w:val="2"/>
      </w:numPr>
      <w:jc w:val="both"/>
      <w:outlineLvl w:val="4"/>
    </w:pPr>
    <w:rPr>
      <w:rFonts w:ascii="Times New Roman" w:hAnsi="Times New Roman"/>
    </w:rPr>
  </w:style>
  <w:style w:type="paragraph" w:customStyle="1" w:styleId="Decimaloutlinedc6">
    <w:name w:val="Decimal_outlinedc_6"/>
    <w:basedOn w:val="Normal"/>
    <w:pPr>
      <w:numPr>
        <w:ilvl w:val="5"/>
        <w:numId w:val="2"/>
      </w:numPr>
      <w:jc w:val="both"/>
      <w:outlineLvl w:val="5"/>
    </w:pPr>
    <w:rPr>
      <w:rFonts w:ascii="Times New Roman" w:hAnsi="Times New Roman"/>
    </w:rPr>
  </w:style>
  <w:style w:type="paragraph" w:customStyle="1" w:styleId="Decimaloutlinedc7">
    <w:name w:val="Decimal_outlinedc_7"/>
    <w:basedOn w:val="Normal"/>
    <w:pPr>
      <w:numPr>
        <w:ilvl w:val="6"/>
        <w:numId w:val="2"/>
      </w:numPr>
      <w:jc w:val="both"/>
      <w:outlineLvl w:val="6"/>
    </w:pPr>
    <w:rPr>
      <w:rFonts w:ascii="Times New Roman" w:hAnsi="Times New Roman"/>
    </w:rPr>
  </w:style>
  <w:style w:type="paragraph" w:customStyle="1" w:styleId="Decimaloutlinedc8">
    <w:name w:val="Decimal_outlinedc_8"/>
    <w:basedOn w:val="Normal"/>
    <w:pPr>
      <w:numPr>
        <w:ilvl w:val="7"/>
        <w:numId w:val="2"/>
      </w:numPr>
      <w:jc w:val="both"/>
      <w:outlineLvl w:val="7"/>
    </w:pPr>
    <w:rPr>
      <w:rFonts w:ascii="Times New Roman" w:hAnsi="Times New Roman"/>
    </w:rPr>
  </w:style>
  <w:style w:type="paragraph" w:customStyle="1" w:styleId="Decimaloutlinedc9">
    <w:name w:val="Decimal_outlinedc_9"/>
    <w:basedOn w:val="Normal"/>
    <w:pPr>
      <w:numPr>
        <w:ilvl w:val="8"/>
        <w:numId w:val="2"/>
      </w:numPr>
      <w:jc w:val="both"/>
      <w:outlineLvl w:val="8"/>
    </w:pPr>
    <w:rPr>
      <w:rFonts w:ascii="Times New Roman" w:hAnsi="Times New Roman"/>
    </w:rPr>
  </w:style>
  <w:style w:type="paragraph" w:customStyle="1" w:styleId="UpperLetteroutlinedc1">
    <w:name w:val="UpperLetter_outlinedc_1"/>
    <w:basedOn w:val="Normal"/>
    <w:pPr>
      <w:numPr>
        <w:numId w:val="16"/>
      </w:numPr>
      <w:spacing w:after="0" w:line="240" w:lineRule="auto"/>
      <w:jc w:val="both"/>
      <w:outlineLvl w:val="0"/>
    </w:pPr>
    <w:rPr>
      <w:rFonts w:ascii="Times New Roman" w:hAnsi="Times New Roman"/>
    </w:rPr>
  </w:style>
  <w:style w:type="paragraph" w:customStyle="1" w:styleId="UpperLetteroutlinedc2">
    <w:name w:val="UpperLetter_outlinedc_2"/>
    <w:basedOn w:val="Normal"/>
    <w:pPr>
      <w:numPr>
        <w:ilvl w:val="1"/>
        <w:numId w:val="16"/>
      </w:numPr>
      <w:jc w:val="both"/>
      <w:outlineLvl w:val="1"/>
    </w:pPr>
    <w:rPr>
      <w:rFonts w:ascii="Times New Roman" w:hAnsi="Times New Roman"/>
    </w:rPr>
  </w:style>
  <w:style w:type="paragraph" w:customStyle="1" w:styleId="UpperLetteroutlinedc3">
    <w:name w:val="UpperLetter_outlinedc_3"/>
    <w:basedOn w:val="Normal"/>
    <w:pPr>
      <w:numPr>
        <w:ilvl w:val="2"/>
        <w:numId w:val="16"/>
      </w:numPr>
      <w:jc w:val="both"/>
      <w:outlineLvl w:val="2"/>
    </w:pPr>
    <w:rPr>
      <w:rFonts w:ascii="Times New Roman" w:hAnsi="Times New Roman"/>
    </w:rPr>
  </w:style>
  <w:style w:type="paragraph" w:customStyle="1" w:styleId="UpperLetteroutlinedc4">
    <w:name w:val="UpperLetter_outlinedc_4"/>
    <w:basedOn w:val="Normal"/>
    <w:pPr>
      <w:numPr>
        <w:ilvl w:val="3"/>
        <w:numId w:val="16"/>
      </w:numPr>
      <w:jc w:val="both"/>
      <w:outlineLvl w:val="3"/>
    </w:pPr>
    <w:rPr>
      <w:rFonts w:ascii="Times New Roman" w:hAnsi="Times New Roman"/>
    </w:rPr>
  </w:style>
  <w:style w:type="paragraph" w:customStyle="1" w:styleId="UpperLetteroutlinedc5">
    <w:name w:val="UpperLetter_outlinedc_5"/>
    <w:basedOn w:val="Normal"/>
    <w:pPr>
      <w:numPr>
        <w:ilvl w:val="4"/>
        <w:numId w:val="16"/>
      </w:numPr>
      <w:jc w:val="both"/>
      <w:outlineLvl w:val="4"/>
    </w:pPr>
    <w:rPr>
      <w:rFonts w:ascii="Times New Roman" w:hAnsi="Times New Roman"/>
    </w:rPr>
  </w:style>
  <w:style w:type="paragraph" w:customStyle="1" w:styleId="UpperLetteroutlinedc6">
    <w:name w:val="UpperLetter_outlinedc_6"/>
    <w:basedOn w:val="Normal"/>
    <w:pPr>
      <w:numPr>
        <w:ilvl w:val="5"/>
        <w:numId w:val="16"/>
      </w:numPr>
      <w:jc w:val="both"/>
      <w:outlineLvl w:val="5"/>
    </w:pPr>
    <w:rPr>
      <w:rFonts w:ascii="Times New Roman" w:hAnsi="Times New Roman"/>
    </w:rPr>
  </w:style>
  <w:style w:type="paragraph" w:customStyle="1" w:styleId="UpperLetteroutlinedc7">
    <w:name w:val="UpperLetter_outlinedc_7"/>
    <w:basedOn w:val="Normal"/>
    <w:pPr>
      <w:numPr>
        <w:ilvl w:val="6"/>
        <w:numId w:val="16"/>
      </w:numPr>
      <w:jc w:val="both"/>
      <w:outlineLvl w:val="6"/>
    </w:pPr>
    <w:rPr>
      <w:rFonts w:ascii="Times New Roman" w:hAnsi="Times New Roman"/>
    </w:rPr>
  </w:style>
  <w:style w:type="paragraph" w:customStyle="1" w:styleId="UpperLetteroutlinedc8">
    <w:name w:val="UpperLetter_outlinedc_8"/>
    <w:basedOn w:val="Normal"/>
    <w:pPr>
      <w:numPr>
        <w:ilvl w:val="7"/>
        <w:numId w:val="16"/>
      </w:numPr>
      <w:jc w:val="both"/>
      <w:outlineLvl w:val="7"/>
    </w:pPr>
    <w:rPr>
      <w:rFonts w:ascii="Times New Roman" w:hAnsi="Times New Roman"/>
    </w:rPr>
  </w:style>
  <w:style w:type="paragraph" w:customStyle="1" w:styleId="UpperLetteroutlinedc9">
    <w:name w:val="UpperLetter_outlinedc_9"/>
    <w:basedOn w:val="Normal"/>
    <w:pPr>
      <w:numPr>
        <w:ilvl w:val="8"/>
        <w:numId w:val="16"/>
      </w:numPr>
      <w:jc w:val="both"/>
      <w:outlineLvl w:val="8"/>
    </w:pPr>
    <w:rPr>
      <w:rFonts w:ascii="Times New Roman" w:hAnsi="Times New Roman"/>
    </w:rPr>
  </w:style>
  <w:style w:type="paragraph" w:customStyle="1" w:styleId="EXHIBIToutlinedc1">
    <w:name w:val="EXHIBIT_outlinedc_1"/>
    <w:basedOn w:val="Normal"/>
    <w:pPr>
      <w:numPr>
        <w:numId w:val="17"/>
      </w:numPr>
      <w:spacing w:after="0" w:line="240" w:lineRule="auto"/>
      <w:jc w:val="center"/>
      <w:outlineLvl w:val="0"/>
    </w:pPr>
    <w:rPr>
      <w:rFonts w:ascii="Times New Roman" w:hAnsi="Times New Roman"/>
      <w:b/>
      <w:u w:val="single"/>
    </w:rPr>
  </w:style>
  <w:style w:type="paragraph" w:customStyle="1" w:styleId="EXHIBIToutlinedc2">
    <w:name w:val="EXHIBIT_outlinedc_2"/>
    <w:basedOn w:val="Normal"/>
    <w:pPr>
      <w:numPr>
        <w:ilvl w:val="1"/>
        <w:numId w:val="17"/>
      </w:numPr>
      <w:jc w:val="center"/>
      <w:outlineLvl w:val="1"/>
    </w:pPr>
    <w:rPr>
      <w:rFonts w:ascii="Times New Roman" w:hAnsi="Times New Roman"/>
    </w:rPr>
  </w:style>
  <w:style w:type="paragraph" w:customStyle="1" w:styleId="EXHIBIToutlinedc3">
    <w:name w:val="EXHIBIT_outlinedc_3"/>
    <w:basedOn w:val="Normal"/>
    <w:pPr>
      <w:numPr>
        <w:ilvl w:val="2"/>
        <w:numId w:val="17"/>
      </w:numPr>
      <w:jc w:val="center"/>
      <w:outlineLvl w:val="2"/>
    </w:pPr>
    <w:rPr>
      <w:rFonts w:ascii="Times New Roman" w:hAnsi="Times New Roman"/>
    </w:rPr>
  </w:style>
  <w:style w:type="paragraph" w:customStyle="1" w:styleId="EXHIBIToutlinedc4">
    <w:name w:val="EXHIBIT_outlinedc_4"/>
    <w:basedOn w:val="Normal"/>
    <w:pPr>
      <w:numPr>
        <w:ilvl w:val="3"/>
        <w:numId w:val="17"/>
      </w:numPr>
      <w:jc w:val="center"/>
      <w:outlineLvl w:val="3"/>
    </w:pPr>
    <w:rPr>
      <w:rFonts w:ascii="Times New Roman" w:hAnsi="Times New Roman"/>
    </w:rPr>
  </w:style>
  <w:style w:type="paragraph" w:customStyle="1" w:styleId="EXHIBIToutlinedc5">
    <w:name w:val="EXHIBIT_outlinedc_5"/>
    <w:basedOn w:val="Normal"/>
    <w:pPr>
      <w:numPr>
        <w:ilvl w:val="4"/>
        <w:numId w:val="17"/>
      </w:numPr>
      <w:jc w:val="center"/>
      <w:outlineLvl w:val="4"/>
    </w:pPr>
    <w:rPr>
      <w:rFonts w:ascii="Times New Roman" w:hAnsi="Times New Roman"/>
    </w:rPr>
  </w:style>
  <w:style w:type="paragraph" w:customStyle="1" w:styleId="EXHIBIToutlinedc6">
    <w:name w:val="EXHIBIT_outlinedc_6"/>
    <w:basedOn w:val="Normal"/>
    <w:pPr>
      <w:numPr>
        <w:ilvl w:val="5"/>
        <w:numId w:val="17"/>
      </w:numPr>
      <w:jc w:val="center"/>
      <w:outlineLvl w:val="5"/>
    </w:pPr>
    <w:rPr>
      <w:rFonts w:ascii="Times New Roman" w:hAnsi="Times New Roman"/>
    </w:rPr>
  </w:style>
  <w:style w:type="paragraph" w:customStyle="1" w:styleId="EXHIBIToutlinedc7">
    <w:name w:val="EXHIBIT_outlinedc_7"/>
    <w:basedOn w:val="Normal"/>
    <w:pPr>
      <w:numPr>
        <w:ilvl w:val="6"/>
        <w:numId w:val="17"/>
      </w:numPr>
      <w:jc w:val="center"/>
      <w:outlineLvl w:val="6"/>
    </w:pPr>
    <w:rPr>
      <w:rFonts w:ascii="Times New Roman" w:hAnsi="Times New Roman"/>
    </w:rPr>
  </w:style>
  <w:style w:type="paragraph" w:customStyle="1" w:styleId="EXHIBIToutlinedc8">
    <w:name w:val="EXHIBIT_outlinedc_8"/>
    <w:basedOn w:val="Normal"/>
    <w:pPr>
      <w:numPr>
        <w:ilvl w:val="7"/>
        <w:numId w:val="17"/>
      </w:numPr>
      <w:jc w:val="center"/>
      <w:outlineLvl w:val="7"/>
    </w:pPr>
    <w:rPr>
      <w:rFonts w:ascii="Times New Roman" w:hAnsi="Times New Roman"/>
    </w:rPr>
  </w:style>
  <w:style w:type="paragraph" w:customStyle="1" w:styleId="EXHIBIToutlinedc9">
    <w:name w:val="EXHIBIT_outlinedc_9"/>
    <w:basedOn w:val="Normal"/>
    <w:pPr>
      <w:numPr>
        <w:ilvl w:val="8"/>
        <w:numId w:val="17"/>
      </w:numPr>
      <w:jc w:val="center"/>
      <w:outlineLvl w:val="8"/>
    </w:pPr>
    <w:rPr>
      <w:rFonts w:ascii="Times New Roman" w:hAnsi="Times New Roman"/>
    </w:rPr>
  </w:style>
  <w:style w:type="paragraph" w:customStyle="1" w:styleId="Decimaloutlinedc2runin">
    <w:name w:val="Decimal_outlinedc_2_runin"/>
    <w:basedOn w:val="Decimaloutlinedc2"/>
    <w:link w:val="Decimaloutlinedc2runinChar"/>
    <w:rPr>
      <w:u w:val="single"/>
    </w:rPr>
  </w:style>
  <w:style w:type="character" w:customStyle="1" w:styleId="Decimaloutlinedc2runinChar">
    <w:name w:val="Decimal_outlinedc_2_runin Char"/>
    <w:basedOn w:val="DefaultParagraphFont"/>
    <w:link w:val="Decimaloutlinedc2runin"/>
    <w:rPr>
      <w:rFonts w:ascii="Times New Roman" w:hAnsi="Times New Roman"/>
      <w:u w:val="single"/>
    </w:rPr>
  </w:style>
  <w:style w:type="paragraph" w:customStyle="1" w:styleId="KIndent1">
    <w:name w:val="K Indent1"/>
    <w:basedOn w:val="Normal"/>
    <w:qFormat/>
    <w:pPr>
      <w:spacing w:after="240" w:line="240" w:lineRule="auto"/>
      <w:ind w:left="720"/>
      <w:jc w:val="both"/>
    </w:pPr>
    <w:rPr>
      <w:rFonts w:ascii="Times New Roman" w:eastAsia="Times New Roman" w:hAnsi="Times New Roman" w:cs="Times New Roman"/>
      <w:sz w:val="24"/>
      <w:szCs w:val="24"/>
    </w:rPr>
  </w:style>
  <w:style w:type="paragraph" w:styleId="ListBullet2">
    <w:name w:val="List Bullet 2"/>
    <w:basedOn w:val="Normal"/>
    <w:semiHidden/>
    <w:unhideWhenUsed/>
    <w:rsid w:val="00EF3F00"/>
    <w:pPr>
      <w:numPr>
        <w:numId w:val="18"/>
      </w:numPr>
      <w:spacing w:after="0" w:line="240" w:lineRule="auto"/>
      <w:contextualSpacing/>
    </w:pPr>
    <w:rPr>
      <w:rFonts w:ascii="Times New Roman" w:eastAsia="Times New Roman" w:hAnsi="Times New Roman" w:cs="Times New Roman"/>
      <w:sz w:val="24"/>
      <w:szCs w:val="24"/>
    </w:rPr>
  </w:style>
  <w:style w:type="paragraph" w:styleId="Revision">
    <w:name w:val="Revision"/>
    <w:hidden/>
    <w:uiPriority w:val="99"/>
    <w:semiHidden/>
    <w:rsid w:val="00D879E8"/>
    <w:pPr>
      <w:spacing w:after="0" w:line="240" w:lineRule="auto"/>
    </w:pPr>
  </w:style>
  <w:style w:type="character" w:customStyle="1" w:styleId="Heading3Char">
    <w:name w:val="Heading 3 Char"/>
    <w:basedOn w:val="DefaultParagraphFont"/>
    <w:link w:val="Heading3"/>
    <w:uiPriority w:val="9"/>
    <w:semiHidden/>
    <w:rsid w:val="00223531"/>
    <w:rPr>
      <w:rFonts w:asciiTheme="majorHAnsi" w:eastAsiaTheme="majorEastAsia" w:hAnsiTheme="majorHAnsi" w:cstheme="majorBidi"/>
      <w:color w:val="243F60" w:themeColor="accent1" w:themeShade="7F"/>
      <w:sz w:val="24"/>
      <w:szCs w:val="24"/>
    </w:rPr>
  </w:style>
  <w:style w:type="paragraph" w:styleId="BodyText2">
    <w:name w:val="Body Text 2"/>
    <w:basedOn w:val="BodyText"/>
    <w:link w:val="BodyText2Char"/>
    <w:uiPriority w:val="99"/>
    <w:rsid w:val="00223531"/>
    <w:pPr>
      <w:spacing w:after="240" w:line="240" w:lineRule="auto"/>
      <w:ind w:left="3600"/>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223531"/>
    <w:rPr>
      <w:rFonts w:ascii="Times New Roman" w:eastAsia="Times New Roman" w:hAnsi="Times New Roman" w:cs="Times New Roman"/>
      <w:sz w:val="24"/>
      <w:szCs w:val="20"/>
    </w:rPr>
  </w:style>
  <w:style w:type="paragraph" w:styleId="BodyText3">
    <w:name w:val="Body Text 3"/>
    <w:basedOn w:val="BodyText"/>
    <w:link w:val="BodyText3Char"/>
    <w:uiPriority w:val="99"/>
    <w:rsid w:val="00223531"/>
    <w:pPr>
      <w:spacing w:after="240" w:line="240" w:lineRule="auto"/>
      <w:ind w:left="2880"/>
      <w:jc w:val="both"/>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uiPriority w:val="99"/>
    <w:rsid w:val="00223531"/>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223531"/>
    <w:pPr>
      <w:spacing w:after="120"/>
    </w:pPr>
  </w:style>
  <w:style w:type="character" w:customStyle="1" w:styleId="BodyTextChar">
    <w:name w:val="Body Text Char"/>
    <w:basedOn w:val="DefaultParagraphFont"/>
    <w:link w:val="BodyText"/>
    <w:uiPriority w:val="99"/>
    <w:semiHidden/>
    <w:rsid w:val="00223531"/>
  </w:style>
  <w:style w:type="paragraph" w:styleId="BodyTextFirstIndent">
    <w:name w:val="Body Text First Indent"/>
    <w:basedOn w:val="Normal"/>
    <w:link w:val="BodyTextFirstIndentChar"/>
    <w:uiPriority w:val="19"/>
    <w:qFormat/>
    <w:rsid w:val="00223531"/>
    <w:pPr>
      <w:spacing w:after="240" w:line="240" w:lineRule="auto"/>
      <w:ind w:firstLine="720"/>
      <w:jc w:val="both"/>
    </w:pPr>
    <w:rPr>
      <w:rFonts w:ascii="Times New Roman" w:eastAsia="Times New Roman" w:hAnsi="Times New Roman" w:cs="Times New Roman"/>
      <w:sz w:val="24"/>
      <w:szCs w:val="20"/>
    </w:rPr>
  </w:style>
  <w:style w:type="character" w:customStyle="1" w:styleId="BodyTextFirstIndentChar">
    <w:name w:val="Body Text First Indent Char"/>
    <w:basedOn w:val="BodyTextChar"/>
    <w:link w:val="BodyTextFirstIndent"/>
    <w:uiPriority w:val="19"/>
    <w:rsid w:val="00223531"/>
    <w:rPr>
      <w:rFonts w:ascii="Times New Roman" w:eastAsia="Times New Roman" w:hAnsi="Times New Roman" w:cs="Times New Roman"/>
      <w:sz w:val="24"/>
      <w:szCs w:val="20"/>
    </w:rPr>
  </w:style>
  <w:style w:type="paragraph" w:customStyle="1" w:styleId="Para2">
    <w:name w:val="Para2"/>
    <w:basedOn w:val="Normal"/>
    <w:link w:val="Para2Char"/>
    <w:rsid w:val="00223531"/>
    <w:pPr>
      <w:spacing w:after="240" w:line="240" w:lineRule="auto"/>
      <w:ind w:firstLine="1440"/>
      <w:jc w:val="both"/>
    </w:pPr>
    <w:rPr>
      <w:rFonts w:ascii="Times New Roman" w:eastAsia="Times New Roman" w:hAnsi="Times New Roman" w:cs="Times New Roman"/>
      <w:sz w:val="24"/>
      <w:szCs w:val="20"/>
    </w:rPr>
  </w:style>
  <w:style w:type="character" w:customStyle="1" w:styleId="Para2Char">
    <w:name w:val="Para2 Char"/>
    <w:basedOn w:val="DefaultParagraphFont"/>
    <w:link w:val="Para2"/>
    <w:rsid w:val="00223531"/>
    <w:rPr>
      <w:rFonts w:ascii="Times New Roman" w:eastAsia="Times New Roman" w:hAnsi="Times New Roman" w:cs="Times New Roman"/>
      <w:sz w:val="24"/>
      <w:szCs w:val="20"/>
    </w:rPr>
  </w:style>
  <w:style w:type="paragraph" w:styleId="Signature">
    <w:name w:val="Signature"/>
    <w:basedOn w:val="Normal"/>
    <w:link w:val="SignatureChar"/>
    <w:uiPriority w:val="99"/>
    <w:rsid w:val="003A559E"/>
    <w:pPr>
      <w:tabs>
        <w:tab w:val="right" w:pos="9360"/>
      </w:tabs>
      <w:spacing w:after="480" w:line="240" w:lineRule="auto"/>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uiPriority w:val="99"/>
    <w:rsid w:val="003A559E"/>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3A559E"/>
    <w:pPr>
      <w:spacing w:after="120"/>
      <w:ind w:left="360"/>
    </w:pPr>
  </w:style>
  <w:style w:type="character" w:customStyle="1" w:styleId="BodyTextIndentChar">
    <w:name w:val="Body Text Indent Char"/>
    <w:basedOn w:val="DefaultParagraphFont"/>
    <w:link w:val="BodyTextIndent"/>
    <w:uiPriority w:val="99"/>
    <w:semiHidden/>
    <w:rsid w:val="003A559E"/>
  </w:style>
  <w:style w:type="paragraph" w:styleId="DocumentMap">
    <w:name w:val="Document Map"/>
    <w:basedOn w:val="Normal"/>
    <w:link w:val="DocumentMapChar"/>
    <w:uiPriority w:val="99"/>
    <w:semiHidden/>
    <w:rsid w:val="003A559E"/>
    <w:pPr>
      <w:spacing w:after="0" w:line="240" w:lineRule="auto"/>
    </w:pPr>
    <w:rPr>
      <w:rFonts w:ascii="Tahoma" w:eastAsia="Times New Roman" w:hAnsi="Tahoma" w:cs="Times New Roman"/>
      <w:sz w:val="24"/>
      <w:szCs w:val="20"/>
    </w:rPr>
  </w:style>
  <w:style w:type="character" w:customStyle="1" w:styleId="DocumentMapChar">
    <w:name w:val="Document Map Char"/>
    <w:basedOn w:val="DefaultParagraphFont"/>
    <w:link w:val="DocumentMap"/>
    <w:uiPriority w:val="99"/>
    <w:semiHidden/>
    <w:rsid w:val="003A559E"/>
    <w:rPr>
      <w:rFonts w:ascii="Tahoma" w:eastAsia="Times New Roman" w:hAnsi="Tahoma" w:cs="Times New Roman"/>
      <w:sz w:val="24"/>
      <w:szCs w:val="20"/>
    </w:rPr>
  </w:style>
  <w:style w:type="paragraph" w:customStyle="1" w:styleId="Numbers9">
    <w:name w:val="Numbers 9"/>
    <w:basedOn w:val="Normal"/>
    <w:rsid w:val="00023301"/>
    <w:pPr>
      <w:numPr>
        <w:ilvl w:val="8"/>
        <w:numId w:val="22"/>
      </w:numPr>
      <w:spacing w:after="0" w:line="480" w:lineRule="auto"/>
      <w:outlineLvl w:val="8"/>
    </w:pPr>
    <w:rPr>
      <w:rFonts w:ascii="Times New Roman" w:eastAsia="Calibri" w:hAnsi="Times New Roman" w:cs="Times New Roman"/>
      <w:bCs/>
      <w:sz w:val="24"/>
      <w:szCs w:val="24"/>
    </w:rPr>
  </w:style>
  <w:style w:type="paragraph" w:customStyle="1" w:styleId="Numbers8">
    <w:name w:val="Numbers 8"/>
    <w:basedOn w:val="Normal"/>
    <w:rsid w:val="00023301"/>
    <w:pPr>
      <w:numPr>
        <w:ilvl w:val="7"/>
        <w:numId w:val="22"/>
      </w:numPr>
      <w:spacing w:after="0" w:line="480" w:lineRule="auto"/>
      <w:outlineLvl w:val="7"/>
    </w:pPr>
    <w:rPr>
      <w:rFonts w:ascii="Times New Roman" w:eastAsia="Calibri" w:hAnsi="Times New Roman" w:cs="Times New Roman"/>
      <w:bCs/>
      <w:sz w:val="24"/>
      <w:szCs w:val="24"/>
    </w:rPr>
  </w:style>
  <w:style w:type="paragraph" w:customStyle="1" w:styleId="Numbers7">
    <w:name w:val="Numbers 7"/>
    <w:basedOn w:val="Normal"/>
    <w:rsid w:val="00023301"/>
    <w:pPr>
      <w:numPr>
        <w:ilvl w:val="6"/>
        <w:numId w:val="22"/>
      </w:numPr>
      <w:spacing w:after="0" w:line="480" w:lineRule="auto"/>
      <w:outlineLvl w:val="6"/>
    </w:pPr>
    <w:rPr>
      <w:rFonts w:ascii="Times New Roman" w:eastAsia="Calibri" w:hAnsi="Times New Roman" w:cs="Times New Roman"/>
      <w:bCs/>
      <w:sz w:val="24"/>
      <w:szCs w:val="24"/>
    </w:rPr>
  </w:style>
  <w:style w:type="paragraph" w:customStyle="1" w:styleId="Numbers6">
    <w:name w:val="Numbers 6"/>
    <w:basedOn w:val="Normal"/>
    <w:rsid w:val="00023301"/>
    <w:pPr>
      <w:numPr>
        <w:ilvl w:val="5"/>
        <w:numId w:val="22"/>
      </w:numPr>
      <w:spacing w:after="0" w:line="480" w:lineRule="auto"/>
      <w:outlineLvl w:val="5"/>
    </w:pPr>
    <w:rPr>
      <w:rFonts w:ascii="Times New Roman" w:eastAsia="Calibri" w:hAnsi="Times New Roman" w:cs="Times New Roman"/>
      <w:bCs/>
      <w:sz w:val="24"/>
      <w:szCs w:val="24"/>
    </w:rPr>
  </w:style>
  <w:style w:type="paragraph" w:customStyle="1" w:styleId="Numbers5">
    <w:name w:val="Numbers 5"/>
    <w:basedOn w:val="Normal"/>
    <w:rsid w:val="00023301"/>
    <w:pPr>
      <w:numPr>
        <w:ilvl w:val="4"/>
        <w:numId w:val="22"/>
      </w:numPr>
      <w:spacing w:after="0" w:line="480" w:lineRule="auto"/>
      <w:outlineLvl w:val="4"/>
    </w:pPr>
    <w:rPr>
      <w:rFonts w:ascii="Times New Roman" w:eastAsia="Calibri" w:hAnsi="Times New Roman" w:cs="Times New Roman"/>
      <w:bCs/>
      <w:sz w:val="24"/>
      <w:szCs w:val="24"/>
    </w:rPr>
  </w:style>
  <w:style w:type="paragraph" w:customStyle="1" w:styleId="Numbers4">
    <w:name w:val="Numbers 4"/>
    <w:basedOn w:val="Normal"/>
    <w:rsid w:val="00023301"/>
    <w:pPr>
      <w:numPr>
        <w:ilvl w:val="3"/>
        <w:numId w:val="22"/>
      </w:numPr>
      <w:spacing w:after="0" w:line="480" w:lineRule="auto"/>
      <w:outlineLvl w:val="3"/>
    </w:pPr>
    <w:rPr>
      <w:rFonts w:ascii="Times New Roman" w:eastAsia="Calibri" w:hAnsi="Times New Roman" w:cs="Times New Roman"/>
      <w:bCs/>
      <w:sz w:val="24"/>
      <w:szCs w:val="24"/>
    </w:rPr>
  </w:style>
  <w:style w:type="paragraph" w:customStyle="1" w:styleId="Numbers3">
    <w:name w:val="Numbers 3"/>
    <w:basedOn w:val="Normal"/>
    <w:rsid w:val="00023301"/>
    <w:pPr>
      <w:numPr>
        <w:ilvl w:val="2"/>
        <w:numId w:val="22"/>
      </w:numPr>
      <w:spacing w:after="240" w:line="240" w:lineRule="auto"/>
      <w:outlineLvl w:val="2"/>
    </w:pPr>
    <w:rPr>
      <w:rFonts w:ascii="Times New Roman" w:eastAsia="Calibri" w:hAnsi="Times New Roman" w:cs="Times New Roman"/>
      <w:bCs/>
      <w:sz w:val="24"/>
      <w:szCs w:val="24"/>
    </w:rPr>
  </w:style>
  <w:style w:type="paragraph" w:customStyle="1" w:styleId="Numbers2">
    <w:name w:val="Numbers 2"/>
    <w:basedOn w:val="Normal"/>
    <w:link w:val="Numbers2Char"/>
    <w:rsid w:val="00023301"/>
    <w:pPr>
      <w:numPr>
        <w:ilvl w:val="1"/>
        <w:numId w:val="22"/>
      </w:numPr>
      <w:spacing w:after="240" w:line="240" w:lineRule="auto"/>
      <w:outlineLvl w:val="1"/>
    </w:pPr>
    <w:rPr>
      <w:rFonts w:ascii="Times New Roman" w:eastAsia="Calibri" w:hAnsi="Times New Roman" w:cs="Times New Roman"/>
      <w:bCs/>
      <w:sz w:val="24"/>
      <w:szCs w:val="24"/>
    </w:rPr>
  </w:style>
  <w:style w:type="character" w:customStyle="1" w:styleId="Numbers2Char">
    <w:name w:val="Numbers 2 Char"/>
    <w:link w:val="Numbers2"/>
    <w:locked/>
    <w:rsid w:val="00023301"/>
    <w:rPr>
      <w:rFonts w:ascii="Times New Roman" w:eastAsia="Calibri" w:hAnsi="Times New Roman" w:cs="Times New Roman"/>
      <w:bCs/>
      <w:sz w:val="24"/>
      <w:szCs w:val="24"/>
    </w:rPr>
  </w:style>
  <w:style w:type="paragraph" w:customStyle="1" w:styleId="Numbers1">
    <w:name w:val="Numbers 1"/>
    <w:basedOn w:val="Normal"/>
    <w:rsid w:val="00023301"/>
    <w:pPr>
      <w:numPr>
        <w:numId w:val="22"/>
      </w:numPr>
      <w:spacing w:after="240" w:line="240" w:lineRule="auto"/>
      <w:outlineLvl w:val="0"/>
    </w:pPr>
    <w:rPr>
      <w:rFonts w:ascii="Times New Roman" w:eastAsia="Calibri" w:hAnsi="Times New Roman" w:cs="Times New Roman"/>
      <w:bCs/>
      <w:sz w:val="24"/>
      <w:szCs w:val="24"/>
    </w:rPr>
  </w:style>
  <w:style w:type="character" w:styleId="UnresolvedMention">
    <w:name w:val="Unresolved Mention"/>
    <w:basedOn w:val="DefaultParagraphFont"/>
    <w:uiPriority w:val="99"/>
    <w:semiHidden/>
    <w:unhideWhenUsed/>
    <w:rsid w:val="000151C8"/>
    <w:rPr>
      <w:color w:val="605E5C"/>
      <w:shd w:val="clear" w:color="auto" w:fill="E1DFDD"/>
    </w:rPr>
  </w:style>
  <w:style w:type="paragraph" w:customStyle="1" w:styleId="Style2">
    <w:name w:val="Style 2"/>
    <w:basedOn w:val="Normal"/>
    <w:next w:val="BodyText"/>
    <w:rsid w:val="0010420D"/>
    <w:pPr>
      <w:spacing w:after="240" w:line="240" w:lineRule="auto"/>
    </w:pPr>
    <w:rPr>
      <w:rFonts w:ascii="Times New Roman" w:eastAsia="Times New Roman" w:hAnsi="Times New Roman" w:cs="Times New Roman"/>
      <w:szCs w:val="24"/>
    </w:rPr>
  </w:style>
  <w:style w:type="paragraph" w:customStyle="1" w:styleId="Style5">
    <w:name w:val="Style 5"/>
    <w:basedOn w:val="Normal"/>
    <w:next w:val="BodyText"/>
    <w:rsid w:val="0010420D"/>
    <w:pPr>
      <w:spacing w:after="240" w:line="240" w:lineRule="auto"/>
      <w:jc w:val="center"/>
    </w:pPr>
    <w:rPr>
      <w:rFonts w:ascii="Times New Roman Bold" w:eastAsia="Times New Roman" w:hAnsi="Times New Roman Bold" w:cs="Times New Roman"/>
      <w:b/>
      <w:szCs w:val="24"/>
    </w:rPr>
  </w:style>
  <w:style w:type="paragraph" w:customStyle="1" w:styleId="Style28">
    <w:name w:val="Style 28"/>
    <w:basedOn w:val="Normal"/>
    <w:rsid w:val="0010420D"/>
    <w:pPr>
      <w:tabs>
        <w:tab w:val="left" w:pos="720"/>
      </w:tabs>
      <w:spacing w:after="240" w:line="240" w:lineRule="auto"/>
      <w:ind w:left="1440" w:hanging="1440"/>
    </w:pPr>
    <w:rPr>
      <w:rFonts w:ascii="Times New Roman" w:eastAsia="Times New Roman" w:hAnsi="Times New Roman" w:cs="Times New Roman"/>
      <w:szCs w:val="24"/>
    </w:rPr>
  </w:style>
  <w:style w:type="paragraph" w:customStyle="1" w:styleId="Style29">
    <w:name w:val="Style 29"/>
    <w:basedOn w:val="Normal"/>
    <w:rsid w:val="0010420D"/>
    <w:pPr>
      <w:tabs>
        <w:tab w:val="left" w:pos="3600"/>
        <w:tab w:val="left" w:pos="4320"/>
        <w:tab w:val="left" w:pos="9240"/>
      </w:tabs>
      <w:spacing w:after="0" w:line="240" w:lineRule="auto"/>
    </w:pPr>
    <w:rPr>
      <w:rFonts w:ascii="Times New Roman" w:eastAsia="Times New Roman" w:hAnsi="Times New Roman" w:cs="Times New Roman"/>
      <w:szCs w:val="24"/>
    </w:rPr>
  </w:style>
  <w:style w:type="paragraph" w:customStyle="1" w:styleId="Style6">
    <w:name w:val="Style 6"/>
    <w:basedOn w:val="Normal"/>
    <w:rsid w:val="0010420D"/>
    <w:pPr>
      <w:tabs>
        <w:tab w:val="left" w:pos="3600"/>
      </w:tabs>
      <w:spacing w:after="240" w:line="240" w:lineRule="auto"/>
      <w:ind w:left="720"/>
    </w:pPr>
    <w:rPr>
      <w:rFonts w:ascii="Times New Roman" w:eastAsia="Times New Roman" w:hAnsi="Times New Roman" w:cs="Times New Roman"/>
      <w:sz w:val="24"/>
      <w:szCs w:val="24"/>
    </w:rPr>
  </w:style>
  <w:style w:type="paragraph" w:customStyle="1" w:styleId="HeadingPara2">
    <w:name w:val="Heading Para 2"/>
    <w:basedOn w:val="Heading2"/>
    <w:next w:val="Normal"/>
    <w:rsid w:val="0092219E"/>
    <w:pPr>
      <w:keepNext w:val="0"/>
      <w:keepLines w:val="0"/>
      <w:suppressAutoHyphens/>
      <w:spacing w:before="0" w:after="240" w:line="240" w:lineRule="auto"/>
      <w:jc w:val="both"/>
      <w:outlineLvl w:val="9"/>
    </w:pPr>
    <w:rPr>
      <w:rFonts w:ascii="Times New Roman" w:eastAsia="Times New Roman" w:hAnsi="Times New Roman" w:cs="Times New Roman"/>
      <w:b w:val="0"/>
      <w:bCs w:val="0"/>
      <w:color w:val="auto"/>
      <w:sz w:val="22"/>
      <w:szCs w:val="20"/>
      <w:lang w:val="x-none" w:eastAsia="x-none"/>
    </w:rPr>
  </w:style>
  <w:style w:type="paragraph" w:customStyle="1" w:styleId="m-7322175796456917057article2">
    <w:name w:val="m_-7322175796456917057article2"/>
    <w:basedOn w:val="Normal"/>
    <w:rsid w:val="00227F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398">
      <w:bodyDiv w:val="1"/>
      <w:marLeft w:val="0"/>
      <w:marRight w:val="0"/>
      <w:marTop w:val="0"/>
      <w:marBottom w:val="0"/>
      <w:divBdr>
        <w:top w:val="none" w:sz="0" w:space="0" w:color="auto"/>
        <w:left w:val="none" w:sz="0" w:space="0" w:color="auto"/>
        <w:bottom w:val="none" w:sz="0" w:space="0" w:color="auto"/>
        <w:right w:val="none" w:sz="0" w:space="0" w:color="auto"/>
      </w:divBdr>
    </w:div>
    <w:div w:id="900093266">
      <w:bodyDiv w:val="1"/>
      <w:marLeft w:val="0"/>
      <w:marRight w:val="0"/>
      <w:marTop w:val="0"/>
      <w:marBottom w:val="0"/>
      <w:divBdr>
        <w:top w:val="none" w:sz="0" w:space="0" w:color="auto"/>
        <w:left w:val="none" w:sz="0" w:space="0" w:color="auto"/>
        <w:bottom w:val="none" w:sz="0" w:space="0" w:color="auto"/>
        <w:right w:val="none" w:sz="0" w:space="0" w:color="auto"/>
      </w:divBdr>
    </w:div>
    <w:div w:id="1040667590">
      <w:bodyDiv w:val="1"/>
      <w:marLeft w:val="0"/>
      <w:marRight w:val="0"/>
      <w:marTop w:val="0"/>
      <w:marBottom w:val="0"/>
      <w:divBdr>
        <w:top w:val="none" w:sz="0" w:space="0" w:color="auto"/>
        <w:left w:val="none" w:sz="0" w:space="0" w:color="auto"/>
        <w:bottom w:val="none" w:sz="0" w:space="0" w:color="auto"/>
        <w:right w:val="none" w:sz="0" w:space="0" w:color="auto"/>
      </w:divBdr>
    </w:div>
    <w:div w:id="1271164581">
      <w:bodyDiv w:val="1"/>
      <w:marLeft w:val="0"/>
      <w:marRight w:val="0"/>
      <w:marTop w:val="0"/>
      <w:marBottom w:val="0"/>
      <w:divBdr>
        <w:top w:val="none" w:sz="0" w:space="0" w:color="auto"/>
        <w:left w:val="none" w:sz="0" w:space="0" w:color="auto"/>
        <w:bottom w:val="none" w:sz="0" w:space="0" w:color="auto"/>
        <w:right w:val="none" w:sz="0" w:space="0" w:color="auto"/>
      </w:divBdr>
    </w:div>
    <w:div w:id="1526359130">
      <w:bodyDiv w:val="1"/>
      <w:marLeft w:val="0"/>
      <w:marRight w:val="0"/>
      <w:marTop w:val="0"/>
      <w:marBottom w:val="0"/>
      <w:divBdr>
        <w:top w:val="none" w:sz="0" w:space="0" w:color="auto"/>
        <w:left w:val="none" w:sz="0" w:space="0" w:color="auto"/>
        <w:bottom w:val="none" w:sz="0" w:space="0" w:color="auto"/>
        <w:right w:val="none" w:sz="0" w:space="0" w:color="auto"/>
      </w:divBdr>
    </w:div>
    <w:div w:id="1624456000">
      <w:bodyDiv w:val="1"/>
      <w:marLeft w:val="0"/>
      <w:marRight w:val="0"/>
      <w:marTop w:val="0"/>
      <w:marBottom w:val="0"/>
      <w:divBdr>
        <w:top w:val="none" w:sz="0" w:space="0" w:color="auto"/>
        <w:left w:val="none" w:sz="0" w:space="0" w:color="auto"/>
        <w:bottom w:val="none" w:sz="0" w:space="0" w:color="auto"/>
        <w:right w:val="none" w:sz="0" w:space="0" w:color="auto"/>
      </w:divBdr>
    </w:div>
    <w:div w:id="20424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imanage.xml" Type="http://schemas.openxmlformats.org/officeDocument/2006/relationships/customXml" Target="/customXML/item3.xml"/><Relationship Id="rId25"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customXml" Target="../customXml/item5.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472C87-9812-BC40-99A5-CACF14761A9A}">
  <we:reference id="wa200003550" version="1.4.10.0" store="en-US" storeType="OMEX"/>
  <we:alternateReferences>
    <we:reference id="wa200003550" version="1.4.10.0" store="WA2000035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roperties xmlns="http://www.imanage.com/work/xmlschema">
  <documentid>FW!18297046.4</documentid>
  <senderid>RMitteness_5730</senderid>
  <senderemail>RMITTENESS@FENWICK.COM</senderemail>
  <lastmodified>2024-07-07T23:11:00.0000000-07:00</lastmodified>
  <database>FW</database>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p r o p e r t i e s   x m l n s = " h t t p : / / w w w . i m a n a g e . c o m / w o r k / x m l s c h e m a " >  
     < d o c u m e n t i d > N Y ! 1 7 0 4 4 1 5 . 3 < / d o c u m e n t i d >  
     < s e n d e r i d > P L Y L E R J M < / s e n d e r i d >  
     < s e n d e r e m a i l > J P L Y L E R @ C O V . C O M < / s e n d e r e m a i l >  
     < l a s t m o d i f i e d > 2 0 2 4 - 1 0 - 3 0 T 1 1 : 1 7 : 0 0 . 0 0 0 0 0 0 0 - 0 4 : 0 0 < / l a s t m o d i f i e d >  
     < d a t a b a s e > N Y < / d a t a b a s e >  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7" ma:contentTypeDescription="Create a new document." ma:contentTypeScope="" ma:versionID="127b85d314086bd6d55c835ecfa34ade">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d47da7e8d981f1cd1b300a984f68e604"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1ce4ac4-ad13-4596-81cf-5f9bc0a95bec" ma:termSetId="09814cd3-568e-fe90-9814-8d621ff8fb84" ma:anchorId="fba54fb3-c3e1-fe81-a776-ca4b69148c4d" ma:open="true" ma:isKeyword="false">
      <xsd:complexType>
        <xsd:sequence>
          <xsd:element ref="pc:Terms" minOccurs="0" maxOccurs="1"/>
        </xsd:sequence>
      </xsd:complex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680791-a5e0-4291-8c12-f0a303cae57f}" ma:internalName="TaxCatchAll" ma:showField="CatchAllData" ma:web="37e6111b-6a63-4681-b603-c7bc9a020f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9c0a36f1-4d58-430e-8449-b0eaaf5fe206">
      <Terms xmlns="http://schemas.microsoft.com/office/infopath/2007/PartnerControls"/>
    </lcf76f155ced4ddcb4097134ff3c332f>
    <TaxCatchAll xmlns="37e6111b-6a63-4681-b603-c7bc9a020fd3" xsi:nil="true"/>
  </documentManagement>
</p:properties>
</file>

<file path=customXml/itemProps1.xml><?xml version="1.0" encoding="utf-8"?>
<ds:datastoreItem xmlns:ds="http://schemas.openxmlformats.org/officeDocument/2006/customXml" ds:itemID="{D03075DE-51C9-4F9F-9D20-4AFC75F6B28F}">
  <ds:schemaRefs>
    <ds:schemaRef ds:uri="http://www.imanage.com/work/xmlschema"/>
  </ds:schemaRefs>
</ds:datastoreItem>
</file>

<file path=customXml/itemProps2.xml><?xml version="1.0" encoding="utf-8"?>
<ds:datastoreItem xmlns:ds="http://schemas.openxmlformats.org/officeDocument/2006/customXml" ds:itemID="{378D78DD-ECF7-4DE0-BDC6-2D441053618E}">
  <ds:schemaRefs>
    <ds:schemaRef ds:uri="http://schemas.openxmlformats.org/officeDocument/2006/bibliography"/>
  </ds:schemaRefs>
</ds:datastoreItem>
</file>

<file path=customXml/itemProps3.xml><?xml version="1.0" encoding="utf-8"?>
<ds:datastoreItem xmlns:ds="http://schemas.openxmlformats.org/officeDocument/2006/customXml" ds:itemID="{925B7FF8-4178-4A39-9EE6-61399C469186}"/>
</file>

<file path=customXml/itemProps4.xml><?xml version="1.0" encoding="utf-8"?>
<ds:datastoreItem xmlns:ds="http://schemas.openxmlformats.org/officeDocument/2006/customXml" ds:itemID="{E041FCA7-1722-4071-98B8-E1E641ABFD6F}"/>
</file>

<file path=customXml/itemProps5.xml><?xml version="1.0" encoding="utf-8"?>
<ds:datastoreItem xmlns:ds="http://schemas.openxmlformats.org/officeDocument/2006/customXml" ds:itemID="{7D0C79D4-3728-46C9-8B95-C2D8B2DE277F}"/>
</file>

<file path=customXml/itemProps6.xml><?xml version="1.0" encoding="utf-8"?>
<ds:datastoreItem xmlns:ds="http://schemas.openxmlformats.org/officeDocument/2006/customXml" ds:itemID="{8E393BBC-2A2C-4109-9380-F260908096CC}"/>
</file>

<file path=docProps/app.xml><?xml version="1.0" encoding="utf-8"?>
<Properties xmlns="http://schemas.openxmlformats.org/officeDocument/2006/extended-properties" xmlns:vt="http://schemas.openxmlformats.org/officeDocument/2006/docPropsVTypes">
  <Template>Normal.dotm</Template>
  <TotalTime>0</TotalTime>
  <Pages>22</Pages>
  <Words>10578</Words>
  <Characters>57546</Characters>
  <Application>Microsoft Office Word</Application>
  <DocSecurity>0</DocSecurity>
  <Lines>846</Lines>
  <Paragraphs>231</Paragraphs>
  <ScaleCrop>false</ScaleCrop>
  <LinksUpToDate>false</LinksUpToDate>
  <CharactersWithSpaces>67893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2024-08-14T13:50:00Z</dcterms:created>
  <dcterms:modified xsi:type="dcterms:W3CDTF">2024-10-30T15:17:00Z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