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F4E3A" w14:textId="2C0FCC20" w:rsidR="000C2340" w:rsidRDefault="000C2340" w:rsidP="000C2340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Results—</w:t>
      </w:r>
    </w:p>
    <w:p w14:paraId="7FE6DFE5" w14:textId="6E2E3ACC" w:rsidR="0080689E" w:rsidRDefault="00E97D22" w:rsidP="000C234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Altered alkalinity did not influence net</w:t>
      </w:r>
      <w:r w:rsidR="000A6007">
        <w:rPr>
          <w:rFonts w:ascii="Arial" w:hAnsi="Arial" w:cs="Arial"/>
          <w:b/>
          <w:bCs/>
          <w:sz w:val="24"/>
          <w:szCs w:val="24"/>
        </w:rPr>
        <w:t xml:space="preserve"> shell growth</w:t>
      </w:r>
      <w:r>
        <w:rPr>
          <w:rFonts w:ascii="Arial" w:hAnsi="Arial" w:cs="Arial"/>
          <w:b/>
          <w:bCs/>
          <w:sz w:val="24"/>
          <w:szCs w:val="24"/>
        </w:rPr>
        <w:t xml:space="preserve">— </w:t>
      </w:r>
    </w:p>
    <w:p w14:paraId="11AD4D46" w14:textId="5CB7F605" w:rsidR="0080689E" w:rsidRPr="0080689E" w:rsidRDefault="009A36D6" w:rsidP="0080689E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F1D90">
        <w:rPr>
          <w:rFonts w:ascii="Arial" w:hAnsi="Arial" w:cs="Arial"/>
          <w:sz w:val="24"/>
          <w:szCs w:val="24"/>
        </w:rPr>
        <w:t>Average net growth</w:t>
      </w:r>
      <w:r w:rsidR="00B9104E" w:rsidRPr="00BF1D90">
        <w:rPr>
          <w:rFonts w:ascii="Arial" w:hAnsi="Arial" w:cs="Arial"/>
          <w:sz w:val="24"/>
          <w:szCs w:val="24"/>
        </w:rPr>
        <w:t xml:space="preserve"> rate</w:t>
      </w:r>
      <w:r w:rsidRPr="00BF1D90">
        <w:rPr>
          <w:rFonts w:ascii="Arial" w:hAnsi="Arial" w:cs="Arial"/>
          <w:sz w:val="24"/>
          <w:szCs w:val="24"/>
        </w:rPr>
        <w:t xml:space="preserve"> did not </w:t>
      </w:r>
      <w:r w:rsidR="00B9104E" w:rsidRPr="00BF1D90">
        <w:rPr>
          <w:rFonts w:ascii="Arial" w:hAnsi="Arial" w:cs="Arial"/>
          <w:sz w:val="24"/>
          <w:szCs w:val="24"/>
        </w:rPr>
        <w:t>differ</w:t>
      </w:r>
      <w:r w:rsidRPr="00BF1D90">
        <w:rPr>
          <w:rFonts w:ascii="Arial" w:hAnsi="Arial" w:cs="Arial"/>
          <w:sz w:val="24"/>
          <w:szCs w:val="24"/>
        </w:rPr>
        <w:t xml:space="preserve"> among oysters exposed to reduced, </w:t>
      </w:r>
      <w:r w:rsidR="00B9104E" w:rsidRPr="00BF1D90">
        <w:rPr>
          <w:rFonts w:ascii="Arial" w:hAnsi="Arial" w:cs="Arial"/>
          <w:sz w:val="24"/>
          <w:szCs w:val="24"/>
        </w:rPr>
        <w:t>ambient, or elevated alkalinity</w:t>
      </w:r>
      <w:r w:rsidR="00777F4C">
        <w:rPr>
          <w:rFonts w:ascii="Arial" w:hAnsi="Arial" w:cs="Arial"/>
          <w:sz w:val="24"/>
          <w:szCs w:val="24"/>
        </w:rPr>
        <w:t xml:space="preserve"> (stats)</w:t>
      </w:r>
      <w:r w:rsidR="004320DB" w:rsidRPr="00BF1D90">
        <w:rPr>
          <w:rFonts w:ascii="Arial" w:hAnsi="Arial" w:cs="Arial"/>
          <w:sz w:val="24"/>
          <w:szCs w:val="24"/>
        </w:rPr>
        <w:t>.</w:t>
      </w:r>
      <w:r w:rsidR="00DA69AF" w:rsidRPr="00BF1D90">
        <w:rPr>
          <w:rFonts w:ascii="Arial" w:hAnsi="Arial" w:cs="Arial"/>
          <w:sz w:val="24"/>
          <w:szCs w:val="24"/>
        </w:rPr>
        <w:t xml:space="preserve"> </w:t>
      </w:r>
    </w:p>
    <w:p w14:paraId="67A16909" w14:textId="45433CBE" w:rsidR="00351063" w:rsidRDefault="00351063" w:rsidP="00BF1D90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Average shell surface area, however, was larger than control oysters grown in lab seawater conditions</w:t>
      </w:r>
      <w:r w:rsidR="00777F4C">
        <w:rPr>
          <w:rFonts w:ascii="Arial" w:hAnsi="Arial" w:cs="Arial"/>
          <w:sz w:val="24"/>
          <w:szCs w:val="24"/>
        </w:rPr>
        <w:t xml:space="preserve"> (</w:t>
      </w:r>
      <w:r w:rsidR="0080689E">
        <w:rPr>
          <w:rFonts w:ascii="Arial" w:hAnsi="Arial" w:cs="Arial"/>
          <w:sz w:val="24"/>
          <w:szCs w:val="24"/>
        </w:rPr>
        <w:t>average + SE vs control + SE</w:t>
      </w:r>
      <w:r w:rsidR="00777F4C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 suggesting that positive growth occurred</w:t>
      </w:r>
      <w:r w:rsidR="00777F4C">
        <w:rPr>
          <w:rFonts w:ascii="Arial" w:hAnsi="Arial" w:cs="Arial"/>
          <w:sz w:val="24"/>
          <w:szCs w:val="24"/>
        </w:rPr>
        <w:t xml:space="preserve"> in all treatments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620A79C9" w14:textId="45CF80F3" w:rsidR="00BF1D90" w:rsidRPr="005E1978" w:rsidRDefault="00BF1D90" w:rsidP="000C2340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E1978">
        <w:rPr>
          <w:rFonts w:ascii="Arial" w:hAnsi="Arial" w:cs="Arial"/>
          <w:sz w:val="24"/>
          <w:szCs w:val="24"/>
        </w:rPr>
        <w:t>A</w:t>
      </w:r>
      <w:r w:rsidR="004320DB" w:rsidRPr="005E1978">
        <w:rPr>
          <w:rFonts w:ascii="Arial" w:hAnsi="Arial" w:cs="Arial"/>
          <w:sz w:val="24"/>
          <w:szCs w:val="24"/>
        </w:rPr>
        <w:t xml:space="preserve">lthough the reduced TA treatment exhibited an average omega calcite &lt; 1, mussels </w:t>
      </w:r>
      <w:r w:rsidR="004032E8" w:rsidRPr="005E1978">
        <w:rPr>
          <w:rFonts w:ascii="Arial" w:hAnsi="Arial" w:cs="Arial"/>
          <w:sz w:val="24"/>
          <w:szCs w:val="24"/>
        </w:rPr>
        <w:t>maintained calcification rates.</w:t>
      </w:r>
      <w:r w:rsidR="00DA69AF" w:rsidRPr="005E1978">
        <w:rPr>
          <w:rFonts w:ascii="Arial" w:hAnsi="Arial" w:cs="Arial"/>
          <w:sz w:val="24"/>
          <w:szCs w:val="24"/>
        </w:rPr>
        <w:t xml:space="preserve"> In contrast, those exposed to elevated TA did not appear to elevate calcification, indicating that all of the mussels in ambient salinity conditions</w:t>
      </w:r>
      <w:r w:rsidR="00360666" w:rsidRPr="005E1978">
        <w:rPr>
          <w:rFonts w:ascii="Arial" w:hAnsi="Arial" w:cs="Arial"/>
          <w:sz w:val="24"/>
          <w:szCs w:val="24"/>
        </w:rPr>
        <w:t xml:space="preserve"> performed similarly. </w:t>
      </w:r>
    </w:p>
    <w:p w14:paraId="4937F7EA" w14:textId="25BF56FF" w:rsidR="0067173A" w:rsidRPr="0028632B" w:rsidRDefault="00FF5251" w:rsidP="0067173A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F1D90">
        <w:rPr>
          <w:rFonts w:ascii="Arial" w:hAnsi="Arial" w:cs="Arial"/>
          <w:sz w:val="24"/>
          <w:szCs w:val="24"/>
        </w:rPr>
        <w:t xml:space="preserve">When holding TA near ambient conditions, oysters demonstrated elevated growth in </w:t>
      </w:r>
      <w:r w:rsidR="002D4D6B" w:rsidRPr="00BF1D90">
        <w:rPr>
          <w:rFonts w:ascii="Arial" w:hAnsi="Arial" w:cs="Arial"/>
          <w:sz w:val="24"/>
          <w:szCs w:val="24"/>
        </w:rPr>
        <w:t>reduced</w:t>
      </w:r>
      <w:r w:rsidRPr="00BF1D90">
        <w:rPr>
          <w:rFonts w:ascii="Arial" w:hAnsi="Arial" w:cs="Arial"/>
          <w:sz w:val="24"/>
          <w:szCs w:val="24"/>
        </w:rPr>
        <w:t xml:space="preserve"> salinity, relative to ambient </w:t>
      </w:r>
      <w:r w:rsidR="002718F3" w:rsidRPr="00BF1D90">
        <w:rPr>
          <w:rFonts w:ascii="Arial" w:hAnsi="Arial" w:cs="Arial"/>
          <w:sz w:val="24"/>
          <w:szCs w:val="24"/>
        </w:rPr>
        <w:t>conditions</w:t>
      </w:r>
      <w:r w:rsidR="0033038E" w:rsidRPr="00BF1D90">
        <w:rPr>
          <w:rFonts w:ascii="Arial" w:hAnsi="Arial" w:cs="Arial"/>
          <w:sz w:val="24"/>
          <w:szCs w:val="24"/>
        </w:rPr>
        <w:t xml:space="preserve">. </w:t>
      </w:r>
    </w:p>
    <w:p w14:paraId="6D898E6B" w14:textId="7E1042E7" w:rsidR="0025706D" w:rsidRDefault="006447CE" w:rsidP="00F604E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Oysters’</w:t>
      </w:r>
      <w:r w:rsidR="009B32E9">
        <w:rPr>
          <w:rFonts w:ascii="Arial" w:hAnsi="Arial" w:cs="Arial"/>
          <w:b/>
          <w:bCs/>
          <w:sz w:val="24"/>
          <w:szCs w:val="24"/>
        </w:rPr>
        <w:t xml:space="preserve"> </w:t>
      </w:r>
      <w:r w:rsidR="008C1A49">
        <w:rPr>
          <w:rFonts w:ascii="Arial" w:hAnsi="Arial" w:cs="Arial"/>
          <w:b/>
          <w:bCs/>
          <w:sz w:val="24"/>
          <w:szCs w:val="24"/>
        </w:rPr>
        <w:t xml:space="preserve">shell </w:t>
      </w:r>
      <w:r w:rsidR="009B32E9">
        <w:rPr>
          <w:rFonts w:ascii="Arial" w:hAnsi="Arial" w:cs="Arial"/>
          <w:b/>
          <w:bCs/>
          <w:sz w:val="24"/>
          <w:szCs w:val="24"/>
        </w:rPr>
        <w:t>growth</w:t>
      </w:r>
      <w:r w:rsidR="00790910">
        <w:rPr>
          <w:rFonts w:ascii="Arial" w:hAnsi="Arial" w:cs="Arial"/>
          <w:b/>
          <w:bCs/>
          <w:sz w:val="24"/>
          <w:szCs w:val="24"/>
        </w:rPr>
        <w:t xml:space="preserve"> </w:t>
      </w:r>
      <w:r w:rsidR="009B32E9">
        <w:rPr>
          <w:rFonts w:ascii="Arial" w:hAnsi="Arial" w:cs="Arial"/>
          <w:b/>
          <w:bCs/>
          <w:sz w:val="24"/>
          <w:szCs w:val="24"/>
        </w:rPr>
        <w:t>in lower salinity</w:t>
      </w:r>
      <w:r w:rsidR="00790910">
        <w:rPr>
          <w:rFonts w:ascii="Arial" w:hAnsi="Arial" w:cs="Arial"/>
          <w:b/>
          <w:bCs/>
          <w:sz w:val="24"/>
          <w:szCs w:val="24"/>
        </w:rPr>
        <w:t xml:space="preserve"> </w:t>
      </w:r>
      <w:r w:rsidR="008C1A49">
        <w:rPr>
          <w:rFonts w:ascii="Arial" w:hAnsi="Arial" w:cs="Arial"/>
          <w:b/>
          <w:bCs/>
          <w:sz w:val="24"/>
          <w:szCs w:val="24"/>
        </w:rPr>
        <w:t>was higher w</w:t>
      </w:r>
      <w:r w:rsidR="006D36C5">
        <w:rPr>
          <w:rFonts w:ascii="Arial" w:hAnsi="Arial" w:cs="Arial"/>
          <w:b/>
          <w:bCs/>
          <w:sz w:val="24"/>
          <w:szCs w:val="24"/>
        </w:rPr>
        <w:t>hen coupled higher TA</w:t>
      </w:r>
      <w:r w:rsidR="0028632B">
        <w:rPr>
          <w:rFonts w:ascii="Arial" w:hAnsi="Arial" w:cs="Arial"/>
          <w:b/>
          <w:bCs/>
          <w:sz w:val="24"/>
          <w:szCs w:val="24"/>
        </w:rPr>
        <w:t>—</w:t>
      </w:r>
    </w:p>
    <w:p w14:paraId="1DBCA1E0" w14:textId="77777777" w:rsidR="00CA6FCB" w:rsidRPr="00FA755C" w:rsidRDefault="00E3525B" w:rsidP="00CA6FC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contrast to ambient salinity, TA showed a positive effect on a</w:t>
      </w:r>
      <w:r w:rsidR="006C7983">
        <w:rPr>
          <w:rFonts w:ascii="Arial" w:hAnsi="Arial" w:cs="Arial"/>
          <w:sz w:val="24"/>
          <w:szCs w:val="24"/>
        </w:rPr>
        <w:t xml:space="preserve">verage shell growth </w:t>
      </w:r>
      <w:r w:rsidR="00672A4E">
        <w:rPr>
          <w:rFonts w:ascii="Arial" w:hAnsi="Arial" w:cs="Arial"/>
          <w:sz w:val="24"/>
          <w:szCs w:val="24"/>
        </w:rPr>
        <w:t>in low salinity</w:t>
      </w:r>
      <w:r>
        <w:rPr>
          <w:rFonts w:ascii="Arial" w:hAnsi="Arial" w:cs="Arial"/>
          <w:sz w:val="24"/>
          <w:szCs w:val="24"/>
        </w:rPr>
        <w:t>.</w:t>
      </w:r>
      <w:r w:rsidR="00CA6FCB">
        <w:rPr>
          <w:rFonts w:ascii="Arial" w:hAnsi="Arial" w:cs="Arial"/>
          <w:sz w:val="24"/>
          <w:szCs w:val="24"/>
        </w:rPr>
        <w:t xml:space="preserve"> </w:t>
      </w:r>
      <w:r w:rsidR="00CA6FCB" w:rsidRPr="00FA755C">
        <w:rPr>
          <w:rFonts w:ascii="Arial" w:hAnsi="Arial" w:cs="Arial"/>
          <w:sz w:val="24"/>
          <w:szCs w:val="24"/>
        </w:rPr>
        <w:t>In our case, low S interacting with TA produced a higher influence than either change alone.</w:t>
      </w:r>
    </w:p>
    <w:p w14:paraId="14D776DC" w14:textId="4ECDAD0D" w:rsidR="00E3525B" w:rsidRDefault="00E3525B" w:rsidP="0028632B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oysters grown in reduced salinity </w:t>
      </w:r>
      <w:r w:rsidR="00912C83">
        <w:rPr>
          <w:rFonts w:ascii="Arial" w:hAnsi="Arial" w:cs="Arial"/>
          <w:sz w:val="24"/>
          <w:szCs w:val="24"/>
        </w:rPr>
        <w:t xml:space="preserve">and TA conditions </w:t>
      </w:r>
      <w:r w:rsidR="00AA598F">
        <w:rPr>
          <w:rFonts w:ascii="Arial" w:hAnsi="Arial" w:cs="Arial"/>
          <w:sz w:val="24"/>
          <w:szCs w:val="24"/>
        </w:rPr>
        <w:t xml:space="preserve">that </w:t>
      </w:r>
      <w:r w:rsidR="00912C83">
        <w:rPr>
          <w:rFonts w:ascii="Arial" w:hAnsi="Arial" w:cs="Arial"/>
          <w:sz w:val="24"/>
          <w:szCs w:val="24"/>
        </w:rPr>
        <w:t xml:space="preserve">were similar to ambient </w:t>
      </w:r>
      <w:r w:rsidR="002E4D4C">
        <w:rPr>
          <w:rFonts w:ascii="Arial" w:hAnsi="Arial" w:cs="Arial"/>
          <w:sz w:val="24"/>
          <w:szCs w:val="24"/>
        </w:rPr>
        <w:t>(~2200), we saw similar growth rates as those grown in ambient salinity conditions.</w:t>
      </w:r>
    </w:p>
    <w:p w14:paraId="64E1B95B" w14:textId="00B60EA8" w:rsidR="005340B0" w:rsidRDefault="002E4D4C" w:rsidP="00B41035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However, oysters growth was low when low salinity was coupled with </w:t>
      </w:r>
      <w:r w:rsidR="00CA6FCB">
        <w:rPr>
          <w:rFonts w:ascii="Arial" w:hAnsi="Arial" w:cs="Arial"/>
          <w:sz w:val="24"/>
          <w:szCs w:val="24"/>
        </w:rPr>
        <w:t xml:space="preserve">moderate and severe declines in TA (stats). </w:t>
      </w:r>
    </w:p>
    <w:p w14:paraId="589CDAEB" w14:textId="1BBCE60F" w:rsidR="00C12943" w:rsidRPr="00391A70" w:rsidRDefault="00CD645C" w:rsidP="00C1294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did not see a significant difference in growth between oysters with DI vs low TA, even though omega spanned </w:t>
      </w:r>
      <w:r w:rsidR="002939F4">
        <w:rPr>
          <w:rFonts w:ascii="Arial" w:hAnsi="Arial" w:cs="Arial"/>
          <w:sz w:val="24"/>
          <w:szCs w:val="24"/>
        </w:rPr>
        <w:t xml:space="preserve">below 1 to above 1. </w:t>
      </w:r>
    </w:p>
    <w:p w14:paraId="77CD2C21" w14:textId="1F1C3FD4" w:rsidR="00DD0768" w:rsidRDefault="007A072A" w:rsidP="00DD0768">
      <w:pPr>
        <w:rPr>
          <w:rFonts w:ascii="Arial" w:hAnsi="Arial" w:cs="Arial"/>
          <w:b/>
          <w:bCs/>
          <w:sz w:val="24"/>
          <w:szCs w:val="24"/>
        </w:rPr>
      </w:pPr>
      <w:r w:rsidRPr="008E6D9A">
        <w:rPr>
          <w:rFonts w:ascii="Arial" w:hAnsi="Arial" w:cs="Arial"/>
          <w:b/>
          <w:bCs/>
          <w:sz w:val="24"/>
          <w:szCs w:val="24"/>
        </w:rPr>
        <w:t xml:space="preserve">Incremental growth rate </w:t>
      </w:r>
      <w:r w:rsidR="00E963A2" w:rsidRPr="008E6D9A">
        <w:rPr>
          <w:rFonts w:ascii="Arial" w:hAnsi="Arial" w:cs="Arial"/>
          <w:b/>
          <w:bCs/>
          <w:sz w:val="24"/>
          <w:szCs w:val="24"/>
        </w:rPr>
        <w:t xml:space="preserve">was high following exposure (0-18 dps), </w:t>
      </w:r>
      <w:r w:rsidR="00AE0D52">
        <w:rPr>
          <w:rFonts w:ascii="Arial" w:hAnsi="Arial" w:cs="Arial"/>
          <w:b/>
          <w:bCs/>
          <w:sz w:val="24"/>
          <w:szCs w:val="24"/>
        </w:rPr>
        <w:t>then reduced</w:t>
      </w:r>
      <w:r w:rsidR="008E6D9A" w:rsidRPr="008E6D9A">
        <w:rPr>
          <w:rFonts w:ascii="Arial" w:hAnsi="Arial" w:cs="Arial"/>
          <w:b/>
          <w:bCs/>
          <w:sz w:val="24"/>
          <w:szCs w:val="24"/>
        </w:rPr>
        <w:t xml:space="preserve"> </w:t>
      </w:r>
      <w:r w:rsidR="00AE0D52">
        <w:rPr>
          <w:rFonts w:ascii="Arial" w:hAnsi="Arial" w:cs="Arial"/>
          <w:b/>
          <w:bCs/>
          <w:sz w:val="24"/>
          <w:szCs w:val="24"/>
        </w:rPr>
        <w:t>following</w:t>
      </w:r>
      <w:r w:rsidR="008E6D9A" w:rsidRPr="008E6D9A">
        <w:rPr>
          <w:rFonts w:ascii="Arial" w:hAnsi="Arial" w:cs="Arial"/>
          <w:b/>
          <w:bCs/>
          <w:sz w:val="24"/>
          <w:szCs w:val="24"/>
        </w:rPr>
        <w:t xml:space="preserve"> (18-36 dps)</w:t>
      </w:r>
    </w:p>
    <w:p w14:paraId="5C94A271" w14:textId="18F08559" w:rsidR="0031788F" w:rsidRDefault="0031788F" w:rsidP="00FA755C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saw similar patterns between S and TA when comparing overall ‘net’ growth rates, and growth rates occurring in the beginning half of the experiment. </w:t>
      </w:r>
    </w:p>
    <w:p w14:paraId="5E386093" w14:textId="709E3935" w:rsidR="0031788F" w:rsidRDefault="0031788F" w:rsidP="00FA755C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Patterns changed, albeit slightly, in the second half of the experiment</w:t>
      </w:r>
      <w:r w:rsidR="000104F4">
        <w:rPr>
          <w:rFonts w:ascii="Arial" w:hAnsi="Arial" w:cs="Arial"/>
          <w:sz w:val="24"/>
          <w:szCs w:val="24"/>
        </w:rPr>
        <w:t xml:space="preserve"> (where the TA effect showed up in amb s and strengthened in low S)</w:t>
      </w:r>
      <w:r w:rsidR="00F95F45">
        <w:rPr>
          <w:rFonts w:ascii="Arial" w:hAnsi="Arial" w:cs="Arial"/>
          <w:sz w:val="24"/>
          <w:szCs w:val="24"/>
        </w:rPr>
        <w:t xml:space="preserve">. </w:t>
      </w:r>
    </w:p>
    <w:p w14:paraId="3024C738" w14:textId="2EAC423E" w:rsidR="00F95F45" w:rsidRDefault="00F95F45" w:rsidP="00FA755C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Regardless, the overall growth was primarily driven by growth occurring in the first two and a half weeks. </w:t>
      </w:r>
    </w:p>
    <w:p w14:paraId="698F6A49" w14:textId="1867B457" w:rsidR="00FA755C" w:rsidRPr="00DA23FC" w:rsidRDefault="00DA23FC" w:rsidP="00DA23FC">
      <w:pPr>
        <w:pStyle w:val="ListParagraph"/>
        <w:numPr>
          <w:ilvl w:val="0"/>
          <w:numId w:val="5"/>
        </w:numPr>
      </w:pPr>
      <w:r w:rsidRPr="00FA755C">
        <w:rPr>
          <w:rFonts w:ascii="Arial" w:hAnsi="Arial" w:cs="Arial"/>
          <w:sz w:val="24"/>
          <w:szCs w:val="24"/>
        </w:rPr>
        <w:t>We saw different patterns between TA and shell growth in the two growth phases; with the effect of TA not showing up until later, and even so, being minimal</w:t>
      </w:r>
    </w:p>
    <w:p w14:paraId="39C39A8E" w14:textId="77777777" w:rsidR="00FA755C" w:rsidRPr="00FA755C" w:rsidRDefault="00385D64" w:rsidP="008E6D9A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A755C">
        <w:rPr>
          <w:rFonts w:ascii="Arial" w:hAnsi="Arial" w:cs="Arial"/>
          <w:sz w:val="24"/>
          <w:szCs w:val="24"/>
        </w:rPr>
        <w:t xml:space="preserve">We saw </w:t>
      </w:r>
      <w:r w:rsidR="003247BF" w:rsidRPr="00FA755C">
        <w:rPr>
          <w:rFonts w:ascii="Arial" w:hAnsi="Arial" w:cs="Arial"/>
          <w:sz w:val="24"/>
          <w:szCs w:val="24"/>
        </w:rPr>
        <w:t xml:space="preserve">benefits of high TA on incremental growth in </w:t>
      </w:r>
      <w:r w:rsidR="00BB154A" w:rsidRPr="00FA755C">
        <w:rPr>
          <w:rFonts w:ascii="Arial" w:hAnsi="Arial" w:cs="Arial"/>
          <w:sz w:val="24"/>
          <w:szCs w:val="24"/>
        </w:rPr>
        <w:t>low salinity conditions within the first two weeks</w:t>
      </w:r>
      <w:r w:rsidR="00C4782D" w:rsidRPr="00FA755C">
        <w:rPr>
          <w:rFonts w:ascii="Arial" w:hAnsi="Arial" w:cs="Arial"/>
          <w:sz w:val="24"/>
          <w:szCs w:val="24"/>
        </w:rPr>
        <w:t>, suggesting that oysters were able to optimize on their preferred condition quickly (effect was apparent by two weeks)</w:t>
      </w:r>
    </w:p>
    <w:p w14:paraId="0088E02D" w14:textId="7E3DC2CC" w:rsidR="00391A70" w:rsidRPr="0066218E" w:rsidRDefault="009B198D" w:rsidP="00391A70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A755C">
        <w:rPr>
          <w:rFonts w:ascii="Arial" w:hAnsi="Arial" w:cs="Arial"/>
          <w:sz w:val="24"/>
          <w:szCs w:val="24"/>
        </w:rPr>
        <w:lastRenderedPageBreak/>
        <w:t>We saw a similar pattern between S and TA growth in both stages, with TA having a stronger effect</w:t>
      </w:r>
      <w:r w:rsidR="00FF1430" w:rsidRPr="00FA755C">
        <w:rPr>
          <w:rFonts w:ascii="Arial" w:hAnsi="Arial" w:cs="Arial"/>
          <w:sz w:val="24"/>
          <w:szCs w:val="24"/>
        </w:rPr>
        <w:t xml:space="preserve"> in the later time period.</w:t>
      </w:r>
    </w:p>
    <w:p w14:paraId="4A49B8E2" w14:textId="0DCE70D5" w:rsidR="007365DF" w:rsidRDefault="007365DF" w:rsidP="007365DF">
      <w:pPr>
        <w:rPr>
          <w:rFonts w:ascii="Arial" w:hAnsi="Arial" w:cs="Arial"/>
          <w:b/>
          <w:bCs/>
          <w:sz w:val="24"/>
          <w:szCs w:val="24"/>
        </w:rPr>
      </w:pPr>
      <w:r w:rsidRPr="007365DF">
        <w:rPr>
          <w:rFonts w:ascii="Arial" w:hAnsi="Arial" w:cs="Arial"/>
          <w:b/>
          <w:bCs/>
          <w:sz w:val="24"/>
          <w:szCs w:val="24"/>
        </w:rPr>
        <w:t>Differences in condition index are driven by changes in shell growth and not by differences in soft tissue mass—</w:t>
      </w:r>
    </w:p>
    <w:p w14:paraId="5E24D86E" w14:textId="77777777" w:rsidR="002718F3" w:rsidRPr="005949D6" w:rsidRDefault="002718F3" w:rsidP="002718F3">
      <w:pPr>
        <w:pStyle w:val="ListParagraph"/>
        <w:numPr>
          <w:ilvl w:val="0"/>
          <w:numId w:val="5"/>
        </w:numPr>
      </w:pPr>
      <w:r w:rsidRPr="00FA755C">
        <w:rPr>
          <w:rFonts w:ascii="Arial" w:hAnsi="Arial" w:cs="Arial"/>
          <w:sz w:val="24"/>
          <w:szCs w:val="24"/>
        </w:rPr>
        <w:t xml:space="preserve">Grew more with more food relative to oysters in flow through system. </w:t>
      </w:r>
    </w:p>
    <w:p w14:paraId="15B76492" w14:textId="77777777" w:rsidR="002718F3" w:rsidRPr="00323A4E" w:rsidRDefault="002718F3" w:rsidP="002718F3">
      <w:pPr>
        <w:pStyle w:val="ListParagraph"/>
        <w:numPr>
          <w:ilvl w:val="0"/>
          <w:numId w:val="5"/>
        </w:numPr>
      </w:pPr>
      <w:r w:rsidRPr="005431F2">
        <w:rPr>
          <w:rFonts w:ascii="Arial" w:hAnsi="Arial" w:cs="Arial"/>
          <w:sz w:val="24"/>
          <w:szCs w:val="24"/>
        </w:rPr>
        <w:t>(suggests operating at a biological maximum/limited by something other than carbonate stress overall)</w:t>
      </w:r>
    </w:p>
    <w:p w14:paraId="2A69A265" w14:textId="77777777" w:rsidR="004C46F9" w:rsidRPr="004C46F9" w:rsidRDefault="00DE72F2" w:rsidP="006C289B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rFonts w:ascii="Arial" w:hAnsi="Arial" w:cs="Arial"/>
          <w:sz w:val="24"/>
          <w:szCs w:val="24"/>
        </w:rPr>
        <w:t>No effect of TA or S</w:t>
      </w:r>
      <w:r w:rsidR="009E28F0">
        <w:rPr>
          <w:rFonts w:ascii="Arial" w:hAnsi="Arial" w:cs="Arial"/>
          <w:sz w:val="24"/>
          <w:szCs w:val="24"/>
        </w:rPr>
        <w:t xml:space="preserve"> (or pH/Omega)</w:t>
      </w:r>
      <w:r>
        <w:rPr>
          <w:rFonts w:ascii="Arial" w:hAnsi="Arial" w:cs="Arial"/>
          <w:sz w:val="24"/>
          <w:szCs w:val="24"/>
        </w:rPr>
        <w:t xml:space="preserve"> on soft tissue mass overall;</w:t>
      </w:r>
    </w:p>
    <w:p w14:paraId="25A3BF10" w14:textId="54B97A62" w:rsidR="006C289B" w:rsidRPr="004C46F9" w:rsidRDefault="004C46F9" w:rsidP="006C289B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sz w:val="24"/>
          <w:szCs w:val="24"/>
        </w:rPr>
        <w:t>H</w:t>
      </w:r>
      <w:r w:rsidR="00DE72F2">
        <w:rPr>
          <w:rFonts w:ascii="Arial" w:hAnsi="Arial" w:cs="Arial"/>
          <w:sz w:val="24"/>
          <w:szCs w:val="24"/>
        </w:rPr>
        <w:t>owever, o</w:t>
      </w:r>
      <w:r>
        <w:rPr>
          <w:rFonts w:ascii="Arial" w:hAnsi="Arial" w:cs="Arial"/>
          <w:sz w:val="24"/>
          <w:szCs w:val="24"/>
        </w:rPr>
        <w:t>y</w:t>
      </w:r>
      <w:r w:rsidR="00DE72F2">
        <w:rPr>
          <w:rFonts w:ascii="Arial" w:hAnsi="Arial" w:cs="Arial"/>
          <w:sz w:val="24"/>
          <w:szCs w:val="24"/>
        </w:rPr>
        <w:t xml:space="preserve">sters were fed enough that they increased CI relative to those fed </w:t>
      </w:r>
      <w:r w:rsidR="00DE72F2" w:rsidRPr="004C46F9">
        <w:rPr>
          <w:rFonts w:ascii="Arial" w:hAnsi="Arial" w:cs="Arial"/>
          <w:sz w:val="24"/>
          <w:szCs w:val="24"/>
        </w:rPr>
        <w:t xml:space="preserve">less often and grown in the ambient flowthrough seawater. </w:t>
      </w:r>
    </w:p>
    <w:p w14:paraId="35396822" w14:textId="7A3346E4" w:rsidR="00D12491" w:rsidRDefault="00B70F12" w:rsidP="00D12491">
      <w:pPr>
        <w:pStyle w:val="ListParagraph"/>
        <w:numPr>
          <w:ilvl w:val="0"/>
          <w:numId w:val="5"/>
        </w:numPr>
      </w:pPr>
      <w:r w:rsidRPr="004C46F9">
        <w:t xml:space="preserve">This indicates we had animals that could increase energy storage (were not in physiological stress) and that </w:t>
      </w:r>
      <w:r w:rsidR="00571486" w:rsidRPr="004C46F9">
        <w:t xml:space="preserve">quick </w:t>
      </w:r>
      <w:r w:rsidR="00D907D9" w:rsidRPr="004C46F9">
        <w:t>changes</w:t>
      </w:r>
      <w:r w:rsidRPr="004C46F9">
        <w:t xml:space="preserve"> to their environments didn’t have a significant negative impact to their energy stores.</w:t>
      </w:r>
    </w:p>
    <w:p w14:paraId="3ECE0550" w14:textId="147DE52D" w:rsidR="000D20B4" w:rsidRDefault="00551B76" w:rsidP="000D20B4">
      <w:pPr>
        <w:pStyle w:val="ListParagraph"/>
        <w:numPr>
          <w:ilvl w:val="0"/>
          <w:numId w:val="5"/>
        </w:numPr>
      </w:pPr>
      <w:r>
        <w:t xml:space="preserve">Increased CI is due to change in shell growth and not tissue wt. </w:t>
      </w:r>
    </w:p>
    <w:p w14:paraId="449A69EC" w14:textId="77777777" w:rsidR="000D20B4" w:rsidRDefault="000D20B4" w:rsidP="000D20B4"/>
    <w:sectPr w:rsidR="000D2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0665B"/>
    <w:multiLevelType w:val="hybridMultilevel"/>
    <w:tmpl w:val="B9BA9DB6"/>
    <w:lvl w:ilvl="0" w:tplc="BC6E659E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A741C"/>
    <w:multiLevelType w:val="hybridMultilevel"/>
    <w:tmpl w:val="475861BC"/>
    <w:lvl w:ilvl="0" w:tplc="7C648380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17A21"/>
    <w:multiLevelType w:val="hybridMultilevel"/>
    <w:tmpl w:val="2DC8BCB2"/>
    <w:lvl w:ilvl="0" w:tplc="BA224A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C41B9"/>
    <w:multiLevelType w:val="hybridMultilevel"/>
    <w:tmpl w:val="D7E04730"/>
    <w:lvl w:ilvl="0" w:tplc="E28CC9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71A0C"/>
    <w:multiLevelType w:val="hybridMultilevel"/>
    <w:tmpl w:val="92705EA4"/>
    <w:lvl w:ilvl="0" w:tplc="92B228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CF6AA0"/>
    <w:multiLevelType w:val="hybridMultilevel"/>
    <w:tmpl w:val="BE4CDBAE"/>
    <w:lvl w:ilvl="0" w:tplc="6D7EFD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A15D1A"/>
    <w:multiLevelType w:val="hybridMultilevel"/>
    <w:tmpl w:val="0B8C3FA8"/>
    <w:lvl w:ilvl="0" w:tplc="3B3E2A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2992914">
    <w:abstractNumId w:val="3"/>
  </w:num>
  <w:num w:numId="2" w16cid:durableId="1479032162">
    <w:abstractNumId w:val="6"/>
  </w:num>
  <w:num w:numId="3" w16cid:durableId="2009602110">
    <w:abstractNumId w:val="5"/>
  </w:num>
  <w:num w:numId="4" w16cid:durableId="2131049802">
    <w:abstractNumId w:val="2"/>
  </w:num>
  <w:num w:numId="5" w16cid:durableId="760758154">
    <w:abstractNumId w:val="0"/>
  </w:num>
  <w:num w:numId="6" w16cid:durableId="1082870496">
    <w:abstractNumId w:val="1"/>
  </w:num>
  <w:num w:numId="7" w16cid:durableId="13022247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60E"/>
    <w:rsid w:val="000017A9"/>
    <w:rsid w:val="000104F4"/>
    <w:rsid w:val="00027330"/>
    <w:rsid w:val="00046806"/>
    <w:rsid w:val="000535DE"/>
    <w:rsid w:val="00093173"/>
    <w:rsid w:val="000A6007"/>
    <w:rsid w:val="000C2340"/>
    <w:rsid w:val="000C7868"/>
    <w:rsid w:val="000D20B4"/>
    <w:rsid w:val="000E5E6C"/>
    <w:rsid w:val="00107A37"/>
    <w:rsid w:val="00110B11"/>
    <w:rsid w:val="001219BA"/>
    <w:rsid w:val="00127F64"/>
    <w:rsid w:val="00140656"/>
    <w:rsid w:val="00160CC4"/>
    <w:rsid w:val="00182872"/>
    <w:rsid w:val="00182CCA"/>
    <w:rsid w:val="00183188"/>
    <w:rsid w:val="001A6D28"/>
    <w:rsid w:val="001B18A8"/>
    <w:rsid w:val="001F2B51"/>
    <w:rsid w:val="00206C62"/>
    <w:rsid w:val="00216EE2"/>
    <w:rsid w:val="00234FCF"/>
    <w:rsid w:val="00246A52"/>
    <w:rsid w:val="00252135"/>
    <w:rsid w:val="0025317E"/>
    <w:rsid w:val="0025706D"/>
    <w:rsid w:val="00271634"/>
    <w:rsid w:val="002718F3"/>
    <w:rsid w:val="00282A06"/>
    <w:rsid w:val="00283D1E"/>
    <w:rsid w:val="002855E3"/>
    <w:rsid w:val="0028632B"/>
    <w:rsid w:val="002939F4"/>
    <w:rsid w:val="002940C3"/>
    <w:rsid w:val="00297FB9"/>
    <w:rsid w:val="002A7D0B"/>
    <w:rsid w:val="002D4D6B"/>
    <w:rsid w:val="002E4D4C"/>
    <w:rsid w:val="002F26F9"/>
    <w:rsid w:val="002F4F3A"/>
    <w:rsid w:val="0031788F"/>
    <w:rsid w:val="003230F6"/>
    <w:rsid w:val="00323A4E"/>
    <w:rsid w:val="003247BF"/>
    <w:rsid w:val="0033038E"/>
    <w:rsid w:val="00351063"/>
    <w:rsid w:val="00360666"/>
    <w:rsid w:val="003858F7"/>
    <w:rsid w:val="00385D64"/>
    <w:rsid w:val="00391A70"/>
    <w:rsid w:val="00397E01"/>
    <w:rsid w:val="003A3356"/>
    <w:rsid w:val="003A60EC"/>
    <w:rsid w:val="004032E8"/>
    <w:rsid w:val="00415683"/>
    <w:rsid w:val="004320DB"/>
    <w:rsid w:val="004711B6"/>
    <w:rsid w:val="00473B0E"/>
    <w:rsid w:val="00474392"/>
    <w:rsid w:val="00480B82"/>
    <w:rsid w:val="00485833"/>
    <w:rsid w:val="004C0808"/>
    <w:rsid w:val="004C1639"/>
    <w:rsid w:val="004C46F9"/>
    <w:rsid w:val="004C660E"/>
    <w:rsid w:val="004D7936"/>
    <w:rsid w:val="004E4E45"/>
    <w:rsid w:val="005026B6"/>
    <w:rsid w:val="00514197"/>
    <w:rsid w:val="0052661C"/>
    <w:rsid w:val="005340B0"/>
    <w:rsid w:val="00542965"/>
    <w:rsid w:val="005431F2"/>
    <w:rsid w:val="00547542"/>
    <w:rsid w:val="00551B76"/>
    <w:rsid w:val="005557FC"/>
    <w:rsid w:val="00571486"/>
    <w:rsid w:val="00580FF5"/>
    <w:rsid w:val="00592168"/>
    <w:rsid w:val="005949D6"/>
    <w:rsid w:val="005A6723"/>
    <w:rsid w:val="005A75C0"/>
    <w:rsid w:val="005B1299"/>
    <w:rsid w:val="005D7E62"/>
    <w:rsid w:val="005E1978"/>
    <w:rsid w:val="005E413B"/>
    <w:rsid w:val="005E79E3"/>
    <w:rsid w:val="006150AD"/>
    <w:rsid w:val="006264AE"/>
    <w:rsid w:val="006370BE"/>
    <w:rsid w:val="00643AEE"/>
    <w:rsid w:val="006447CE"/>
    <w:rsid w:val="0066218E"/>
    <w:rsid w:val="0067173A"/>
    <w:rsid w:val="00672A4E"/>
    <w:rsid w:val="006735F6"/>
    <w:rsid w:val="006808A9"/>
    <w:rsid w:val="006A4247"/>
    <w:rsid w:val="006A5891"/>
    <w:rsid w:val="006B0F54"/>
    <w:rsid w:val="006C119B"/>
    <w:rsid w:val="006C289B"/>
    <w:rsid w:val="006C7983"/>
    <w:rsid w:val="006D2F10"/>
    <w:rsid w:val="006D36C5"/>
    <w:rsid w:val="007050A0"/>
    <w:rsid w:val="007140AF"/>
    <w:rsid w:val="007365DF"/>
    <w:rsid w:val="0075007F"/>
    <w:rsid w:val="007541CE"/>
    <w:rsid w:val="00754D98"/>
    <w:rsid w:val="00761B24"/>
    <w:rsid w:val="00777F4C"/>
    <w:rsid w:val="00790910"/>
    <w:rsid w:val="007A072A"/>
    <w:rsid w:val="007B1ED3"/>
    <w:rsid w:val="007C4234"/>
    <w:rsid w:val="007E76D6"/>
    <w:rsid w:val="007E79F5"/>
    <w:rsid w:val="0080689E"/>
    <w:rsid w:val="00833DDC"/>
    <w:rsid w:val="008544D2"/>
    <w:rsid w:val="008728CB"/>
    <w:rsid w:val="00880326"/>
    <w:rsid w:val="008822E2"/>
    <w:rsid w:val="008823E9"/>
    <w:rsid w:val="008841E8"/>
    <w:rsid w:val="008A165B"/>
    <w:rsid w:val="008A4D80"/>
    <w:rsid w:val="008C1A49"/>
    <w:rsid w:val="008C6DC5"/>
    <w:rsid w:val="008E3855"/>
    <w:rsid w:val="008E3DC0"/>
    <w:rsid w:val="008E6D9A"/>
    <w:rsid w:val="00912C83"/>
    <w:rsid w:val="00914E3F"/>
    <w:rsid w:val="00917BC1"/>
    <w:rsid w:val="00920E17"/>
    <w:rsid w:val="00924888"/>
    <w:rsid w:val="00942939"/>
    <w:rsid w:val="009434B3"/>
    <w:rsid w:val="00947D4A"/>
    <w:rsid w:val="009831ED"/>
    <w:rsid w:val="00993DB1"/>
    <w:rsid w:val="009A36D6"/>
    <w:rsid w:val="009B198D"/>
    <w:rsid w:val="009B32E9"/>
    <w:rsid w:val="009C4F77"/>
    <w:rsid w:val="009E28F0"/>
    <w:rsid w:val="00A017E9"/>
    <w:rsid w:val="00A17E87"/>
    <w:rsid w:val="00A516A3"/>
    <w:rsid w:val="00A572B5"/>
    <w:rsid w:val="00A6690B"/>
    <w:rsid w:val="00A67327"/>
    <w:rsid w:val="00A75B75"/>
    <w:rsid w:val="00A875BD"/>
    <w:rsid w:val="00AA598F"/>
    <w:rsid w:val="00AE0D52"/>
    <w:rsid w:val="00AE4A5E"/>
    <w:rsid w:val="00AF03E0"/>
    <w:rsid w:val="00B00A80"/>
    <w:rsid w:val="00B41035"/>
    <w:rsid w:val="00B609E9"/>
    <w:rsid w:val="00B66708"/>
    <w:rsid w:val="00B70F12"/>
    <w:rsid w:val="00B7357D"/>
    <w:rsid w:val="00B777A6"/>
    <w:rsid w:val="00B9104E"/>
    <w:rsid w:val="00BA0360"/>
    <w:rsid w:val="00BA57B2"/>
    <w:rsid w:val="00BB154A"/>
    <w:rsid w:val="00BC06DE"/>
    <w:rsid w:val="00BC3E6C"/>
    <w:rsid w:val="00BC4674"/>
    <w:rsid w:val="00BD25BD"/>
    <w:rsid w:val="00BE7722"/>
    <w:rsid w:val="00BF1D90"/>
    <w:rsid w:val="00BF4B61"/>
    <w:rsid w:val="00C1270F"/>
    <w:rsid w:val="00C12943"/>
    <w:rsid w:val="00C13F38"/>
    <w:rsid w:val="00C210AA"/>
    <w:rsid w:val="00C3311E"/>
    <w:rsid w:val="00C40562"/>
    <w:rsid w:val="00C41BEF"/>
    <w:rsid w:val="00C476CD"/>
    <w:rsid w:val="00C4782D"/>
    <w:rsid w:val="00C635F7"/>
    <w:rsid w:val="00C63749"/>
    <w:rsid w:val="00C80C0B"/>
    <w:rsid w:val="00C82663"/>
    <w:rsid w:val="00C85E11"/>
    <w:rsid w:val="00C879B5"/>
    <w:rsid w:val="00CA6FCB"/>
    <w:rsid w:val="00CB50C5"/>
    <w:rsid w:val="00CB53E6"/>
    <w:rsid w:val="00CC2E94"/>
    <w:rsid w:val="00CD645C"/>
    <w:rsid w:val="00CE1B29"/>
    <w:rsid w:val="00CF354E"/>
    <w:rsid w:val="00D04B8F"/>
    <w:rsid w:val="00D12491"/>
    <w:rsid w:val="00D21E8C"/>
    <w:rsid w:val="00D619BD"/>
    <w:rsid w:val="00D907D9"/>
    <w:rsid w:val="00D90A79"/>
    <w:rsid w:val="00DA23FC"/>
    <w:rsid w:val="00DA64A5"/>
    <w:rsid w:val="00DA69AF"/>
    <w:rsid w:val="00DB4D67"/>
    <w:rsid w:val="00DB75FF"/>
    <w:rsid w:val="00DC0A1F"/>
    <w:rsid w:val="00DC1221"/>
    <w:rsid w:val="00DD0768"/>
    <w:rsid w:val="00DD4CEC"/>
    <w:rsid w:val="00DE72F2"/>
    <w:rsid w:val="00E153C0"/>
    <w:rsid w:val="00E34F75"/>
    <w:rsid w:val="00E3525B"/>
    <w:rsid w:val="00E4580C"/>
    <w:rsid w:val="00E7448C"/>
    <w:rsid w:val="00E963A2"/>
    <w:rsid w:val="00E97D22"/>
    <w:rsid w:val="00EE02B8"/>
    <w:rsid w:val="00EE06F5"/>
    <w:rsid w:val="00EE72A6"/>
    <w:rsid w:val="00EF49F7"/>
    <w:rsid w:val="00F14057"/>
    <w:rsid w:val="00F604E1"/>
    <w:rsid w:val="00F673EB"/>
    <w:rsid w:val="00F7251A"/>
    <w:rsid w:val="00F76212"/>
    <w:rsid w:val="00F935FC"/>
    <w:rsid w:val="00F95F45"/>
    <w:rsid w:val="00FA1A1A"/>
    <w:rsid w:val="00FA6C59"/>
    <w:rsid w:val="00FA755C"/>
    <w:rsid w:val="00FB6489"/>
    <w:rsid w:val="00FC70EB"/>
    <w:rsid w:val="00FD3A09"/>
    <w:rsid w:val="00FE5852"/>
    <w:rsid w:val="00FF1430"/>
    <w:rsid w:val="00FF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DFF51"/>
  <w15:chartTrackingRefBased/>
  <w15:docId w15:val="{7333478F-24BC-4DD3-9E26-3DE08F893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C23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2340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234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A6690B"/>
    <w:pPr>
      <w:ind w:left="720"/>
      <w:contextualSpacing/>
    </w:pPr>
  </w:style>
  <w:style w:type="paragraph" w:styleId="NoSpacing">
    <w:name w:val="No Spacing"/>
    <w:uiPriority w:val="1"/>
    <w:qFormat/>
    <w:rsid w:val="00B70F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483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 saley</dc:creator>
  <cp:keywords/>
  <dc:description/>
  <cp:lastModifiedBy>alisha saley</cp:lastModifiedBy>
  <cp:revision>250</cp:revision>
  <dcterms:created xsi:type="dcterms:W3CDTF">2023-09-18T23:42:00Z</dcterms:created>
  <dcterms:modified xsi:type="dcterms:W3CDTF">2023-10-07T16:09:00Z</dcterms:modified>
</cp:coreProperties>
</file>