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754AC" w:rsidRDefault="001D34F6">
      <w:pPr>
        <w:pStyle w:val="Title"/>
      </w:pPr>
      <w:r>
        <w:t>Automated detections reveal the social information in the changing infant view</w:t>
      </w:r>
    </w:p>
    <w:p w:rsidR="00A754AC" w:rsidRDefault="001D34F6">
      <w:pPr>
        <w:pStyle w:val="FirstParagraph"/>
      </w:pPr>
      <w:r>
        <w:t>Bria L. Long</w:t>
      </w:r>
      <w:r>
        <w:rPr>
          <w:vertAlign w:val="superscript"/>
        </w:rPr>
        <w:t>1</w:t>
      </w:r>
      <w:r>
        <w:t>, Alessandro Sanchez</w:t>
      </w:r>
      <w:r>
        <w:rPr>
          <w:vertAlign w:val="superscript"/>
        </w:rPr>
        <w:t>1</w:t>
      </w:r>
      <w:r>
        <w:t>, Allison M. Kraus</w:t>
      </w:r>
      <w:r>
        <w:rPr>
          <w:vertAlign w:val="superscript"/>
        </w:rPr>
        <w:t>1</w:t>
      </w:r>
      <w:r>
        <w:t>, Ketan Agrawal</w:t>
      </w:r>
      <w:r>
        <w:rPr>
          <w:vertAlign w:val="superscript"/>
        </w:rPr>
        <w:t>1</w:t>
      </w:r>
      <w:r>
        <w:t>, &amp; Michael C. Frank</w:t>
      </w:r>
      <w:r>
        <w:rPr>
          <w:vertAlign w:val="superscript"/>
        </w:rPr>
        <w:t>1</w:t>
      </w:r>
    </w:p>
    <w:p w:rsidR="00A754AC" w:rsidRDefault="001D34F6">
      <w:pPr>
        <w:pStyle w:val="BodyText"/>
      </w:pPr>
      <w:r>
        <w:rPr>
          <w:vertAlign w:val="superscript"/>
        </w:rPr>
        <w:t>1</w:t>
      </w:r>
      <w:r>
        <w:t xml:space="preserve"> </w:t>
      </w:r>
      <w:r>
        <w:t>Department of Psychology, Stanford University</w:t>
      </w:r>
    </w:p>
    <w:p w:rsidR="00A754AC" w:rsidRDefault="001D34F6">
      <w:pPr>
        <w:pStyle w:val="Compact"/>
      </w:pPr>
      <w:r>
        <w:t>                                                                                                                                                    </w:t>
      </w:r>
    </w:p>
    <w:p w:rsidR="00A754AC" w:rsidRDefault="001D34F6">
      <w:pPr>
        <w:pStyle w:val="BodyText"/>
      </w:pPr>
      <w:r>
        <w:t> </w:t>
      </w:r>
    </w:p>
    <w:p w:rsidR="00A754AC" w:rsidRDefault="001D34F6">
      <w:pPr>
        <w:pStyle w:val="BodyText"/>
      </w:pPr>
      <w:r>
        <w:t> </w:t>
      </w:r>
    </w:p>
    <w:p w:rsidR="00A754AC" w:rsidRDefault="001D34F6">
      <w:pPr>
        <w:pStyle w:val="BodyText"/>
      </w:pPr>
      <w:r>
        <w:t> </w:t>
      </w:r>
    </w:p>
    <w:p w:rsidR="00A754AC" w:rsidRDefault="001D34F6">
      <w:pPr>
        <w:pStyle w:val="BodyText"/>
      </w:pPr>
      <w:r>
        <w:t> </w:t>
      </w:r>
    </w:p>
    <w:p w:rsidR="00A754AC" w:rsidRDefault="001D34F6">
      <w:pPr>
        <w:pStyle w:val="BodyText"/>
      </w:pPr>
      <w:r>
        <w:t> </w:t>
      </w:r>
    </w:p>
    <w:p w:rsidR="00A754AC" w:rsidRDefault="001D34F6">
      <w:pPr>
        <w:pStyle w:val="BodyText"/>
      </w:pPr>
      <w:r>
        <w:t> </w:t>
      </w:r>
    </w:p>
    <w:p w:rsidR="00A754AC" w:rsidRDefault="001D34F6">
      <w:pPr>
        <w:pStyle w:val="BodyText"/>
      </w:pPr>
      <w:r>
        <w:t>Author note</w:t>
      </w:r>
    </w:p>
    <w:p w:rsidR="00A754AC" w:rsidRDefault="001D34F6">
      <w:pPr>
        <w:pStyle w:val="BodyText"/>
      </w:pPr>
      <w:r>
        <w:t>Correspondence concerning this articl</w:t>
      </w:r>
      <w:r>
        <w:t xml:space="preserve">e should be addressed to Bria L. Long, 450 Serra Mall, Stanford CA 94305. E-mail: </w:t>
      </w:r>
      <w:hyperlink r:id="rId7">
        <w:r>
          <w:rPr>
            <w:rStyle w:val="Hyperlink"/>
          </w:rPr>
          <w:t>bria@stanford.edu</w:t>
        </w:r>
      </w:hyperlink>
    </w:p>
    <w:p w:rsidR="00A754AC" w:rsidRDefault="001D34F6">
      <w:pPr>
        <w:pStyle w:val="Compact"/>
      </w:pPr>
      <w:r>
        <w:t>Abstract</w:t>
      </w:r>
    </w:p>
    <w:p w:rsidR="00A754AC" w:rsidRDefault="001D34F6">
      <w:pPr>
        <w:pStyle w:val="BodyText"/>
      </w:pPr>
      <w:r>
        <w:lastRenderedPageBreak/>
        <w:t xml:space="preserve">•We provided a open, annotated dataset of naturalistic parent-child interactions during a play session </w:t>
      </w:r>
      <w:r>
        <w:t>with with novel and familiar toys, recording the egocentric and third-person views.</w:t>
      </w:r>
    </w:p>
    <w:p w:rsidR="00A754AC" w:rsidRDefault="001D34F6">
      <w:pPr>
        <w:pStyle w:val="BodyText"/>
      </w:pPr>
      <w:r>
        <w:t>•We develop a novel method using a pose detection model to automatically quantify the faces and hands in the infant view.</w:t>
      </w:r>
    </w:p>
    <w:p w:rsidR="00A754AC" w:rsidRDefault="001D34F6">
      <w:pPr>
        <w:pStyle w:val="BodyText"/>
      </w:pPr>
      <w:r>
        <w:t>•We apply our novel method to this and another ego</w:t>
      </w:r>
      <w:r>
        <w:t>ecentric video dataset, and confirm that locomotive developments around the first birthday shape the faces and hands that infants see in naturalistic interactions.</w:t>
      </w:r>
    </w:p>
    <w:p w:rsidR="00A754AC" w:rsidRDefault="001D34F6">
      <w:pPr>
        <w:pStyle w:val="BodyText"/>
      </w:pPr>
      <w:r>
        <w:t>•The combined use of head-mounted cameras and automated analyses has the potential to reveal</w:t>
      </w:r>
      <w:r>
        <w:t xml:space="preserve"> the changing statistics of the information in the infant view.</w:t>
      </w:r>
    </w:p>
    <w:p w:rsidR="00A754AC" w:rsidRDefault="001D34F6">
      <w:pPr>
        <w:pStyle w:val="BodyText"/>
      </w:pPr>
      <w:r>
        <w:t>Social information plays a key role in infants' early linguistic and cognitive development. Yet infants locomotor abilities also develop continuously as they learn to sit, crawl, stand, and wa</w:t>
      </w:r>
      <w:r>
        <w:t xml:space="preserve">lk. How do these postural developments affect infants access to the social information relevant for early learning? To address this question, we first created a rich annotated dataset of naturalistic play sessions between infants and their caregivers with </w:t>
      </w:r>
      <w:r>
        <w:t xml:space="preserve">sets of novel and familiar toys (N=36, 8-16 month-olds), recording both egocentric and third-person video. We then developed an automated analysis method using a pose detection model to detect the faces and hands in the infant view. We found that infants' </w:t>
      </w:r>
      <w:r>
        <w:t xml:space="preserve">posture and orientation to their caregiver changed dramatically across this age range and modulated infants access to social information; infants who were sitting or standing with their caregiver at a close distance tended to have the most faces and hands </w:t>
      </w:r>
      <w:r>
        <w:t>in their visual field. We applied this automated method to a second egocentric video dataset from a previous study, replicating and extending their findings on the influence of infants’ posture on the social information in view. Together, these results est</w:t>
      </w:r>
      <w:r>
        <w:t xml:space="preserve">ablish the validity of a new </w:t>
      </w:r>
      <w:r>
        <w:lastRenderedPageBreak/>
        <w:t xml:space="preserve">method for detecting social information in egocentric videos and confirm that motoric developments play a significant role in shaping the social information that infants have access to. The combined use of head-mounted cameras </w:t>
      </w:r>
      <w:r>
        <w:t>and new computer vision techniques is a promising avenue for understanding how the statistics of infants' visual and linguistic experience change over development.</w:t>
      </w:r>
    </w:p>
    <w:p w:rsidR="00A754AC" w:rsidRDefault="001D34F6">
      <w:pPr>
        <w:pStyle w:val="BodyText"/>
      </w:pPr>
      <w:r>
        <w:rPr>
          <w:i/>
        </w:rPr>
        <w:t>Keywords:</w:t>
      </w:r>
      <w:r>
        <w:t xml:space="preserve"> Postural developments, headcam, social information, face detection, pose detection</w:t>
      </w:r>
    </w:p>
    <w:p w:rsidR="00A754AC" w:rsidRDefault="001D34F6">
      <w:pPr>
        <w:pStyle w:val="BodyText"/>
      </w:pPr>
      <w:r>
        <w:rPr>
          <w:i/>
        </w:rPr>
        <w:t>Word count:</w:t>
      </w:r>
      <w:r>
        <w:t xml:space="preserve"> 7324</w:t>
      </w:r>
    </w:p>
    <w:p w:rsidR="00A754AC" w:rsidRDefault="001D34F6">
      <w:pPr>
        <w:pStyle w:val="Compact"/>
      </w:pPr>
      <w:r>
        <w:t>Automated detections reveal the social information in the changing infant view</w:t>
      </w:r>
    </w:p>
    <w:p w:rsidR="00A754AC" w:rsidRDefault="001D34F6">
      <w:pPr>
        <w:pStyle w:val="BodyText"/>
      </w:pPr>
      <w:r>
        <w:t>From their earliest months, infants are deeply engaged in learning from others. Even newborns tend to prefer to look at faces with direct vs. averted gaze (Far</w:t>
      </w:r>
      <w:r>
        <w:t>roni, Csibra, Simion, &amp; Johnson, 2002) and young infants follow overt gaze shifts (Bruner, 1975; Gredeback, Fikke, &amp; Melinder, 2010). And as infants reach their first birthday, they also tend to follow (Yu &amp; Smith, 2013, 2017) and imitate the gestures of t</w:t>
      </w:r>
      <w:r>
        <w:t xml:space="preserve">heir caregivers (e.g., pointing). Infants ability to process these social cues may provide strong scaffolding for early word learning. Longitudinal studies provide some evidence for this link: children’s level of joint engagement with their mother at 9-12 </w:t>
      </w:r>
      <w:r>
        <w:t>months predicts both their receptive and productive vocabularies (Carpenter, Nagell, &amp; Tomasello, 1998) and 10 month-olds who follow an adult’s gaze (in an experimental context) have larger vocabularies at 18 months and throughout the second year of life (</w:t>
      </w:r>
      <w:r>
        <w:t xml:space="preserve">Brooks &amp; Meltzoff, 2005, 2008). While the relationship between hand-following and language development has been less well characterized, infants who follow their caregivers’ hands tend to be those who spend more time jointly attending to events with their </w:t>
      </w:r>
      <w:r>
        <w:t>caregivers (Yu &amp; Smith, 2017).</w:t>
      </w:r>
    </w:p>
    <w:p w:rsidR="00A754AC" w:rsidRDefault="001D34F6">
      <w:pPr>
        <w:pStyle w:val="BodyText"/>
      </w:pPr>
      <w:r>
        <w:lastRenderedPageBreak/>
        <w:t xml:space="preserve">Relatively little work, however, has quantified how often infants see and use these kinds of social cues in naturalistic learning environments. By using head-mounted cameras to record what infants see, researchers have begun </w:t>
      </w:r>
      <w:r>
        <w:t>to document the infant egocentric perspective (Yoshida &amp; Smith, 2008) and to quantify the information – social and otherwise – available to infants as they learn. While head-mounted camera data do not provide explicit information on where infants are atten</w:t>
      </w:r>
      <w:r>
        <w:t xml:space="preserve">ding, some work suggests that infants orient their head towards what they are focusing on – putting those people or objects in view (Yoshida &amp; Smith, 2008). Initial recordings using this technique during in-lab play sessions revealed a different view than </w:t>
      </w:r>
      <w:r>
        <w:t>many imagined: instead of being dominated by faces, the infant perspective contained close up views of primarily toys and hands (Franchak, Kretch, Soska, &amp; Adolph, 2011; Yoshida &amp; Smith, 2008; Yu &amp; Smith, 2017). Subsequent research has revealed that the in</w:t>
      </w:r>
      <w:r>
        <w:t>fant view undergoes dramatic changes as infants grow. Recordings from home environments suggest that the viewpoints of very young infants – less than 4 months of age – do indeed contain persistent and frequent views of faces (Fausey, Jayaraman, &amp; Smith, 20</w:t>
      </w:r>
      <w:r>
        <w:t>16; Jayaraman, Fausey, &amp; Smith, 2017) but that the infant view tends to contain more and more hands as infants grow older.</w:t>
      </w:r>
    </w:p>
    <w:p w:rsidR="00A754AC" w:rsidRDefault="001D34F6">
      <w:pPr>
        <w:pStyle w:val="BodyText"/>
      </w:pPr>
      <w:r>
        <w:t>These changes in perspective are likely the downstream consequence of myriad factors, chief of which may be infants’ evolving locomot</w:t>
      </w:r>
      <w:r>
        <w:t>ive abilities: an infant’s ability to sit, crawl, stand, or walk structures the way they interact with the things and people in their world. Infants’ locomotive abilities can change rapidly: the physical body of an infant can lengthen up to 2cm in 24 hours</w:t>
      </w:r>
      <w:r>
        <w:t xml:space="preserve"> (Lampl, 1993), leading to changes in their abilities from one day to the next. These motoric developments can be thought of as gateways that open up entirely new phases of development (Iverson, 2010), causing a cascade of changes in an infant’s ability to</w:t>
      </w:r>
      <w:r>
        <w:t xml:space="preserve"> interact with their world and the people in it (Karasik, Tamis-LeMonda, &amp; Adolph, 2014). Thus, infants’ </w:t>
      </w:r>
      <w:r>
        <w:lastRenderedPageBreak/>
        <w:t>changing locomotor abilities may shape the social cues that infants’ see and seek out, in turn impacting their cognitive and linguistic abilities.</w:t>
      </w:r>
    </w:p>
    <w:p w:rsidR="00A754AC" w:rsidRDefault="001D34F6">
      <w:pPr>
        <w:pStyle w:val="BodyText"/>
      </w:pPr>
      <w:r>
        <w:t>Howe</w:t>
      </w:r>
      <w:r>
        <w:t>ver, understanding the nuanced relationship between the social information in the infant view and their motoric and linguistic development has remained challenging. For example, as children begin crawling (Adolph, Vereijken, &amp; Denny, 1998) – or scooting or</w:t>
      </w:r>
      <w:r>
        <w:t xml:space="preserve"> cruising (Patrick, Noah, &amp; Yang, 2012) – they are no longer constrained to the same spot that their caregivers last placed them in. Yet while crawlers can choose where to go and what they see to a much greater degree, they also appear to spend much of the</w:t>
      </w:r>
      <w:r>
        <w:t xml:space="preserve">ir time in a world populated by floors and knees; during spontaneous play, toddlers are more likely to look at the floor while crawling than while walking (Franchak et al., 2011), when they have full visual access to their environment and the people in it </w:t>
      </w:r>
      <w:r>
        <w:t>(Kretch, Franchak, &amp; Adolph, 2014). Further, infants’ experience with sitting predicts their success at 3D object completion tasks (Soska, Adolph, &amp; Johnson, 2010) as well as their receptive vocabulary (Libertus &amp; Violi, 2016), suggesting the importance of</w:t>
      </w:r>
      <w:r>
        <w:t xml:space="preserve"> focused play sessions for language development.</w:t>
      </w:r>
    </w:p>
    <w:p w:rsidR="00A754AC" w:rsidRDefault="001D34F6">
      <w:pPr>
        <w:pStyle w:val="BodyText"/>
      </w:pPr>
      <w:r>
        <w:t xml:space="preserve">Others have posited that it is children’s ability to stand and walk that fundamentally changes their ability to access social information (e.g., facial expressions, gaze cues, pointing) relative to children </w:t>
      </w:r>
      <w:r>
        <w:t>who are still crawling and sitting (Walle, 2016), which in turn allow infants to learn words quicker and more efficiently (Walle, 2016). Supporting this idea, walking vs. crawling infants tend to make different kinds of object-related bids for attention fr</w:t>
      </w:r>
      <w:r>
        <w:t xml:space="preserve">om their caregivers (Karasik et al., 2014), hear more action directed statements (e.g., “open it”) (Karasik et al., 2014), and have higher receptive and productive vocabularies (Walle &amp; Campos, 2014). However, not all evidence supports this view: parental </w:t>
      </w:r>
      <w:r>
        <w:t xml:space="preserve">report data suggest a weak relationship between walking and the onset of language (Moore, Dailey, Garrison, Amatuni, &amp; Bergelson, </w:t>
      </w:r>
      <w:r>
        <w:lastRenderedPageBreak/>
        <w:t xml:space="preserve">2019), and head-mounted eye-tracking data from one-year-olds highlights the role of infants’ in-the-moment posture – and that </w:t>
      </w:r>
      <w:r>
        <w:t>of their caregivers’ – in what infants’ see, finding that these factors are better predictors of the social information in view than their locomotor status per se (i.e., “walker” vs “crawler”) (Franchak, Kretch, &amp; Adolph, 2017).</w:t>
      </w:r>
    </w:p>
    <w:p w:rsidR="00A754AC" w:rsidRDefault="001D34F6">
      <w:pPr>
        <w:pStyle w:val="BodyText"/>
      </w:pPr>
      <w:r>
        <w:t>Broadly, the field is in ne</w:t>
      </w:r>
      <w:r>
        <w:t xml:space="preserve">ed of computational tools to reuse these rich video datasets and understand the generalizability of findings across different populations, tasks, and age-ranges. For example, different kinds of play sessions (e.g., exploring novel environments vs. playing </w:t>
      </w:r>
      <w:r>
        <w:t>with novel objects) might modulate the degree to which infants’ posture changes the social information in view. Yet while the field has assembled many head-mounted camera datasets, conducting new analyses on these videos has remained prohibitively time-con</w:t>
      </w:r>
      <w:r>
        <w:t>suming due to a lack of computational tools for annotations. Instead, hundreds of hours of manual annotations have been required to analyze a fraction of the available frames for a given analysis. Thus despite containing a wealth of information about the s</w:t>
      </w:r>
      <w:r>
        <w:t>tructure of parent-child interactions, these datasets have thus gone dramatically underused.</w:t>
      </w:r>
    </w:p>
    <w:p w:rsidR="00A754AC" w:rsidRDefault="001D34F6">
      <w:pPr>
        <w:pStyle w:val="BodyText"/>
      </w:pPr>
      <w:r>
        <w:t>Recent innovations in computer vision hold promise for automated annotations of the infant view. Over the past decade, deep neural networks have become dramaticall</w:t>
      </w:r>
      <w:r>
        <w:t>y better at a wide range of visual tasks, including object classification, Simonyan and Zisserman (2014), scene categorization (Zhou, Lapedriza, Khosla, Oliva, &amp; Torralba, 2017), and pose detection (K. Zhang, Zhang, Li, &amp; Qiao, 2016), arguably facilitating</w:t>
      </w:r>
      <w:r>
        <w:t xml:space="preserve"> our understanding of visual perception (Peterson, Abbott, &amp; Griffiths, 2018; VanRullen, 2017) and improving computational neuroscience (Kietzmann, McClure, &amp; Kriegeskorte, 2018). However, as most models have been trained on photographs or videos taken fro</w:t>
      </w:r>
      <w:r>
        <w:t>m the adult perspective, it is still unclear how easily these models can be applied to videos taken from the infant perspective.</w:t>
      </w:r>
    </w:p>
    <w:p w:rsidR="00A754AC" w:rsidRDefault="001D34F6">
      <w:pPr>
        <w:pStyle w:val="BodyText"/>
      </w:pPr>
      <w:r>
        <w:lastRenderedPageBreak/>
        <w:t>In the present paper, we make progress on understanding the relationship the between the infant visual perspective and motoric and linguistic development in three ways. First, we validate a model for the automated detection of faces and hands in the infant</w:t>
      </w:r>
      <w:r>
        <w:t xml:space="preserve"> view. We use an open-source model of pose detection – OpenPose (Cao, Simon, Wei, &amp; Sheikh, 2017; K. Zhang et al., 2016) – that provides pose, face, and hand keypoints for every person in an image. We compare the detection accuracy of this method with that</w:t>
      </w:r>
      <w:r>
        <w:t xml:space="preserve"> of both older and more specialized models of face detection, and demonstrate the usability of this off-the-shelf model for quantifying the faces and hands in the infant view.</w:t>
      </w:r>
    </w:p>
    <w:p w:rsidR="00A754AC" w:rsidRDefault="001D34F6">
      <w:pPr>
        <w:pStyle w:val="BodyText"/>
      </w:pPr>
      <w:r>
        <w:t>Second, we provide an annotated, open dataset for researchers to examine the eff</w:t>
      </w:r>
      <w:r>
        <w:t>ects of postural developments and naming behavior during naturalistic parent-child interactions. To do so, we invited caregivers of 8, 12, and 16-month-olds to participate in play sessions where they were provided with pairs of novel and familiar objects (</w:t>
      </w:r>
      <w:r>
        <w:t>e.g., a ball and a microfiber duster, called a “zem”). We chose this age-range to span the months when infants typically transition from sitting to crawling to standing, and documented the infant egocentric view as well as a third-person view of the play s</w:t>
      </w:r>
      <w:r>
        <w:t>ession. We then annotated infants’ in-the-moment posture and orientation relative to their caregiver, and obtained full transcripts of the play sessions as well as MacArthur-Bates Communicative Development Inventories for each child.</w:t>
      </w:r>
    </w:p>
    <w:p w:rsidR="00A754AC" w:rsidRDefault="001D34F6">
      <w:pPr>
        <w:pStyle w:val="BodyText"/>
      </w:pPr>
      <w:r>
        <w:t>Third, we apply our au</w:t>
      </w:r>
      <w:r>
        <w:t>tomated method to this and one other openly available head-mounted camera dataset, examining the generality of the effects of motor development on the social information in view. In Study 1, we use the cross-sectional design of our dataset to directly exam</w:t>
      </w:r>
      <w:r>
        <w:t>ine the relative contributions of age vs. in-the-moment posture on infants’ visual access to social information, and use the transcriptions to examine how the availability of social cues changes relative to naming events (e.g., “Yes, you like the [ball!]”)</w:t>
      </w:r>
      <w:r>
        <w:t xml:space="preserve">. Indeed, despite positing links </w:t>
      </w:r>
      <w:r>
        <w:lastRenderedPageBreak/>
        <w:t>between the social information in view and language development, no work to date has directly examined how the availability of social information changes around naming events in naturalistic contexts. In Study 2, we apply t</w:t>
      </w:r>
      <w:r>
        <w:t>his automated method to Franchak et al. (2017), where one-year-olds wore head-mounted eye-tracking cameras during a play session and their in-the-moment posture was hand-annotated. Unlike the present dataset, infants and caregivers roamed a large, open pla</w:t>
      </w:r>
      <w:r>
        <w:t>yroom and explored different toys placed throughout. We thus analyzed this second dataset with a first goal of validating our automated method on a very different kind of video dataset, attempting to replicate their primary findings originally obtained wit</w:t>
      </w:r>
      <w:r>
        <w:t>h a head-mounted eye-tracker, and then further examine whether the proportion of hands in view also varies with infants’ posture. Broadly, we predicted that there would be differential access to social information based on children’s postural developments:</w:t>
      </w:r>
      <w:r>
        <w:t xml:space="preserve"> crawling infants would see fewer faces/hands because they would primarily be looking at the ground, while walking toddlers would have access to a richer visual landscape with greater access to the social information in their environment.</w:t>
      </w:r>
    </w:p>
    <w:p w:rsidR="00A754AC" w:rsidRDefault="001D34F6">
      <w:pPr>
        <w:pStyle w:val="Heading1"/>
      </w:pPr>
      <w:bookmarkStart w:id="0" w:name="study-1"/>
      <w:bookmarkEnd w:id="0"/>
      <w:r>
        <w:t>Study 1</w:t>
      </w:r>
    </w:p>
    <w:p w:rsidR="00A754AC" w:rsidRDefault="001D34F6">
      <w:pPr>
        <w:pStyle w:val="Heading2"/>
      </w:pPr>
      <w:bookmarkStart w:id="1" w:name="methods"/>
      <w:bookmarkEnd w:id="1"/>
      <w:r>
        <w:t>Methods</w:t>
      </w:r>
    </w:p>
    <w:p w:rsidR="00A754AC" w:rsidRDefault="001D34F6">
      <w:pPr>
        <w:pStyle w:val="FirstParagraph"/>
      </w:pPr>
      <w:r>
        <w:t>C</w:t>
      </w:r>
      <w:r>
        <w:t>aregivers of 8, 12, and 16-month-olds were invited to participate in play sessions where they were provided with pairs of novel and familiar objects (e.g., a ball and a microfiber duster, called a “zem”) in a small playroom in a lab (approximately 10’ x 10</w:t>
      </w:r>
      <w:r>
        <w:t>’). Infants wore head-mounted cameras equipped with a fish-eye lens (see Head-mounted camera), a tripod-mounted camera captured a third-person view of the play session. Using these video data, infants’ posture and orientation to their caregiver were hand-c</w:t>
      </w:r>
      <w:r>
        <w:t xml:space="preserve">oded and annotated for the entirety of the play session. All videos were transcribed, and MacArthur CDIs were collected for all children who </w:t>
      </w:r>
      <w:r>
        <w:lastRenderedPageBreak/>
        <w:t>participated. All materials have been made publicly available on Databrary for whom the parents provided sharing co</w:t>
      </w:r>
      <w:r>
        <w:t>nsent (29/36 dyads) via [BLINDED].</w:t>
      </w:r>
    </w:p>
    <w:p w:rsidR="00A754AC" w:rsidRDefault="001D34F6">
      <w:pPr>
        <w:pStyle w:val="Heading3"/>
        <w:framePr w:wrap="around"/>
      </w:pPr>
      <w:bookmarkStart w:id="2" w:name="participants"/>
      <w:bookmarkEnd w:id="2"/>
      <w:r>
        <w:t>Participants</w:t>
      </w:r>
    </w:p>
    <w:p w:rsidR="00A754AC" w:rsidRDefault="001D34F6">
      <w:pPr>
        <w:pStyle w:val="FirstParagraph"/>
      </w:pPr>
      <w:r>
        <w:t>Our final sample consisted of 36 infants and children, with 12 participants in three age groups: 8 months (6 F), 12 months (7 F), and 16 months (6 F). Participants were recruited from the surrounding communit</w:t>
      </w:r>
      <w:r>
        <w:t>y via state birth records, had no documented disabilities, and were reported to hear at least 80 percent English at home. Demographics and exclusion rates are given in the table below (see Table 1).</w:t>
      </w:r>
    </w:p>
    <w:p w:rsidR="00A754AC" w:rsidRDefault="001D34F6">
      <w:pPr>
        <w:pStyle w:val="Compact"/>
      </w:pPr>
      <w:r>
        <w:t>Table 1:</w:t>
      </w:r>
    </w:p>
    <w:p w:rsidR="00A754AC" w:rsidRDefault="001D34F6">
      <w:pPr>
        <w:pStyle w:val="Compact"/>
      </w:pPr>
      <w:r>
        <w:rPr>
          <w:i/>
        </w:rPr>
        <w:t>Exclusion rates and summary demographics for the</w:t>
      </w:r>
      <w:r>
        <w:rPr>
          <w:i/>
        </w:rPr>
        <w:t xml:space="preserve"> infants included in the study.</w:t>
      </w:r>
    </w:p>
    <w:tbl>
      <w:tblPr>
        <w:tblW w:w="0" w:type="pct"/>
        <w:tblLook w:val="07E0" w:firstRow="1" w:lastRow="1" w:firstColumn="1" w:lastColumn="1" w:noHBand="1" w:noVBand="1"/>
      </w:tblPr>
      <w:tblGrid>
        <w:gridCol w:w="830"/>
        <w:gridCol w:w="456"/>
        <w:gridCol w:w="896"/>
        <w:gridCol w:w="1083"/>
        <w:gridCol w:w="1883"/>
        <w:gridCol w:w="1409"/>
      </w:tblGrid>
      <w:tr w:rsidR="00A754AC">
        <w:tc>
          <w:tcPr>
            <w:tcW w:w="0" w:type="auto"/>
            <w:tcBorders>
              <w:bottom w:val="single" w:sz="0" w:space="0" w:color="auto"/>
            </w:tcBorders>
            <w:vAlign w:val="bottom"/>
          </w:tcPr>
          <w:p w:rsidR="00A754AC" w:rsidRDefault="001D34F6">
            <w:pPr>
              <w:pStyle w:val="Compact"/>
            </w:pPr>
            <w:r>
              <w:t>Group</w:t>
            </w:r>
          </w:p>
        </w:tc>
        <w:tc>
          <w:tcPr>
            <w:tcW w:w="0" w:type="auto"/>
            <w:tcBorders>
              <w:bottom w:val="single" w:sz="0" w:space="0" w:color="auto"/>
            </w:tcBorders>
            <w:vAlign w:val="bottom"/>
          </w:tcPr>
          <w:p w:rsidR="00A754AC" w:rsidRDefault="001D34F6">
            <w:pPr>
              <w:pStyle w:val="Compact"/>
            </w:pPr>
            <w:r>
              <w:t>N</w:t>
            </w:r>
          </w:p>
        </w:tc>
        <w:tc>
          <w:tcPr>
            <w:tcW w:w="0" w:type="auto"/>
            <w:tcBorders>
              <w:bottom w:val="single" w:sz="0" w:space="0" w:color="auto"/>
            </w:tcBorders>
            <w:vAlign w:val="bottom"/>
          </w:tcPr>
          <w:p w:rsidR="00A754AC" w:rsidRDefault="001D34F6">
            <w:pPr>
              <w:pStyle w:val="Compact"/>
            </w:pPr>
            <w:r>
              <w:t>% incl.</w:t>
            </w:r>
          </w:p>
        </w:tc>
        <w:tc>
          <w:tcPr>
            <w:tcW w:w="0" w:type="auto"/>
            <w:tcBorders>
              <w:bottom w:val="single" w:sz="0" w:space="0" w:color="auto"/>
            </w:tcBorders>
            <w:vAlign w:val="bottom"/>
          </w:tcPr>
          <w:p w:rsidR="00A754AC" w:rsidRDefault="001D34F6">
            <w:pPr>
              <w:pStyle w:val="Compact"/>
            </w:pPr>
            <w:r>
              <w:t>Avg. age</w:t>
            </w:r>
          </w:p>
        </w:tc>
        <w:tc>
          <w:tcPr>
            <w:tcW w:w="0" w:type="auto"/>
            <w:tcBorders>
              <w:bottom w:val="single" w:sz="0" w:space="0" w:color="auto"/>
            </w:tcBorders>
            <w:vAlign w:val="bottom"/>
          </w:tcPr>
          <w:p w:rsidR="00A754AC" w:rsidRDefault="001D34F6">
            <w:pPr>
              <w:pStyle w:val="Compact"/>
            </w:pPr>
            <w:r>
              <w:t>Avg video length</w:t>
            </w:r>
          </w:p>
        </w:tc>
        <w:tc>
          <w:tcPr>
            <w:tcW w:w="0" w:type="auto"/>
            <w:tcBorders>
              <w:bottom w:val="single" w:sz="0" w:space="0" w:color="auto"/>
            </w:tcBorders>
            <w:vAlign w:val="bottom"/>
          </w:tcPr>
          <w:p w:rsidR="00A754AC" w:rsidRDefault="001D34F6">
            <w:pPr>
              <w:pStyle w:val="Compact"/>
            </w:pPr>
            <w:r>
              <w:t>Num female</w:t>
            </w:r>
          </w:p>
        </w:tc>
      </w:tr>
      <w:tr w:rsidR="00A754AC">
        <w:tc>
          <w:tcPr>
            <w:tcW w:w="0" w:type="auto"/>
          </w:tcPr>
          <w:p w:rsidR="00A754AC" w:rsidRDefault="001D34F6">
            <w:pPr>
              <w:pStyle w:val="Compact"/>
            </w:pPr>
            <w:r>
              <w:t>8</w:t>
            </w:r>
          </w:p>
        </w:tc>
        <w:tc>
          <w:tcPr>
            <w:tcW w:w="0" w:type="auto"/>
          </w:tcPr>
          <w:p w:rsidR="00A754AC" w:rsidRDefault="001D34F6">
            <w:pPr>
              <w:pStyle w:val="Compact"/>
            </w:pPr>
            <w:r>
              <w:t>12</w:t>
            </w:r>
          </w:p>
        </w:tc>
        <w:tc>
          <w:tcPr>
            <w:tcW w:w="0" w:type="auto"/>
          </w:tcPr>
          <w:p w:rsidR="00A754AC" w:rsidRDefault="001D34F6">
            <w:pPr>
              <w:pStyle w:val="Compact"/>
            </w:pPr>
            <w:r>
              <w:t>0.46</w:t>
            </w:r>
          </w:p>
        </w:tc>
        <w:tc>
          <w:tcPr>
            <w:tcW w:w="0" w:type="auto"/>
          </w:tcPr>
          <w:p w:rsidR="00A754AC" w:rsidRDefault="001D34F6">
            <w:pPr>
              <w:pStyle w:val="Compact"/>
            </w:pPr>
            <w:r>
              <w:t>8.71</w:t>
            </w:r>
          </w:p>
        </w:tc>
        <w:tc>
          <w:tcPr>
            <w:tcW w:w="0" w:type="auto"/>
          </w:tcPr>
          <w:p w:rsidR="00A754AC" w:rsidRDefault="001D34F6">
            <w:pPr>
              <w:pStyle w:val="Compact"/>
            </w:pPr>
            <w:r>
              <w:t>14.41</w:t>
            </w:r>
          </w:p>
        </w:tc>
        <w:tc>
          <w:tcPr>
            <w:tcW w:w="0" w:type="auto"/>
          </w:tcPr>
          <w:p w:rsidR="00A754AC" w:rsidRDefault="001D34F6">
            <w:pPr>
              <w:pStyle w:val="Compact"/>
            </w:pPr>
            <w:r>
              <w:t>6</w:t>
            </w:r>
          </w:p>
        </w:tc>
      </w:tr>
      <w:tr w:rsidR="00A754AC">
        <w:tc>
          <w:tcPr>
            <w:tcW w:w="0" w:type="auto"/>
          </w:tcPr>
          <w:p w:rsidR="00A754AC" w:rsidRDefault="001D34F6">
            <w:pPr>
              <w:pStyle w:val="Compact"/>
            </w:pPr>
            <w:r>
              <w:t>12</w:t>
            </w:r>
          </w:p>
        </w:tc>
        <w:tc>
          <w:tcPr>
            <w:tcW w:w="0" w:type="auto"/>
          </w:tcPr>
          <w:p w:rsidR="00A754AC" w:rsidRDefault="001D34F6">
            <w:pPr>
              <w:pStyle w:val="Compact"/>
            </w:pPr>
            <w:r>
              <w:t>12</w:t>
            </w:r>
          </w:p>
        </w:tc>
        <w:tc>
          <w:tcPr>
            <w:tcW w:w="0" w:type="auto"/>
          </w:tcPr>
          <w:p w:rsidR="00A754AC" w:rsidRDefault="001D34F6">
            <w:pPr>
              <w:pStyle w:val="Compact"/>
            </w:pPr>
            <w:r>
              <w:t>0.40</w:t>
            </w:r>
          </w:p>
        </w:tc>
        <w:tc>
          <w:tcPr>
            <w:tcW w:w="0" w:type="auto"/>
          </w:tcPr>
          <w:p w:rsidR="00A754AC" w:rsidRDefault="001D34F6">
            <w:pPr>
              <w:pStyle w:val="Compact"/>
            </w:pPr>
            <w:r>
              <w:t>12.62</w:t>
            </w:r>
          </w:p>
        </w:tc>
        <w:tc>
          <w:tcPr>
            <w:tcW w:w="0" w:type="auto"/>
          </w:tcPr>
          <w:p w:rsidR="00A754AC" w:rsidRDefault="001D34F6">
            <w:pPr>
              <w:pStyle w:val="Compact"/>
            </w:pPr>
            <w:r>
              <w:t>12.71</w:t>
            </w:r>
          </w:p>
        </w:tc>
        <w:tc>
          <w:tcPr>
            <w:tcW w:w="0" w:type="auto"/>
          </w:tcPr>
          <w:p w:rsidR="00A754AC" w:rsidRDefault="001D34F6">
            <w:pPr>
              <w:pStyle w:val="Compact"/>
            </w:pPr>
            <w:r>
              <w:t>7</w:t>
            </w:r>
          </w:p>
        </w:tc>
      </w:tr>
      <w:tr w:rsidR="00A754AC">
        <w:tc>
          <w:tcPr>
            <w:tcW w:w="0" w:type="auto"/>
          </w:tcPr>
          <w:p w:rsidR="00A754AC" w:rsidRDefault="001D34F6">
            <w:pPr>
              <w:pStyle w:val="Compact"/>
            </w:pPr>
            <w:r>
              <w:t>16</w:t>
            </w:r>
          </w:p>
        </w:tc>
        <w:tc>
          <w:tcPr>
            <w:tcW w:w="0" w:type="auto"/>
          </w:tcPr>
          <w:p w:rsidR="00A754AC" w:rsidRDefault="001D34F6">
            <w:pPr>
              <w:pStyle w:val="Compact"/>
            </w:pPr>
            <w:r>
              <w:t>12</w:t>
            </w:r>
          </w:p>
        </w:tc>
        <w:tc>
          <w:tcPr>
            <w:tcW w:w="0" w:type="auto"/>
          </w:tcPr>
          <w:p w:rsidR="00A754AC" w:rsidRDefault="001D34F6">
            <w:pPr>
              <w:pStyle w:val="Compact"/>
            </w:pPr>
            <w:r>
              <w:t>0.31</w:t>
            </w:r>
          </w:p>
        </w:tc>
        <w:tc>
          <w:tcPr>
            <w:tcW w:w="0" w:type="auto"/>
          </w:tcPr>
          <w:p w:rsidR="00A754AC" w:rsidRDefault="001D34F6">
            <w:pPr>
              <w:pStyle w:val="Compact"/>
            </w:pPr>
            <w:r>
              <w:t>16.29</w:t>
            </w:r>
          </w:p>
        </w:tc>
        <w:tc>
          <w:tcPr>
            <w:tcW w:w="0" w:type="auto"/>
          </w:tcPr>
          <w:p w:rsidR="00A754AC" w:rsidRDefault="001D34F6">
            <w:pPr>
              <w:pStyle w:val="Compact"/>
            </w:pPr>
            <w:r>
              <w:t>15.10</w:t>
            </w:r>
          </w:p>
        </w:tc>
        <w:tc>
          <w:tcPr>
            <w:tcW w:w="0" w:type="auto"/>
          </w:tcPr>
          <w:p w:rsidR="00A754AC" w:rsidRDefault="001D34F6">
            <w:pPr>
              <w:pStyle w:val="Compact"/>
            </w:pPr>
            <w:r>
              <w:t>6</w:t>
            </w:r>
          </w:p>
        </w:tc>
      </w:tr>
    </w:tbl>
    <w:p w:rsidR="00A754AC" w:rsidRDefault="001D34F6">
      <w:pPr>
        <w:pStyle w:val="BodyText"/>
      </w:pPr>
      <w:r>
        <w:t>To obtain this final sample, we tested 95 children, excluding 59 children for the following reasons: 20 for technical issues related to the headcam (e.g., failure to record, ran out of battery), 15 for failing to wear the headcam, 10 for fewer than 4 minut</w:t>
      </w:r>
      <w:r>
        <w:t xml:space="preserve">es of headcam footage, 5 for having multiple adults present, 5 for missing Communicative Development Inventory (CDI) data, 2 for missing scene camera footage, 1 for fussiness, and 1 for sample symmetry. 16-month-olds tolerated the head-mounted camera less </w:t>
      </w:r>
      <w:r>
        <w:t>well than younger infants, leading to a higher exclusion rate. All inclusion decisions were made independent of the results of subsequent analyses.</w:t>
      </w:r>
    </w:p>
    <w:p w:rsidR="00A754AC" w:rsidRDefault="001D34F6">
      <w:pPr>
        <w:pStyle w:val="Heading3"/>
        <w:framePr w:wrap="around"/>
      </w:pPr>
      <w:bookmarkStart w:id="3" w:name="head-mounted-camera"/>
      <w:bookmarkEnd w:id="3"/>
      <w:r>
        <w:t>Head-mounted camera</w:t>
      </w:r>
    </w:p>
    <w:p w:rsidR="00A754AC" w:rsidRDefault="001D34F6">
      <w:pPr>
        <w:pStyle w:val="FirstParagraph"/>
      </w:pPr>
      <w:r>
        <w:lastRenderedPageBreak/>
        <w:t>We used a head-mounted camera (“headcam”) that was constructed from a small camera attac</w:t>
      </w:r>
      <w:r>
        <w:t>hed to a soft elastic headband.</w:t>
      </w:r>
      <w:r>
        <w:rPr>
          <w:rStyle w:val="FootnoteReference"/>
        </w:rPr>
        <w:footnoteReference w:id="1"/>
      </w:r>
      <w:r>
        <w:t xml:space="preserve"> Initial participants wore an MD-80 camera, which was then replaced by a Veho pro camera which had better battery life and a larger view angle. The view angle of the MD-80 camera was </w:t>
      </w:r>
      <m:oMath>
        <m:sSup>
          <m:sSupPr>
            <m:ctrlPr>
              <w:rPr>
                <w:rFonts w:ascii="Cambria Math" w:hAnsi="Cambria Math"/>
              </w:rPr>
            </m:ctrlPr>
          </m:sSupPr>
          <m:e>
            <m:r>
              <w:rPr>
                <w:rFonts w:ascii="Cambria Math" w:hAnsi="Cambria Math"/>
              </w:rPr>
              <m:t>32</m:t>
            </m:r>
          </m:e>
          <m:sup>
            <m:r>
              <w:rPr>
                <w:rFonts w:ascii="Cambria Math" w:hAnsi="Cambria Math"/>
              </w:rPr>
              <m:t>∘</m:t>
            </m:r>
          </m:sup>
        </m:sSup>
      </m:oMath>
      <w:r>
        <w:t xml:space="preserve"> horizontal by </w:t>
      </w:r>
      <m:oMath>
        <m:sSup>
          <m:sSupPr>
            <m:ctrlPr>
              <w:rPr>
                <w:rFonts w:ascii="Cambria Math" w:hAnsi="Cambria Math"/>
              </w:rPr>
            </m:ctrlPr>
          </m:sSupPr>
          <m:e>
            <m:r>
              <w:rPr>
                <w:rFonts w:ascii="Cambria Math" w:hAnsi="Cambria Math"/>
              </w:rPr>
              <m:t>24</m:t>
            </m:r>
          </m:e>
          <m:sup>
            <m:r>
              <w:rPr>
                <w:rFonts w:ascii="Cambria Math" w:hAnsi="Cambria Math"/>
              </w:rPr>
              <m:t>∘</m:t>
            </m:r>
          </m:sup>
        </m:sSup>
      </m:oMath>
      <w:r>
        <w:t xml:space="preserve"> vertical, and we a</w:t>
      </w:r>
      <w:r>
        <w:t xml:space="preserve">ttached a fish-eye lens to the camera to increase the view angle to </w:t>
      </w:r>
      <m:oMath>
        <m:sSup>
          <m:sSupPr>
            <m:ctrlPr>
              <w:rPr>
                <w:rFonts w:ascii="Cambria Math" w:hAnsi="Cambria Math"/>
              </w:rPr>
            </m:ctrlPr>
          </m:sSupPr>
          <m:e>
            <m:r>
              <w:rPr>
                <w:rFonts w:ascii="Cambria Math" w:hAnsi="Cambria Math"/>
              </w:rPr>
              <m:t>64</m:t>
            </m:r>
          </m:e>
          <m:sup>
            <m:r>
              <w:rPr>
                <w:rFonts w:ascii="Cambria Math" w:hAnsi="Cambria Math"/>
              </w:rPr>
              <m:t>∘</m:t>
            </m:r>
          </m:sup>
        </m:sSup>
      </m:oMath>
      <w:r>
        <w:t xml:space="preserve"> horizontal by </w:t>
      </w:r>
      <m:oMath>
        <m:sSup>
          <m:sSupPr>
            <m:ctrlPr>
              <w:rPr>
                <w:rFonts w:ascii="Cambria Math" w:hAnsi="Cambria Math"/>
              </w:rPr>
            </m:ctrlPr>
          </m:sSupPr>
          <m:e>
            <m:r>
              <w:rPr>
                <w:rFonts w:ascii="Cambria Math" w:hAnsi="Cambria Math"/>
              </w:rPr>
              <m:t>46</m:t>
            </m:r>
          </m:e>
          <m:sup>
            <m:r>
              <w:rPr>
                <w:rFonts w:ascii="Cambria Math" w:hAnsi="Cambria Math"/>
              </w:rPr>
              <m:t>∘</m:t>
            </m:r>
          </m:sup>
        </m:sSup>
      </m:oMath>
      <w:r>
        <w:t xml:space="preserve"> vertical. The view angle of the Veho pro camera was wider, </w:t>
      </w:r>
      <m:oMath>
        <m:sSup>
          <m:sSupPr>
            <m:ctrlPr>
              <w:rPr>
                <w:rFonts w:ascii="Cambria Math" w:hAnsi="Cambria Math"/>
              </w:rPr>
            </m:ctrlPr>
          </m:sSupPr>
          <m:e>
            <m:r>
              <w:rPr>
                <w:rFonts w:ascii="Cambria Math" w:hAnsi="Cambria Math"/>
              </w:rPr>
              <m:t>47</m:t>
            </m:r>
          </m:e>
          <m:sup>
            <m:r>
              <w:rPr>
                <w:rFonts w:ascii="Cambria Math" w:hAnsi="Cambria Math"/>
              </w:rPr>
              <m:t>∘</m:t>
            </m:r>
          </m:sup>
        </m:sSup>
      </m:oMath>
      <w:r>
        <w:t xml:space="preserve"> horizontal by </w:t>
      </w:r>
      <m:oMath>
        <m:sSup>
          <m:sSupPr>
            <m:ctrlPr>
              <w:rPr>
                <w:rFonts w:ascii="Cambria Math" w:hAnsi="Cambria Math"/>
              </w:rPr>
            </m:ctrlPr>
          </m:sSupPr>
          <m:e>
            <m:r>
              <w:rPr>
                <w:rFonts w:ascii="Cambria Math" w:hAnsi="Cambria Math"/>
              </w:rPr>
              <m:t>36</m:t>
            </m:r>
          </m:e>
          <m:sup>
            <m:r>
              <w:rPr>
                <w:rFonts w:ascii="Cambria Math" w:hAnsi="Cambria Math"/>
              </w:rPr>
              <m:t>∘</m:t>
            </m:r>
          </m:sup>
        </m:sSup>
      </m:oMath>
      <w:r>
        <w:t xml:space="preserve"> vertical. Videos captured by MD-80/Veho cameras were 640x480/720x480 pixels, respecti</w:t>
      </w:r>
      <w:r>
        <w:t>vely, and both cameras had a frame rate of ~30 frames per second. To ensure that detections across these different cameras were comparable, we excluded detections from the outer edges of the videos taken with the MD-80 cameras based on these view angle dif</w:t>
      </w:r>
      <w:r>
        <w:t>ferences in our main analyses (i.e. excluding top/bottom 13% of the frames, and left/right 10% of the frames).</w:t>
      </w:r>
    </w:p>
    <w:p w:rsidR="00A754AC" w:rsidRDefault="001D34F6">
      <w:pPr>
        <w:pStyle w:val="BodyText"/>
      </w:pPr>
      <w:r>
        <w:t>However, the vertical field of view of the cameras were still considerably reduced compared to the infants’ field of view, which spans around 100</w:t>
      </w:r>
      <w:r>
        <w:t>–120</w:t>
      </w:r>
      <m:oMath>
        <m:sSup>
          <m:sSupPr>
            <m:ctrlPr>
              <w:rPr>
                <w:rFonts w:ascii="Cambria Math" w:hAnsi="Cambria Math"/>
              </w:rPr>
            </m:ctrlPr>
          </m:sSupPr>
          <m:e/>
          <m:sup>
            <m:r>
              <w:rPr>
                <w:rFonts w:ascii="Cambria Math" w:hAnsi="Cambria Math"/>
              </w:rPr>
              <m:t>∘</m:t>
            </m:r>
          </m:sup>
        </m:sSup>
      </m:oMath>
      <w:r>
        <w:t xml:space="preserve"> in the vertical dimension by 6-7 months of age (Cummings, Van Hof-Van Duin, Mayer, Hansen, &amp; Fulton, 1988; Mayer, Fulton, &amp; Cummings, 1988). As we were primarily interested in the presence of faces in the child’s field of view, we chose to orient the</w:t>
      </w:r>
      <w:r>
        <w:t xml:space="preserve"> camera upwards to capture the entirety of the child’s upper visual field where the child is likely to see adult faces, understanding that this decision limited our ability to detect hands (especially those of the child, which are typically found at the bo</w:t>
      </w:r>
      <w:r>
        <w:t>ttom of the visual field). We note that these limitations regarding field of view and camera angle affect all studies using this method, not only our own.</w:t>
      </w:r>
    </w:p>
    <w:p w:rsidR="00A754AC" w:rsidRDefault="001D34F6">
      <w:pPr>
        <w:pStyle w:val="Heading3"/>
        <w:framePr w:wrap="around"/>
      </w:pPr>
      <w:bookmarkStart w:id="4" w:name="procedure"/>
      <w:bookmarkEnd w:id="4"/>
      <w:r>
        <w:lastRenderedPageBreak/>
        <w:t>Procedure</w:t>
      </w:r>
    </w:p>
    <w:p w:rsidR="00A754AC" w:rsidRDefault="001D34F6">
      <w:pPr>
        <w:pStyle w:val="FirstParagraph"/>
      </w:pPr>
      <w:r>
        <w:t>All parents signed consent documents while children were fitted with the headcam. If the child was uninterested in wearing the headcam or tried to take it off, the experimenter presented engaging toys to try to draw the child’s focus away from the headcam.</w:t>
      </w:r>
      <w:r>
        <w:t xml:space="preserve"> When the child was comfortable wearing the headcam, the child and caregiver were shown to a playroom for the free-play session. Parents were shown a box containing three pairs of familiar and novel objects. These pairs consisted of a ball paired with a mi</w:t>
      </w:r>
      <w:r>
        <w:t>crofiber duster (a “zem”), a toy car paired with a cheese grater (a “manu”), and a brush paired with a back massager (a “tima”). Parents were instructed to play with the object pairs with their child one at a time, “as they typically would.”</w:t>
      </w:r>
    </w:p>
    <w:p w:rsidR="00A754AC" w:rsidRDefault="001D34F6">
      <w:pPr>
        <w:pStyle w:val="BodyText"/>
      </w:pPr>
      <w:r>
        <w:t>All parents co</w:t>
      </w:r>
      <w:r>
        <w:t>nfirmed that their child had not previously seen the novel toys and were instructed to use the novel labels to refer to the toys. The experimenter then left the playroom for approximately 15-20 minutes, during which a tripod-mounted camera in the corner of</w:t>
      </w:r>
      <w:r>
        <w:t xml:space="preserve"> the room recorded the session and the headcam captured video from the child’s perspective.</w:t>
      </w:r>
    </w:p>
    <w:p w:rsidR="00A754AC" w:rsidRDefault="001D34F6">
      <w:pPr>
        <w:pStyle w:val="Heading3"/>
        <w:framePr w:wrap="around"/>
      </w:pPr>
      <w:bookmarkStart w:id="5" w:name="data-processing-and-annotations"/>
      <w:bookmarkEnd w:id="5"/>
      <w:r>
        <w:t>Data processing and annotations</w:t>
      </w:r>
    </w:p>
    <w:p w:rsidR="00A754AC" w:rsidRDefault="001D34F6">
      <w:pPr>
        <w:pStyle w:val="FirstParagraph"/>
      </w:pPr>
      <w:r>
        <w:t>Headcam videos were trimmed such that they excluded the instruction phase when the experimenter was in the room and were automatical</w:t>
      </w:r>
      <w:r>
        <w:t>ly synchronized with the tripod-mounted videos using FinalCut Pro Software. These sessions yielded 507 minutes (almost a million frames) of video, with an average video length of 14.07 minutes (min = 4.53, max = 19.35).</w:t>
      </w:r>
    </w:p>
    <w:p w:rsidR="00A754AC" w:rsidRDefault="001D34F6">
      <w:pPr>
        <w:pStyle w:val="Heading4"/>
        <w:framePr w:wrap="around"/>
      </w:pPr>
      <w:bookmarkStart w:id="6" w:name="posture-and-caregiver-orientation-annota"/>
      <w:bookmarkEnd w:id="6"/>
      <w:r>
        <w:t>Posture and caregiver orientation an</w:t>
      </w:r>
      <w:r>
        <w:t>notations</w:t>
      </w:r>
    </w:p>
    <w:p w:rsidR="00A754AC" w:rsidRDefault="001D34F6">
      <w:pPr>
        <w:pStyle w:val="FirstParagraph"/>
      </w:pPr>
      <w:r>
        <w:t>We created custom annotations to describe the child’s physical posture (i.e. standing) and the orientation of the caregiver relative to the child (e.g. far away). The child’s posture was categorized as being carried, prone (crawling or lying), si</w:t>
      </w:r>
      <w:r>
        <w:t xml:space="preserve">tting, or standing. The caregiver’s orientation was characterized as being close, far, or behind the child (independent of distance). For the first two annotations (close/far from the </w:t>
      </w:r>
      <w:r>
        <w:lastRenderedPageBreak/>
        <w:t>child), the caregiver could either be to the front or side of the child.</w:t>
      </w:r>
      <w:r>
        <w:t xml:space="preserve"> All annotations were made by a trained coder using the OpenSHAPA/Datavyu software (Adolph, Gilmore, Freeman, Sanderson, &amp; Millman, 2012). Times when the child was out of view of the tripod camera were marked as uncodable and were excluded from these annot</w:t>
      </w:r>
      <w:r>
        <w:t>ations; similarily, times when the child was being carried or the caregivers were out of the frame were marked as uncodable for caregiver orientation. On average, posture or orientation was uncodable from 1-2 minutes of data in each child (seconds excluded</w:t>
      </w:r>
      <w:r>
        <w:t xml:space="preserve"> from analysis for posture, M = 105s, SD = 234s; orientation; M = 105s, SD = 234s), and these rates did not vary substantially with the age of the child. To assess the reliability of these annotations, a second coder annotated videos from three different c</w:t>
      </w:r>
      <w:r>
        <w:t xml:space="preserve">hildren to calculate Cohen’s kappa (posture, </w:t>
      </w:r>
      <m:oMath>
        <m:r>
          <w:rPr>
            <w:rFonts w:ascii="Cambria Math" w:hAnsi="Cambria Math"/>
          </w:rPr>
          <m:t>κ</m:t>
        </m:r>
      </m:oMath>
      <w:r>
        <w:t xml:space="preserve"> = .82; caregiver orientation, </w:t>
      </w:r>
      <m:oMath>
        <m:r>
          <w:rPr>
            <w:rFonts w:ascii="Cambria Math" w:hAnsi="Cambria Math"/>
          </w:rPr>
          <m:t>κ</m:t>
        </m:r>
      </m:oMath>
      <w:r>
        <w:t xml:space="preserve"> = .73).</w:t>
      </w:r>
    </w:p>
    <w:p w:rsidR="00A754AC" w:rsidRDefault="001D34F6">
      <w:pPr>
        <w:pStyle w:val="Heading4"/>
        <w:framePr w:wrap="around"/>
      </w:pPr>
      <w:bookmarkStart w:id="7" w:name="naming-event-annotations"/>
      <w:bookmarkEnd w:id="7"/>
      <w:r>
        <w:t>Naming event annotations</w:t>
      </w:r>
    </w:p>
    <w:p w:rsidR="00A754AC" w:rsidRDefault="001D34F6">
      <w:pPr>
        <w:pStyle w:val="FirstParagraph"/>
      </w:pPr>
      <w:r>
        <w:t>One coder listened to all of the audio from the play sessions and marked the exact timestamps whenever one of the novel or familiar objects wa</w:t>
      </w:r>
      <w:r>
        <w:t xml:space="preserve">s named in any instance (e.g., “Look at the [ball]”, “Can you say [zem]?”); a second coder listened to the majority of the play sessions (N = 23 sessions) and also annotated all naming events. To asesess reliability, we calculated the proportion of naming </w:t>
      </w:r>
      <w:r>
        <w:t>events detected by the first coder that were also annotated by the second coder within a sliding window. We found that 82.1% of naming events were detected within a 4 second window (+/- 2s), and 70.9% of namings events were detected within a 2 second windo</w:t>
      </w:r>
      <w:r>
        <w:t>w (+/- 1s). We also obtained full text transcriptions of the entire play sessions (with time stamps marking 10s intervals). While these full transcriptions are not used in the present analyses, they have been made publically avaliable for future research.</w:t>
      </w:r>
    </w:p>
    <w:p w:rsidR="00A754AC" w:rsidRDefault="001D34F6">
      <w:pPr>
        <w:pStyle w:val="Heading2"/>
      </w:pPr>
      <w:bookmarkStart w:id="8" w:name="face-and-hand-detection"/>
      <w:bookmarkEnd w:id="8"/>
      <w:r>
        <w:t>Face and hand detection</w:t>
      </w:r>
    </w:p>
    <w:p w:rsidR="00A754AC" w:rsidRDefault="001D34F6">
      <w:pPr>
        <w:pStyle w:val="FirstParagraph"/>
      </w:pPr>
      <w:r>
        <w:t xml:space="preserve">We evaluated three detection systems for the ability to measure infants’ visual access to faces. The first of these is the most commonly-used and widely available face detection </w:t>
      </w:r>
      <w:r>
        <w:lastRenderedPageBreak/>
        <w:t xml:space="preserve">algorithm: Viola-Jones (Viola &amp; Jones, 2004). We used </w:t>
      </w:r>
      <w:r>
        <w:t>this algorithm as a benchmark for performance, as while it can achieve impressive accuracy in some situations, it is notoriously bad at dealing with occluded faces (Scheirer, Anthony, Nakayama, &amp; Cox, 2014). We next tested the performance of two face detec</w:t>
      </w:r>
      <w:r>
        <w:t>tors that both made use of relatively recently developed Convolutional Neural Networks (CNNs) to extract face information. The first algorithm was specifically optimized for face detection, and the second algorithm was optimized to extract pose information</w:t>
      </w:r>
      <w:r>
        <w:t xml:space="preserve"> of all the individuals in an image, operationalized as information about the position of 18 different body parts. For this second algorithm (OpenPose; Cao et al., 2017), we used the agent’s nose (one of the body keypoints detected) to operationalize the p</w:t>
      </w:r>
      <w:r>
        <w:t>resence of faces, as any half of a face necessarily contains a nose.</w:t>
      </w:r>
    </w:p>
    <w:p w:rsidR="00A754AC" w:rsidRDefault="001D34F6">
      <w:pPr>
        <w:pStyle w:val="BodyText"/>
      </w:pPr>
      <w:r>
        <w:t>The OpenPose detector also provided us with the location of an agent’s wrists, which we used as a proxy for hands for two reasons. First, as we did not capture children’s entire visual field, the presence of a wrist is likely often indicative of the presen</w:t>
      </w:r>
      <w:r>
        <w:t>ce of a hand within the field of view. Second, hands are often occluded by objects when caregivers are interacting with children, yet still visually accessible by the child and part of their joint interaction.</w:t>
      </w:r>
    </w:p>
    <w:p w:rsidR="00A754AC" w:rsidRDefault="001D34F6">
      <w:pPr>
        <w:pStyle w:val="Heading3"/>
        <w:framePr w:wrap="around"/>
      </w:pPr>
      <w:bookmarkStart w:id="9" w:name="algorithms"/>
      <w:bookmarkEnd w:id="9"/>
      <w:r>
        <w:t>Algorithms</w:t>
      </w:r>
    </w:p>
    <w:p w:rsidR="00A754AC" w:rsidRDefault="001D34F6">
      <w:pPr>
        <w:pStyle w:val="FirstParagraph"/>
      </w:pPr>
      <w:r>
        <w:t>Viola Jones, the first face detecti</w:t>
      </w:r>
      <w:r>
        <w:t xml:space="preserve">on system, made use of a series of Haar feature-based cascade classifiers (Viola &amp; Jones, 2004) applied to each individual frame. The second algorithm (based on work by K. Zhang et al., 2016) uses multi-task cascaded convolutional neural networks (MTCNNs) </w:t>
      </w:r>
      <w:r>
        <w:t xml:space="preserve">for joint face detection and alignment, built to perform well in real-world environments where varying illuminations and occlusions are present. We used a Tensorflow implementation of this algorithm available at </w:t>
      </w:r>
      <w:hyperlink r:id="rId8">
        <w:r>
          <w:rPr>
            <w:rStyle w:val="Hyperlink"/>
          </w:rPr>
          <w:t>https://github.com/davidsandberg/facenet</w:t>
        </w:r>
      </w:hyperlink>
      <w:r>
        <w:t>.</w:t>
      </w:r>
    </w:p>
    <w:p w:rsidR="00A754AC" w:rsidRDefault="001D34F6">
      <w:pPr>
        <w:pStyle w:val="BodyText"/>
      </w:pPr>
      <w:r>
        <w:lastRenderedPageBreak/>
        <w:t xml:space="preserve">The CNN-based pose detector (OpenPose; Cao et al., 2017; Simon, Joo, Matthews, &amp; Sheikh, 2017; Wei, Ramakrishna, Kanade, &amp; Sheikh, 2016) provided the locations of 18 body parts (ears, nose, wrists, </w:t>
      </w:r>
      <w:r>
        <w:t xml:space="preserve">etc.) and is available at </w:t>
      </w:r>
      <w:hyperlink r:id="rId9">
        <w:r>
          <w:rPr>
            <w:rStyle w:val="Hyperlink"/>
          </w:rPr>
          <w:t>https://github.com/CMU-Perceptual-Computing-Lab/openpose</w:t>
        </w:r>
      </w:hyperlink>
      <w:r>
        <w:t>. The system uses a convolutional neural network for initial anatomical detection and subsequently</w:t>
      </w:r>
      <w:r>
        <w:t xml:space="preserve"> applies part affinity fields for part association, producing a series of body part candidates. The candidates are then matched to a single individual and finally assembled into a pose; here, we only made use of the body parts relevant to the face and hand</w:t>
      </w:r>
      <w:r>
        <w:t>s (nose and wrists), though the entire set of keypoints is publicly avaliable. Each keypoint was accompanied by a confidence score made by the detector.</w:t>
      </w:r>
    </w:p>
    <w:p w:rsidR="00A754AC" w:rsidRDefault="001D34F6">
      <w:pPr>
        <w:pStyle w:val="Heading3"/>
        <w:framePr w:wrap="around"/>
      </w:pPr>
      <w:bookmarkStart w:id="10" w:name="detector-evaluation"/>
      <w:bookmarkEnd w:id="10"/>
      <w:r>
        <w:t>Detector evaluation</w:t>
      </w:r>
    </w:p>
    <w:p w:rsidR="00A754AC" w:rsidRDefault="001D34F6">
      <w:pPr>
        <w:pStyle w:val="FirstParagraph"/>
      </w:pPr>
      <w:r>
        <w:t>To evaluate face detector performance, we hand-labeled a “gold set” of frames extra</w:t>
      </w:r>
      <w:r>
        <w:t>cted from the video dataset. To account for the relatively rare appearance of faces in the dataset, we hand-labeled two types of samples: a sample containing a high density of faces (half reported by MTCNN, half by OpenPose) and a random sample from the re</w:t>
      </w:r>
      <w:r>
        <w:t>maining frames. Each sample was comprised of an equal number of frames taken from each child’s video. For wrist detections, the “gold set” was constructed in the same manner, except frames with a high density of wrists came only from detections made by Ope</w:t>
      </w:r>
      <w:r>
        <w:t>nPose. Faces were classified as present if at least half of the face was showing; wrists were classified as present if any part of the wrist was showing. Two authors labelled the frames independently and resolved disagreements on a case-by-case basis. Prec</w:t>
      </w:r>
      <w:r>
        <w:t>ision (hits / hits + false alarms), recall (hits / hits + misses), and F-score (harmonic mean of precision and recall) were calculated for all detectors.</w:t>
      </w:r>
    </w:p>
    <w:p w:rsidR="00A754AC" w:rsidRDefault="001D34F6">
      <w:r>
        <w:rPr>
          <w:noProof/>
        </w:rPr>
        <w:lastRenderedPageBreak/>
        <w:drawing>
          <wp:inline distT="0" distB="0" distL="0" distR="0">
            <wp:extent cx="5969000" cy="2185913"/>
            <wp:effectExtent l="0" t="0" r="0" b="0"/>
            <wp:docPr id="1" name="Picture" descr="Figure 1: Example detections made by OpenPose from children in each age group."/>
            <wp:cNvGraphicFramePr/>
            <a:graphic xmlns:a="http://schemas.openxmlformats.org/drawingml/2006/main">
              <a:graphicData uri="http://schemas.openxmlformats.org/drawingml/2006/picture">
                <pic:pic xmlns:pic="http://schemas.openxmlformats.org/drawingml/2006/picture">
                  <pic:nvPicPr>
                    <pic:cNvPr id="0" name="Picture" descr="images/exampe_detections.png"/>
                    <pic:cNvPicPr>
                      <a:picLocks noChangeAspect="1" noChangeArrowheads="1"/>
                    </pic:cNvPicPr>
                  </pic:nvPicPr>
                  <pic:blipFill>
                    <a:blip r:embed="rId10"/>
                    <a:stretch>
                      <a:fillRect/>
                    </a:stretch>
                  </pic:blipFill>
                  <pic:spPr bwMode="auto">
                    <a:xfrm>
                      <a:off x="0" y="0"/>
                      <a:ext cx="5969000" cy="2185913"/>
                    </a:xfrm>
                    <a:prstGeom prst="rect">
                      <a:avLst/>
                    </a:prstGeom>
                    <a:noFill/>
                    <a:ln w="9525">
                      <a:noFill/>
                      <a:headEnd/>
                      <a:tailEnd/>
                    </a:ln>
                  </pic:spPr>
                </pic:pic>
              </a:graphicData>
            </a:graphic>
          </wp:inline>
        </w:drawing>
      </w:r>
    </w:p>
    <w:p w:rsidR="00A754AC" w:rsidRDefault="001D34F6">
      <w:pPr>
        <w:pStyle w:val="ImageCaption"/>
      </w:pPr>
      <w:r>
        <w:t>Figure 1: Example detections made by OpenPose from children in each age group.</w:t>
      </w:r>
    </w:p>
    <w:p w:rsidR="00A754AC" w:rsidRDefault="001D34F6">
      <w:pPr>
        <w:pStyle w:val="Heading2"/>
      </w:pPr>
      <w:bookmarkStart w:id="11" w:name="results"/>
      <w:bookmarkEnd w:id="11"/>
      <w:r>
        <w:t>Results</w:t>
      </w:r>
    </w:p>
    <w:p w:rsidR="00A754AC" w:rsidRDefault="001D34F6">
      <w:pPr>
        <w:pStyle w:val="FirstParagraph"/>
      </w:pPr>
      <w:r>
        <w:t>First, we rep</w:t>
      </w:r>
      <w:r>
        <w:t xml:space="preserve">ort the accuracy of the automated detectors, as assessed by comparison to hand-labelled frames from the free-play video dataset described above. We then apply one of these automated detectors (OpenPose) to the entirety of this video dataset, and use these </w:t>
      </w:r>
      <w:r>
        <w:t>outputs to examine how postural developments influence children’s visual access to faces and hands from 8-16 months of age. We further use the detections to examine how access to these social cues changes during naming events (e.g., do you see the [zem]?).</w:t>
      </w:r>
      <w:r>
        <w:t xml:space="preserve"> Finally, we apply this same automated detector to another video dataset (Franchak et al., 2017), replicating and extending their findings on the effects of posture on visual access to social information.</w:t>
      </w:r>
    </w:p>
    <w:p w:rsidR="00A754AC" w:rsidRDefault="001D34F6">
      <w:pPr>
        <w:pStyle w:val="Compact"/>
      </w:pPr>
      <w:r>
        <w:t>Table 2:</w:t>
      </w:r>
    </w:p>
    <w:p w:rsidR="00A754AC" w:rsidRDefault="001D34F6">
      <w:pPr>
        <w:pStyle w:val="Compact"/>
      </w:pPr>
      <w:r>
        <w:rPr>
          <w:i/>
        </w:rPr>
        <w:t>Detector performance for faces both high d</w:t>
      </w:r>
      <w:r>
        <w:rPr>
          <w:i/>
        </w:rPr>
        <w:t>ensity samples (where proportion of targets detected was high) and random samples (where frames were randomly selected). P, R, and F denote precision, recall, and F-score, respectively. ‘Strict’ denotes when only high confidence detections are considered.</w:t>
      </w:r>
    </w:p>
    <w:tbl>
      <w:tblPr>
        <w:tblW w:w="0" w:type="pct"/>
        <w:tblLook w:val="07E0" w:firstRow="1" w:lastRow="1" w:firstColumn="1" w:lastColumn="1" w:noHBand="1" w:noVBand="1"/>
      </w:tblPr>
      <w:tblGrid>
        <w:gridCol w:w="2416"/>
        <w:gridCol w:w="1490"/>
        <w:gridCol w:w="636"/>
        <w:gridCol w:w="636"/>
        <w:gridCol w:w="636"/>
      </w:tblGrid>
      <w:tr w:rsidR="00A754AC">
        <w:tc>
          <w:tcPr>
            <w:tcW w:w="0" w:type="auto"/>
            <w:tcBorders>
              <w:bottom w:val="single" w:sz="0" w:space="0" w:color="auto"/>
            </w:tcBorders>
            <w:vAlign w:val="bottom"/>
          </w:tcPr>
          <w:p w:rsidR="00A754AC" w:rsidRDefault="001D34F6">
            <w:pPr>
              <w:pStyle w:val="Compact"/>
            </w:pPr>
            <w:r>
              <w:t>Algorithm</w:t>
            </w:r>
          </w:p>
        </w:tc>
        <w:tc>
          <w:tcPr>
            <w:tcW w:w="0" w:type="auto"/>
            <w:tcBorders>
              <w:bottom w:val="single" w:sz="0" w:space="0" w:color="auto"/>
            </w:tcBorders>
            <w:vAlign w:val="bottom"/>
          </w:tcPr>
          <w:p w:rsidR="00A754AC" w:rsidRDefault="001D34F6">
            <w:pPr>
              <w:pStyle w:val="Compact"/>
            </w:pPr>
            <w:r>
              <w:t>Sample Type</w:t>
            </w:r>
          </w:p>
        </w:tc>
        <w:tc>
          <w:tcPr>
            <w:tcW w:w="0" w:type="auto"/>
            <w:tcBorders>
              <w:bottom w:val="single" w:sz="0" w:space="0" w:color="auto"/>
            </w:tcBorders>
            <w:vAlign w:val="bottom"/>
          </w:tcPr>
          <w:p w:rsidR="00A754AC" w:rsidRDefault="001D34F6">
            <w:pPr>
              <w:pStyle w:val="Compact"/>
            </w:pPr>
            <w:r>
              <w:t>P</w:t>
            </w:r>
          </w:p>
        </w:tc>
        <w:tc>
          <w:tcPr>
            <w:tcW w:w="0" w:type="auto"/>
            <w:tcBorders>
              <w:bottom w:val="single" w:sz="0" w:space="0" w:color="auto"/>
            </w:tcBorders>
            <w:vAlign w:val="bottom"/>
          </w:tcPr>
          <w:p w:rsidR="00A754AC" w:rsidRDefault="001D34F6">
            <w:pPr>
              <w:pStyle w:val="Compact"/>
            </w:pPr>
            <w:r>
              <w:t>R</w:t>
            </w:r>
          </w:p>
        </w:tc>
        <w:tc>
          <w:tcPr>
            <w:tcW w:w="0" w:type="auto"/>
            <w:tcBorders>
              <w:bottom w:val="single" w:sz="0" w:space="0" w:color="auto"/>
            </w:tcBorders>
            <w:vAlign w:val="bottom"/>
          </w:tcPr>
          <w:p w:rsidR="00A754AC" w:rsidRDefault="001D34F6">
            <w:pPr>
              <w:pStyle w:val="Compact"/>
            </w:pPr>
            <w:r>
              <w:t>F</w:t>
            </w:r>
          </w:p>
        </w:tc>
      </w:tr>
      <w:tr w:rsidR="00A754AC">
        <w:tc>
          <w:tcPr>
            <w:tcW w:w="0" w:type="auto"/>
          </w:tcPr>
          <w:p w:rsidR="00A754AC" w:rsidRDefault="001D34F6">
            <w:pPr>
              <w:pStyle w:val="Compact"/>
            </w:pPr>
            <w:r>
              <w:t>MTCNN-Faces</w:t>
            </w:r>
          </w:p>
        </w:tc>
        <w:tc>
          <w:tcPr>
            <w:tcW w:w="0" w:type="auto"/>
          </w:tcPr>
          <w:p w:rsidR="00A754AC" w:rsidRDefault="001D34F6">
            <w:pPr>
              <w:pStyle w:val="Compact"/>
            </w:pPr>
            <w:r>
              <w:t>High density</w:t>
            </w:r>
          </w:p>
        </w:tc>
        <w:tc>
          <w:tcPr>
            <w:tcW w:w="0" w:type="auto"/>
          </w:tcPr>
          <w:p w:rsidR="00A754AC" w:rsidRDefault="001D34F6">
            <w:pPr>
              <w:pStyle w:val="Compact"/>
            </w:pPr>
            <w:r>
              <w:t>0.89</w:t>
            </w:r>
          </w:p>
        </w:tc>
        <w:tc>
          <w:tcPr>
            <w:tcW w:w="0" w:type="auto"/>
          </w:tcPr>
          <w:p w:rsidR="00A754AC" w:rsidRDefault="001D34F6">
            <w:pPr>
              <w:pStyle w:val="Compact"/>
            </w:pPr>
            <w:r>
              <w:t>0.92</w:t>
            </w:r>
          </w:p>
        </w:tc>
        <w:tc>
          <w:tcPr>
            <w:tcW w:w="0" w:type="auto"/>
          </w:tcPr>
          <w:p w:rsidR="00A754AC" w:rsidRDefault="001D34F6">
            <w:pPr>
              <w:pStyle w:val="Compact"/>
            </w:pPr>
            <w:r>
              <w:t>0.90</w:t>
            </w:r>
          </w:p>
        </w:tc>
      </w:tr>
      <w:tr w:rsidR="00A754AC">
        <w:tc>
          <w:tcPr>
            <w:tcW w:w="0" w:type="auto"/>
          </w:tcPr>
          <w:p w:rsidR="00A754AC" w:rsidRDefault="001D34F6">
            <w:pPr>
              <w:pStyle w:val="Compact"/>
            </w:pPr>
            <w:r>
              <w:lastRenderedPageBreak/>
              <w:t>MTCNN-Faces</w:t>
            </w:r>
          </w:p>
        </w:tc>
        <w:tc>
          <w:tcPr>
            <w:tcW w:w="0" w:type="auto"/>
          </w:tcPr>
          <w:p w:rsidR="00A754AC" w:rsidRDefault="001D34F6">
            <w:pPr>
              <w:pStyle w:val="Compact"/>
            </w:pPr>
            <w:r>
              <w:t>Random</w:t>
            </w:r>
          </w:p>
        </w:tc>
        <w:tc>
          <w:tcPr>
            <w:tcW w:w="0" w:type="auto"/>
          </w:tcPr>
          <w:p w:rsidR="00A754AC" w:rsidRDefault="001D34F6">
            <w:pPr>
              <w:pStyle w:val="Compact"/>
            </w:pPr>
            <w:r>
              <w:t>0.94</w:t>
            </w:r>
          </w:p>
        </w:tc>
        <w:tc>
          <w:tcPr>
            <w:tcW w:w="0" w:type="auto"/>
          </w:tcPr>
          <w:p w:rsidR="00A754AC" w:rsidRDefault="001D34F6">
            <w:pPr>
              <w:pStyle w:val="Compact"/>
            </w:pPr>
            <w:r>
              <w:t>0.62</w:t>
            </w:r>
          </w:p>
        </w:tc>
        <w:tc>
          <w:tcPr>
            <w:tcW w:w="0" w:type="auto"/>
          </w:tcPr>
          <w:p w:rsidR="00A754AC" w:rsidRDefault="001D34F6">
            <w:pPr>
              <w:pStyle w:val="Compact"/>
            </w:pPr>
            <w:r>
              <w:t>0.75</w:t>
            </w:r>
          </w:p>
        </w:tc>
      </w:tr>
      <w:tr w:rsidR="00A754AC">
        <w:tc>
          <w:tcPr>
            <w:tcW w:w="0" w:type="auto"/>
          </w:tcPr>
          <w:p w:rsidR="00A754AC" w:rsidRDefault="001D34F6">
            <w:pPr>
              <w:pStyle w:val="Compact"/>
            </w:pPr>
            <w:r>
              <w:t>OpenPose-Faces</w:t>
            </w:r>
          </w:p>
        </w:tc>
        <w:tc>
          <w:tcPr>
            <w:tcW w:w="0" w:type="auto"/>
          </w:tcPr>
          <w:p w:rsidR="00A754AC" w:rsidRDefault="001D34F6">
            <w:pPr>
              <w:pStyle w:val="Compact"/>
            </w:pPr>
            <w:r>
              <w:t>High density</w:t>
            </w:r>
          </w:p>
        </w:tc>
        <w:tc>
          <w:tcPr>
            <w:tcW w:w="0" w:type="auto"/>
          </w:tcPr>
          <w:p w:rsidR="00A754AC" w:rsidRDefault="001D34F6">
            <w:pPr>
              <w:pStyle w:val="Compact"/>
            </w:pPr>
            <w:r>
              <w:t>0.78</w:t>
            </w:r>
          </w:p>
        </w:tc>
        <w:tc>
          <w:tcPr>
            <w:tcW w:w="0" w:type="auto"/>
          </w:tcPr>
          <w:p w:rsidR="00A754AC" w:rsidRDefault="001D34F6">
            <w:pPr>
              <w:pStyle w:val="Compact"/>
            </w:pPr>
            <w:r>
              <w:t>0.93</w:t>
            </w:r>
          </w:p>
        </w:tc>
        <w:tc>
          <w:tcPr>
            <w:tcW w:w="0" w:type="auto"/>
          </w:tcPr>
          <w:p w:rsidR="00A754AC" w:rsidRDefault="001D34F6">
            <w:pPr>
              <w:pStyle w:val="Compact"/>
            </w:pPr>
            <w:r>
              <w:t>0.84</w:t>
            </w:r>
          </w:p>
        </w:tc>
      </w:tr>
      <w:tr w:rsidR="00A754AC">
        <w:tc>
          <w:tcPr>
            <w:tcW w:w="0" w:type="auto"/>
          </w:tcPr>
          <w:p w:rsidR="00A754AC" w:rsidRDefault="001D34F6">
            <w:pPr>
              <w:pStyle w:val="Compact"/>
            </w:pPr>
            <w:r>
              <w:t>OpenPose-Faces</w:t>
            </w:r>
          </w:p>
        </w:tc>
        <w:tc>
          <w:tcPr>
            <w:tcW w:w="0" w:type="auto"/>
          </w:tcPr>
          <w:p w:rsidR="00A754AC" w:rsidRDefault="001D34F6">
            <w:pPr>
              <w:pStyle w:val="Compact"/>
            </w:pPr>
            <w:r>
              <w:t>Random</w:t>
            </w:r>
          </w:p>
        </w:tc>
        <w:tc>
          <w:tcPr>
            <w:tcW w:w="0" w:type="auto"/>
          </w:tcPr>
          <w:p w:rsidR="00A754AC" w:rsidRDefault="001D34F6">
            <w:pPr>
              <w:pStyle w:val="Compact"/>
            </w:pPr>
            <w:r>
              <w:t>0.72</w:t>
            </w:r>
          </w:p>
        </w:tc>
        <w:tc>
          <w:tcPr>
            <w:tcW w:w="0" w:type="auto"/>
          </w:tcPr>
          <w:p w:rsidR="00A754AC" w:rsidRDefault="001D34F6">
            <w:pPr>
              <w:pStyle w:val="Compact"/>
            </w:pPr>
            <w:r>
              <w:t>0.80</w:t>
            </w:r>
          </w:p>
        </w:tc>
        <w:tc>
          <w:tcPr>
            <w:tcW w:w="0" w:type="auto"/>
          </w:tcPr>
          <w:p w:rsidR="00A754AC" w:rsidRDefault="001D34F6">
            <w:pPr>
              <w:pStyle w:val="Compact"/>
            </w:pPr>
            <w:r>
              <w:t>0.76</w:t>
            </w:r>
          </w:p>
        </w:tc>
      </w:tr>
      <w:tr w:rsidR="00A754AC">
        <w:tc>
          <w:tcPr>
            <w:tcW w:w="0" w:type="auto"/>
          </w:tcPr>
          <w:p w:rsidR="00A754AC" w:rsidRDefault="001D34F6">
            <w:pPr>
              <w:pStyle w:val="Compact"/>
            </w:pPr>
            <w:r>
              <w:t>OpenPose-Faces-Strict</w:t>
            </w:r>
          </w:p>
        </w:tc>
        <w:tc>
          <w:tcPr>
            <w:tcW w:w="0" w:type="auto"/>
          </w:tcPr>
          <w:p w:rsidR="00A754AC" w:rsidRDefault="001D34F6">
            <w:pPr>
              <w:pStyle w:val="Compact"/>
            </w:pPr>
            <w:r>
              <w:t>High density</w:t>
            </w:r>
          </w:p>
        </w:tc>
        <w:tc>
          <w:tcPr>
            <w:tcW w:w="0" w:type="auto"/>
          </w:tcPr>
          <w:p w:rsidR="00A754AC" w:rsidRDefault="001D34F6">
            <w:pPr>
              <w:pStyle w:val="Compact"/>
            </w:pPr>
            <w:r>
              <w:t>0.97</w:t>
            </w:r>
          </w:p>
        </w:tc>
        <w:tc>
          <w:tcPr>
            <w:tcW w:w="0" w:type="auto"/>
          </w:tcPr>
          <w:p w:rsidR="00A754AC" w:rsidRDefault="001D34F6">
            <w:pPr>
              <w:pStyle w:val="Compact"/>
            </w:pPr>
            <w:r>
              <w:t>0.65</w:t>
            </w:r>
          </w:p>
        </w:tc>
        <w:tc>
          <w:tcPr>
            <w:tcW w:w="0" w:type="auto"/>
          </w:tcPr>
          <w:p w:rsidR="00A754AC" w:rsidRDefault="001D34F6">
            <w:pPr>
              <w:pStyle w:val="Compact"/>
            </w:pPr>
            <w:r>
              <w:t>0.78</w:t>
            </w:r>
          </w:p>
        </w:tc>
      </w:tr>
      <w:tr w:rsidR="00A754AC">
        <w:tc>
          <w:tcPr>
            <w:tcW w:w="0" w:type="auto"/>
          </w:tcPr>
          <w:p w:rsidR="00A754AC" w:rsidRDefault="001D34F6">
            <w:pPr>
              <w:pStyle w:val="Compact"/>
            </w:pPr>
            <w:r>
              <w:t>OpenPose-Faces-Strict</w:t>
            </w:r>
          </w:p>
        </w:tc>
        <w:tc>
          <w:tcPr>
            <w:tcW w:w="0" w:type="auto"/>
          </w:tcPr>
          <w:p w:rsidR="00A754AC" w:rsidRDefault="001D34F6">
            <w:pPr>
              <w:pStyle w:val="Compact"/>
            </w:pPr>
            <w:r>
              <w:t>Random</w:t>
            </w:r>
          </w:p>
        </w:tc>
        <w:tc>
          <w:tcPr>
            <w:tcW w:w="0" w:type="auto"/>
          </w:tcPr>
          <w:p w:rsidR="00A754AC" w:rsidRDefault="001D34F6">
            <w:pPr>
              <w:pStyle w:val="Compact"/>
            </w:pPr>
            <w:r>
              <w:t>0.97</w:t>
            </w:r>
          </w:p>
        </w:tc>
        <w:tc>
          <w:tcPr>
            <w:tcW w:w="0" w:type="auto"/>
          </w:tcPr>
          <w:p w:rsidR="00A754AC" w:rsidRDefault="001D34F6">
            <w:pPr>
              <w:pStyle w:val="Compact"/>
            </w:pPr>
            <w:r>
              <w:t>0.62</w:t>
            </w:r>
          </w:p>
        </w:tc>
        <w:tc>
          <w:tcPr>
            <w:tcW w:w="0" w:type="auto"/>
          </w:tcPr>
          <w:p w:rsidR="00A754AC" w:rsidRDefault="001D34F6">
            <w:pPr>
              <w:pStyle w:val="Compact"/>
            </w:pPr>
            <w:r>
              <w:t>0.76</w:t>
            </w:r>
          </w:p>
        </w:tc>
      </w:tr>
      <w:tr w:rsidR="00A754AC">
        <w:tc>
          <w:tcPr>
            <w:tcW w:w="0" w:type="auto"/>
          </w:tcPr>
          <w:p w:rsidR="00A754AC" w:rsidRDefault="001D34F6">
            <w:pPr>
              <w:pStyle w:val="Compact"/>
            </w:pPr>
            <w:r>
              <w:t>ViolaJones-Faces</w:t>
            </w:r>
          </w:p>
        </w:tc>
        <w:tc>
          <w:tcPr>
            <w:tcW w:w="0" w:type="auto"/>
          </w:tcPr>
          <w:p w:rsidR="00A754AC" w:rsidRDefault="001D34F6">
            <w:pPr>
              <w:pStyle w:val="Compact"/>
            </w:pPr>
            <w:r>
              <w:t>High density</w:t>
            </w:r>
          </w:p>
        </w:tc>
        <w:tc>
          <w:tcPr>
            <w:tcW w:w="0" w:type="auto"/>
          </w:tcPr>
          <w:p w:rsidR="00A754AC" w:rsidRDefault="001D34F6">
            <w:pPr>
              <w:pStyle w:val="Compact"/>
            </w:pPr>
            <w:r>
              <w:t>0.96</w:t>
            </w:r>
          </w:p>
        </w:tc>
        <w:tc>
          <w:tcPr>
            <w:tcW w:w="0" w:type="auto"/>
          </w:tcPr>
          <w:p w:rsidR="00A754AC" w:rsidRDefault="001D34F6">
            <w:pPr>
              <w:pStyle w:val="Compact"/>
            </w:pPr>
            <w:r>
              <w:t>0.44</w:t>
            </w:r>
          </w:p>
        </w:tc>
        <w:tc>
          <w:tcPr>
            <w:tcW w:w="0" w:type="auto"/>
          </w:tcPr>
          <w:p w:rsidR="00A754AC" w:rsidRDefault="001D34F6">
            <w:pPr>
              <w:pStyle w:val="Compact"/>
            </w:pPr>
            <w:r>
              <w:t>0.60</w:t>
            </w:r>
          </w:p>
        </w:tc>
      </w:tr>
      <w:tr w:rsidR="00A754AC">
        <w:tc>
          <w:tcPr>
            <w:tcW w:w="0" w:type="auto"/>
          </w:tcPr>
          <w:p w:rsidR="00A754AC" w:rsidRDefault="001D34F6">
            <w:pPr>
              <w:pStyle w:val="Compact"/>
            </w:pPr>
            <w:r>
              <w:t>ViolaJones-Faces</w:t>
            </w:r>
          </w:p>
        </w:tc>
        <w:tc>
          <w:tcPr>
            <w:tcW w:w="0" w:type="auto"/>
          </w:tcPr>
          <w:p w:rsidR="00A754AC" w:rsidRDefault="001D34F6">
            <w:pPr>
              <w:pStyle w:val="Compact"/>
            </w:pPr>
            <w:r>
              <w:t>Random</w:t>
            </w:r>
          </w:p>
        </w:tc>
        <w:tc>
          <w:tcPr>
            <w:tcW w:w="0" w:type="auto"/>
          </w:tcPr>
          <w:p w:rsidR="00A754AC" w:rsidRDefault="001D34F6">
            <w:pPr>
              <w:pStyle w:val="Compact"/>
            </w:pPr>
            <w:r>
              <w:t>0.44</w:t>
            </w:r>
          </w:p>
        </w:tc>
        <w:tc>
          <w:tcPr>
            <w:tcW w:w="0" w:type="auto"/>
          </w:tcPr>
          <w:p w:rsidR="00A754AC" w:rsidRDefault="001D34F6">
            <w:pPr>
              <w:pStyle w:val="Compact"/>
            </w:pPr>
            <w:r>
              <w:t>0.38</w:t>
            </w:r>
          </w:p>
        </w:tc>
        <w:tc>
          <w:tcPr>
            <w:tcW w:w="0" w:type="auto"/>
          </w:tcPr>
          <w:p w:rsidR="00A754AC" w:rsidRDefault="001D34F6">
            <w:pPr>
              <w:pStyle w:val="Compact"/>
            </w:pPr>
            <w:r>
              <w:t>0.41</w:t>
            </w:r>
          </w:p>
        </w:tc>
      </w:tr>
    </w:tbl>
    <w:p w:rsidR="00A754AC" w:rsidRDefault="001D34F6">
      <w:pPr>
        <w:pStyle w:val="Compact"/>
      </w:pPr>
      <w:r>
        <w:t>Table 3:</w:t>
      </w:r>
    </w:p>
    <w:p w:rsidR="00A754AC" w:rsidRDefault="001D34F6">
      <w:pPr>
        <w:pStyle w:val="Compact"/>
      </w:pPr>
      <w:r>
        <w:rPr>
          <w:i/>
        </w:rPr>
        <w:t>Detector performance for wrists on both high density samples (where proportion of targets detected was high) and random samples (where frames were randomly selected). P, R, and F denote precision, recall, and F-score, respectively. ‘Strict’ denotes when on</w:t>
      </w:r>
      <w:r>
        <w:rPr>
          <w:i/>
        </w:rPr>
        <w:t>ly high confidence detections are considered.</w:t>
      </w:r>
    </w:p>
    <w:tbl>
      <w:tblPr>
        <w:tblW w:w="0" w:type="pct"/>
        <w:tblLook w:val="07E0" w:firstRow="1" w:lastRow="1" w:firstColumn="1" w:lastColumn="1" w:noHBand="1" w:noVBand="1"/>
      </w:tblPr>
      <w:tblGrid>
        <w:gridCol w:w="2496"/>
        <w:gridCol w:w="1490"/>
        <w:gridCol w:w="636"/>
        <w:gridCol w:w="636"/>
        <w:gridCol w:w="636"/>
      </w:tblGrid>
      <w:tr w:rsidR="00A754AC">
        <w:tc>
          <w:tcPr>
            <w:tcW w:w="0" w:type="auto"/>
            <w:tcBorders>
              <w:bottom w:val="single" w:sz="0" w:space="0" w:color="auto"/>
            </w:tcBorders>
            <w:vAlign w:val="bottom"/>
          </w:tcPr>
          <w:p w:rsidR="00A754AC" w:rsidRDefault="001D34F6">
            <w:pPr>
              <w:pStyle w:val="Compact"/>
            </w:pPr>
            <w:r>
              <w:t>Algorithm</w:t>
            </w:r>
          </w:p>
        </w:tc>
        <w:tc>
          <w:tcPr>
            <w:tcW w:w="0" w:type="auto"/>
            <w:tcBorders>
              <w:bottom w:val="single" w:sz="0" w:space="0" w:color="auto"/>
            </w:tcBorders>
            <w:vAlign w:val="bottom"/>
          </w:tcPr>
          <w:p w:rsidR="00A754AC" w:rsidRDefault="001D34F6">
            <w:pPr>
              <w:pStyle w:val="Compact"/>
            </w:pPr>
            <w:r>
              <w:t>Sample Type</w:t>
            </w:r>
          </w:p>
        </w:tc>
        <w:tc>
          <w:tcPr>
            <w:tcW w:w="0" w:type="auto"/>
            <w:tcBorders>
              <w:bottom w:val="single" w:sz="0" w:space="0" w:color="auto"/>
            </w:tcBorders>
            <w:vAlign w:val="bottom"/>
          </w:tcPr>
          <w:p w:rsidR="00A754AC" w:rsidRDefault="001D34F6">
            <w:pPr>
              <w:pStyle w:val="Compact"/>
            </w:pPr>
            <w:r>
              <w:t>P</w:t>
            </w:r>
          </w:p>
        </w:tc>
        <w:tc>
          <w:tcPr>
            <w:tcW w:w="0" w:type="auto"/>
            <w:tcBorders>
              <w:bottom w:val="single" w:sz="0" w:space="0" w:color="auto"/>
            </w:tcBorders>
            <w:vAlign w:val="bottom"/>
          </w:tcPr>
          <w:p w:rsidR="00A754AC" w:rsidRDefault="001D34F6">
            <w:pPr>
              <w:pStyle w:val="Compact"/>
            </w:pPr>
            <w:r>
              <w:t>R</w:t>
            </w:r>
          </w:p>
        </w:tc>
        <w:tc>
          <w:tcPr>
            <w:tcW w:w="0" w:type="auto"/>
            <w:tcBorders>
              <w:bottom w:val="single" w:sz="0" w:space="0" w:color="auto"/>
            </w:tcBorders>
            <w:vAlign w:val="bottom"/>
          </w:tcPr>
          <w:p w:rsidR="00A754AC" w:rsidRDefault="001D34F6">
            <w:pPr>
              <w:pStyle w:val="Compact"/>
            </w:pPr>
            <w:r>
              <w:t>F</w:t>
            </w:r>
          </w:p>
        </w:tc>
      </w:tr>
      <w:tr w:rsidR="00A754AC">
        <w:tc>
          <w:tcPr>
            <w:tcW w:w="0" w:type="auto"/>
          </w:tcPr>
          <w:p w:rsidR="00A754AC" w:rsidRDefault="001D34F6">
            <w:pPr>
              <w:pStyle w:val="Compact"/>
            </w:pPr>
            <w:r>
              <w:t>OpenPose-Wrists</w:t>
            </w:r>
          </w:p>
        </w:tc>
        <w:tc>
          <w:tcPr>
            <w:tcW w:w="0" w:type="auto"/>
          </w:tcPr>
          <w:p w:rsidR="00A754AC" w:rsidRDefault="001D34F6">
            <w:pPr>
              <w:pStyle w:val="Compact"/>
            </w:pPr>
            <w:r>
              <w:t>High density</w:t>
            </w:r>
          </w:p>
        </w:tc>
        <w:tc>
          <w:tcPr>
            <w:tcW w:w="0" w:type="auto"/>
          </w:tcPr>
          <w:p w:rsidR="00A754AC" w:rsidRDefault="001D34F6">
            <w:pPr>
              <w:pStyle w:val="Compact"/>
            </w:pPr>
            <w:r>
              <w:t>0.66</w:t>
            </w:r>
          </w:p>
        </w:tc>
        <w:tc>
          <w:tcPr>
            <w:tcW w:w="0" w:type="auto"/>
          </w:tcPr>
          <w:p w:rsidR="00A754AC" w:rsidRDefault="001D34F6">
            <w:pPr>
              <w:pStyle w:val="Compact"/>
            </w:pPr>
            <w:r>
              <w:t>0.96</w:t>
            </w:r>
          </w:p>
        </w:tc>
        <w:tc>
          <w:tcPr>
            <w:tcW w:w="0" w:type="auto"/>
          </w:tcPr>
          <w:p w:rsidR="00A754AC" w:rsidRDefault="001D34F6">
            <w:pPr>
              <w:pStyle w:val="Compact"/>
            </w:pPr>
            <w:r>
              <w:t>0.78</w:t>
            </w:r>
          </w:p>
        </w:tc>
      </w:tr>
      <w:tr w:rsidR="00A754AC">
        <w:tc>
          <w:tcPr>
            <w:tcW w:w="0" w:type="auto"/>
          </w:tcPr>
          <w:p w:rsidR="00A754AC" w:rsidRDefault="001D34F6">
            <w:pPr>
              <w:pStyle w:val="Compact"/>
            </w:pPr>
            <w:r>
              <w:t>OpenPose-Wrists</w:t>
            </w:r>
          </w:p>
        </w:tc>
        <w:tc>
          <w:tcPr>
            <w:tcW w:w="0" w:type="auto"/>
          </w:tcPr>
          <w:p w:rsidR="00A754AC" w:rsidRDefault="001D34F6">
            <w:pPr>
              <w:pStyle w:val="Compact"/>
            </w:pPr>
            <w:r>
              <w:t>Random</w:t>
            </w:r>
          </w:p>
        </w:tc>
        <w:tc>
          <w:tcPr>
            <w:tcW w:w="0" w:type="auto"/>
          </w:tcPr>
          <w:p w:rsidR="00A754AC" w:rsidRDefault="001D34F6">
            <w:pPr>
              <w:pStyle w:val="Compact"/>
            </w:pPr>
            <w:r>
              <w:t>0.88</w:t>
            </w:r>
          </w:p>
        </w:tc>
        <w:tc>
          <w:tcPr>
            <w:tcW w:w="0" w:type="auto"/>
          </w:tcPr>
          <w:p w:rsidR="00A754AC" w:rsidRDefault="001D34F6">
            <w:pPr>
              <w:pStyle w:val="Compact"/>
            </w:pPr>
            <w:r>
              <w:t>0.29</w:t>
            </w:r>
          </w:p>
        </w:tc>
        <w:tc>
          <w:tcPr>
            <w:tcW w:w="0" w:type="auto"/>
          </w:tcPr>
          <w:p w:rsidR="00A754AC" w:rsidRDefault="001D34F6">
            <w:pPr>
              <w:pStyle w:val="Compact"/>
            </w:pPr>
            <w:r>
              <w:t>0.43</w:t>
            </w:r>
          </w:p>
        </w:tc>
      </w:tr>
      <w:tr w:rsidR="00A754AC">
        <w:tc>
          <w:tcPr>
            <w:tcW w:w="0" w:type="auto"/>
          </w:tcPr>
          <w:p w:rsidR="00A754AC" w:rsidRDefault="001D34F6">
            <w:pPr>
              <w:pStyle w:val="Compact"/>
            </w:pPr>
            <w:r>
              <w:t>OpenPose-Wrists-Strict</w:t>
            </w:r>
          </w:p>
        </w:tc>
        <w:tc>
          <w:tcPr>
            <w:tcW w:w="0" w:type="auto"/>
          </w:tcPr>
          <w:p w:rsidR="00A754AC" w:rsidRDefault="001D34F6">
            <w:pPr>
              <w:pStyle w:val="Compact"/>
            </w:pPr>
            <w:r>
              <w:t>High density</w:t>
            </w:r>
          </w:p>
        </w:tc>
        <w:tc>
          <w:tcPr>
            <w:tcW w:w="0" w:type="auto"/>
          </w:tcPr>
          <w:p w:rsidR="00A754AC" w:rsidRDefault="001D34F6">
            <w:pPr>
              <w:pStyle w:val="Compact"/>
            </w:pPr>
            <w:r>
              <w:t>0.95</w:t>
            </w:r>
          </w:p>
        </w:tc>
        <w:tc>
          <w:tcPr>
            <w:tcW w:w="0" w:type="auto"/>
          </w:tcPr>
          <w:p w:rsidR="00A754AC" w:rsidRDefault="001D34F6">
            <w:pPr>
              <w:pStyle w:val="Compact"/>
            </w:pPr>
            <w:r>
              <w:t>0.44</w:t>
            </w:r>
          </w:p>
        </w:tc>
        <w:tc>
          <w:tcPr>
            <w:tcW w:w="0" w:type="auto"/>
          </w:tcPr>
          <w:p w:rsidR="00A754AC" w:rsidRDefault="001D34F6">
            <w:pPr>
              <w:pStyle w:val="Compact"/>
            </w:pPr>
            <w:r>
              <w:t>0.60</w:t>
            </w:r>
          </w:p>
        </w:tc>
      </w:tr>
      <w:tr w:rsidR="00A754AC">
        <w:tc>
          <w:tcPr>
            <w:tcW w:w="0" w:type="auto"/>
          </w:tcPr>
          <w:p w:rsidR="00A754AC" w:rsidRDefault="001D34F6">
            <w:pPr>
              <w:pStyle w:val="Compact"/>
            </w:pPr>
            <w:r>
              <w:t>OpenPose-Wrists-Strict</w:t>
            </w:r>
          </w:p>
        </w:tc>
        <w:tc>
          <w:tcPr>
            <w:tcW w:w="0" w:type="auto"/>
          </w:tcPr>
          <w:p w:rsidR="00A754AC" w:rsidRDefault="001D34F6">
            <w:pPr>
              <w:pStyle w:val="Compact"/>
            </w:pPr>
            <w:r>
              <w:t>Random</w:t>
            </w:r>
          </w:p>
        </w:tc>
        <w:tc>
          <w:tcPr>
            <w:tcW w:w="0" w:type="auto"/>
          </w:tcPr>
          <w:p w:rsidR="00A754AC" w:rsidRDefault="001D34F6">
            <w:pPr>
              <w:pStyle w:val="Compact"/>
            </w:pPr>
            <w:r>
              <w:t>1.00</w:t>
            </w:r>
          </w:p>
        </w:tc>
        <w:tc>
          <w:tcPr>
            <w:tcW w:w="0" w:type="auto"/>
          </w:tcPr>
          <w:p w:rsidR="00A754AC" w:rsidRDefault="001D34F6">
            <w:pPr>
              <w:pStyle w:val="Compact"/>
            </w:pPr>
            <w:r>
              <w:t>0.10</w:t>
            </w:r>
          </w:p>
        </w:tc>
        <w:tc>
          <w:tcPr>
            <w:tcW w:w="0" w:type="auto"/>
          </w:tcPr>
          <w:p w:rsidR="00A754AC" w:rsidRDefault="001D34F6">
            <w:pPr>
              <w:pStyle w:val="Compact"/>
            </w:pPr>
            <w:r>
              <w:t>0.18</w:t>
            </w:r>
          </w:p>
        </w:tc>
      </w:tr>
    </w:tbl>
    <w:p w:rsidR="00A754AC" w:rsidRDefault="001D34F6">
      <w:r>
        <w:rPr>
          <w:noProof/>
        </w:rPr>
        <w:lastRenderedPageBreak/>
        <w:drawing>
          <wp:inline distT="0" distB="0" distL="0" distR="0">
            <wp:extent cx="4699000" cy="3949700"/>
            <wp:effectExtent l="0" t="0" r="0" b="0"/>
            <wp:docPr id="2" name="Picture" descr="Figure 2: Example failed detections from OpenPose, showing both false positives and false negatives (i.e. missed detections)."/>
            <wp:cNvGraphicFramePr/>
            <a:graphic xmlns:a="http://schemas.openxmlformats.org/drawingml/2006/main">
              <a:graphicData uri="http://schemas.openxmlformats.org/drawingml/2006/picture">
                <pic:pic xmlns:pic="http://schemas.openxmlformats.org/drawingml/2006/picture">
                  <pic:nvPicPr>
                    <pic:cNvPr id="0" name="Picture" descr="images/example_failures.png"/>
                    <pic:cNvPicPr>
                      <a:picLocks noChangeAspect="1" noChangeArrowheads="1"/>
                    </pic:cNvPicPr>
                  </pic:nvPicPr>
                  <pic:blipFill>
                    <a:blip r:embed="rId11"/>
                    <a:stretch>
                      <a:fillRect/>
                    </a:stretch>
                  </pic:blipFill>
                  <pic:spPr bwMode="auto">
                    <a:xfrm>
                      <a:off x="0" y="0"/>
                      <a:ext cx="4699000" cy="3949700"/>
                    </a:xfrm>
                    <a:prstGeom prst="rect">
                      <a:avLst/>
                    </a:prstGeom>
                    <a:noFill/>
                    <a:ln w="9525">
                      <a:noFill/>
                      <a:headEnd/>
                      <a:tailEnd/>
                    </a:ln>
                  </pic:spPr>
                </pic:pic>
              </a:graphicData>
            </a:graphic>
          </wp:inline>
        </w:drawing>
      </w:r>
    </w:p>
    <w:p w:rsidR="00A754AC" w:rsidRDefault="001D34F6">
      <w:pPr>
        <w:pStyle w:val="ImageCaption"/>
      </w:pPr>
      <w:r>
        <w:t>Figure 2: Example failed detections from OpenPose, showing both false positives and false negatives (i.e. missed detections).</w:t>
      </w:r>
    </w:p>
    <w:p w:rsidR="00A754AC" w:rsidRDefault="001D34F6">
      <w:pPr>
        <w:pStyle w:val="Heading3"/>
        <w:framePr w:wrap="around"/>
      </w:pPr>
      <w:bookmarkStart w:id="12" w:name="accuracy-of-automated-detections"/>
      <w:bookmarkEnd w:id="12"/>
      <w:r>
        <w:t>Accuracy of automated detections</w:t>
      </w:r>
    </w:p>
    <w:p w:rsidR="00A754AC" w:rsidRDefault="001D34F6">
      <w:pPr>
        <w:pStyle w:val="FirstParagraph"/>
      </w:pPr>
      <w:r>
        <w:t>For face detection, we found that both OpenPose and MTCNN dramatically outperformed ViolaJones (o</w:t>
      </w:r>
      <w:r>
        <w:t>ur baseline model) especially with respect to the random sample, where ViolaJones missed many face that were in view (see Table 2). When considering only the composite F-score across all frames, MTCNN slightly outperformed OpenPose (0.89 MTCNN vs. 0.83 Ope</w:t>
      </w:r>
      <w:r>
        <w:t>nPose), and MTCNN and OpenPose performed comparably with the random sample. Generally, MTCNN exhibited higher precision, whereas OpenPose exhibited higher recall, and these differences were most pronounced on the randomly sample frames. In other words, whi</w:t>
      </w:r>
      <w:r>
        <w:t xml:space="preserve">le OpenPose generated slightly more false positives than MTCNN, MTCNN missed several faces that were accurately detected by OpenPose. When we restricted our analysis to high-confidence detections from OpenPose (&gt;.5 confidence; default </w:t>
      </w:r>
      <w:r>
        <w:lastRenderedPageBreak/>
        <w:t>threshold for visuali</w:t>
      </w:r>
      <w:r>
        <w:t>zation), we found very high precision (P = 0.97), but much lower recall (R = 0.64) and thus overall lower performance (F = 0.77), indicating that these low-confidence detections often indexed actual faces that were in the infant view. Figure  shows example</w:t>
      </w:r>
      <w:r>
        <w:t xml:space="preserve"> successful detections from OpenPose in each age group, and Figure  shows examples of missed faces as well as false positives for context.</w:t>
      </w:r>
    </w:p>
    <w:p w:rsidR="00A754AC" w:rsidRDefault="001D34F6">
      <w:pPr>
        <w:pStyle w:val="BodyText"/>
      </w:pPr>
      <w:r>
        <w:t>We next assessed the viability of OpenPose as a hand detector. Despite the fact that hand detection is a more computationally challenging problem (Bambach, Crandall, Smith, &amp; Yu, 2017), and the fact that we used wrist keypoints as a proxy for hands, OpenPo</w:t>
      </w:r>
      <w:r>
        <w:t>se performed moderately well as a hand detector (F = 0.73). OpenPose achieved relatively high precision – generating relatively few false positives – but showed low recall on the randomly sampled frames (see Table 3). As with face detections, when we restr</w:t>
      </w:r>
      <w:r>
        <w:t>icted our analysis to high-confidence detections, we found much higher precision (P = 0.95), but much lower recall (R = 0.36) and thus lower overall performance (F = 0.52).</w:t>
      </w:r>
    </w:p>
    <w:p w:rsidR="00A754AC" w:rsidRDefault="001D34F6">
      <w:pPr>
        <w:pStyle w:val="BodyText"/>
      </w:pPr>
      <w:r>
        <w:t xml:space="preserve">Thus, one major advantage of OpenPose relative to specialized face detectors, such </w:t>
      </w:r>
      <w:r>
        <w:t>as MTCNN, is that it allows the analysis of both the faces and hands in the infant view with the outputs of only one algorithm, and analyzing the results of all detections (regardless of confidence) yielded reasonably accurate results. Going forward, we an</w:t>
      </w:r>
      <w:r>
        <w:t>alyze face and wrist detections using all detections from OpenPose, with the caveat that we are likely underestimating the proportion of hands in the dataset given the lower recall for hand detections.</w:t>
      </w:r>
    </w:p>
    <w:p w:rsidR="00A754AC" w:rsidRDefault="001D34F6">
      <w:r>
        <w:rPr>
          <w:noProof/>
        </w:rPr>
        <w:lastRenderedPageBreak/>
        <w:drawing>
          <wp:inline distT="0" distB="0" distL="0" distR="0">
            <wp:extent cx="5969000" cy="4974166"/>
            <wp:effectExtent l="0" t="0" r="0" b="0"/>
            <wp:docPr id="3" name="Picture" descr="Figure 3: Proportion of time spent by each infant in different postures and orientations relative to their caregivers (CG); times where posture was not codable are ommitted for visualization purposes"/>
            <wp:cNvGraphicFramePr/>
            <a:graphic xmlns:a="http://schemas.openxmlformats.org/drawingml/2006/main">
              <a:graphicData uri="http://schemas.openxmlformats.org/drawingml/2006/picture">
                <pic:pic xmlns:pic="http://schemas.openxmlformats.org/drawingml/2006/picture">
                  <pic:nvPicPr>
                    <pic:cNvPr id="0" name="Picture" descr="figs/posture-1.png"/>
                    <pic:cNvPicPr>
                      <a:picLocks noChangeAspect="1" noChangeArrowheads="1"/>
                    </pic:cNvPicPr>
                  </pic:nvPicPr>
                  <pic:blipFill>
                    <a:blip r:embed="rId12"/>
                    <a:stretch>
                      <a:fillRect/>
                    </a:stretch>
                  </pic:blipFill>
                  <pic:spPr bwMode="auto">
                    <a:xfrm>
                      <a:off x="0" y="0"/>
                      <a:ext cx="5969000" cy="4974166"/>
                    </a:xfrm>
                    <a:prstGeom prst="rect">
                      <a:avLst/>
                    </a:prstGeom>
                    <a:noFill/>
                    <a:ln w="9525">
                      <a:noFill/>
                      <a:headEnd/>
                      <a:tailEnd/>
                    </a:ln>
                  </pic:spPr>
                </pic:pic>
              </a:graphicData>
            </a:graphic>
          </wp:inline>
        </w:drawing>
      </w:r>
    </w:p>
    <w:p w:rsidR="00A754AC" w:rsidRDefault="001D34F6">
      <w:pPr>
        <w:pStyle w:val="ImageCaption"/>
      </w:pPr>
      <w:r>
        <w:t>Figure 3: Proportion of time spent by each infant in</w:t>
      </w:r>
      <w:r>
        <w:t xml:space="preserve"> different postures and orientations relative to their caregivers (CG); times where posture was not codable are ommitted for visualization purposes</w:t>
      </w:r>
    </w:p>
    <w:p w:rsidR="00A754AC" w:rsidRDefault="001D34F6">
      <w:r>
        <w:rPr>
          <w:noProof/>
        </w:rPr>
        <w:lastRenderedPageBreak/>
        <w:drawing>
          <wp:inline distT="0" distB="0" distL="0" distR="0">
            <wp:extent cx="5969000" cy="2984500"/>
            <wp:effectExtent l="0" t="0" r="0" b="0"/>
            <wp:docPr id="4" name="Picture" descr="Figure 4: Proportion of time spent by each infant in different postures and orientations relative to their caregivers (CG); times when infant was carried or when posture/orientation were not codable are ommitted for visualization purposes"/>
            <wp:cNvGraphicFramePr/>
            <a:graphic xmlns:a="http://schemas.openxmlformats.org/drawingml/2006/main">
              <a:graphicData uri="http://schemas.openxmlformats.org/drawingml/2006/picture">
                <pic:pic xmlns:pic="http://schemas.openxmlformats.org/drawingml/2006/picture">
                  <pic:nvPicPr>
                    <pic:cNvPr id="0" name="Picture" descr="figs/indivPosOrient-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rsidR="00A754AC" w:rsidRDefault="001D34F6">
      <w:pPr>
        <w:pStyle w:val="ImageCaption"/>
      </w:pPr>
      <w:r>
        <w:t>Figure 4: Proportion of time spent by each infant in different postures and orientations relative to their</w:t>
      </w:r>
      <w:r>
        <w:t xml:space="preserve"> caregivers (CG); times when infant was carried or when posture/orientation were not codable are ommitted for visualization purposes</w:t>
      </w:r>
    </w:p>
    <w:p w:rsidR="00A754AC" w:rsidRDefault="001D34F6">
      <w:pPr>
        <w:pStyle w:val="Heading3"/>
        <w:framePr w:wrap="around"/>
      </w:pPr>
      <w:bookmarkStart w:id="13" w:name="developmental-changes-in-infant-posture-"/>
      <w:bookmarkEnd w:id="13"/>
      <w:r>
        <w:t>Developmental changes in infant posture and caregiver orientation</w:t>
      </w:r>
    </w:p>
    <w:p w:rsidR="00A754AC" w:rsidRDefault="001D34F6">
      <w:pPr>
        <w:pStyle w:val="FirstParagraph"/>
      </w:pPr>
      <w:r>
        <w:t>Consistent with previous literature (Adolph &amp; Berger, 200</w:t>
      </w:r>
      <w:r>
        <w:t xml:space="preserve">6), the proportion of time infants spent sitting decreased with age, and the proportion of time infants spent standing increased with infants’ age. As children got older, their locomotor abilities allowed them to become more independent. Both 8-month-olds </w:t>
      </w:r>
      <w:r>
        <w:t>and 12-month-olds spent relatively equivalent amounts of time lying/crawling (i.e., ‘prone’) which was markedly decreased in the 16-month-olds, who spent most of their time sitting or standing (see Figure ). We also observed changes in infants’ orientation</w:t>
      </w:r>
      <w:r>
        <w:t xml:space="preserve"> relative to their caregivers: the 8-month-olds spent more time with their caregiver behind them supporting their sitting positions than did children at other ages (see Figure ). However, we also saw considerable variability across children: some infants s</w:t>
      </w:r>
      <w:r>
        <w:t>pent almost their entire time sitting at a close distance from their caregiver, whereas others showed more considerable variability (see Figure ).</w:t>
      </w:r>
    </w:p>
    <w:p w:rsidR="00A754AC" w:rsidRDefault="001D34F6">
      <w:pPr>
        <w:pStyle w:val="Heading3"/>
        <w:framePr w:wrap="around"/>
      </w:pPr>
      <w:bookmarkStart w:id="14" w:name="changes-in-access-to-faces-and-hands"/>
      <w:bookmarkEnd w:id="14"/>
      <w:r>
        <w:lastRenderedPageBreak/>
        <w:t>Changes in access to faces and hands</w:t>
      </w:r>
    </w:p>
    <w:p w:rsidR="00A754AC" w:rsidRDefault="001D34F6">
      <w:pPr>
        <w:pStyle w:val="FirstParagraph"/>
      </w:pPr>
      <w:r>
        <w:t>First, we examined the proportion of face and hand detections as a funct</w:t>
      </w:r>
      <w:r>
        <w:t>ion of infants’ age without considering their posture (see Figure ). While faces tended to be in the field-of-view overall more often than hands, infants’ head-mounted cameras were angled slightly upward to capture the presence of faces, and hand detection</w:t>
      </w:r>
      <w:r>
        <w:t>s suffered from somewhat lower recall than face detections. We thus only considered differences in the relative proportion of faces or hands in view as a function of age, posture, and orientation, rather than comparing them directly. Overall, we did not ob</w:t>
      </w:r>
      <w:r>
        <w:t>serve strong age related trends from 8-16 months of age; if anything, face detections showed a slight u-shaped pattern, with 12-month-olds having slightly fewer faces in their visual field that 8- or 16-month-olds.</w:t>
      </w:r>
    </w:p>
    <w:p w:rsidR="00A754AC" w:rsidRDefault="001D34F6">
      <w:r>
        <w:rPr>
          <w:noProof/>
        </w:rPr>
        <w:drawing>
          <wp:inline distT="0" distB="0" distL="0" distR="0">
            <wp:extent cx="5969000" cy="2984500"/>
            <wp:effectExtent l="0" t="0" r="0" b="0"/>
            <wp:docPr id="5" name="Picture" descr="Figure 5: Proportion of faces (left) and wrists (right) detected by the OpenPose model as a function of child’s age. Larger dots indicate children who had longer play sessions and thus for whom there was more data."/>
            <wp:cNvGraphicFramePr/>
            <a:graphic xmlns:a="http://schemas.openxmlformats.org/drawingml/2006/main">
              <a:graphicData uri="http://schemas.openxmlformats.org/drawingml/2006/picture">
                <pic:pic xmlns:pic="http://schemas.openxmlformats.org/drawingml/2006/picture">
                  <pic:nvPicPr>
                    <pic:cNvPr id="0" name="Picture" descr="figs/detByAge-1.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rsidR="00A754AC" w:rsidRDefault="001D34F6">
      <w:pPr>
        <w:pStyle w:val="ImageCaption"/>
      </w:pPr>
      <w:r>
        <w:t>Figure 5: Proportion of faces (left) an</w:t>
      </w:r>
      <w:r>
        <w:t>d wrists (right) detected by the OpenPose model as a function of child’s age. Larger dots indicate children who had longer play sessions and thus for whom there was more data.</w:t>
      </w:r>
    </w:p>
    <w:p w:rsidR="00A754AC" w:rsidRDefault="001D34F6">
      <w:r>
        <w:rPr>
          <w:noProof/>
        </w:rPr>
        <w:lastRenderedPageBreak/>
        <w:drawing>
          <wp:inline distT="0" distB="0" distL="0" distR="0">
            <wp:extent cx="5969000" cy="4476750"/>
            <wp:effectExtent l="0" t="0" r="0" b="0"/>
            <wp:docPr id="6" name="Picture" descr="Figure 6: Proportion of face / wrist detections by children’s age, their posture, and their caregivers orientation. Data points are scaled by the amount of time spent in each orientation/posture combination; times when posture/orientation annotatinos were unavaliable or the infant was carried are not plotted. Error bars represent 95% bootstrapped confidence intervals"/>
            <wp:cNvGraphicFramePr/>
            <a:graphic xmlns:a="http://schemas.openxmlformats.org/drawingml/2006/main">
              <a:graphicData uri="http://schemas.openxmlformats.org/drawingml/2006/picture">
                <pic:pic xmlns:pic="http://schemas.openxmlformats.org/drawingml/2006/picture">
                  <pic:nvPicPr>
                    <pic:cNvPr id="0" name="Picture" descr="figs/detByPosOrient-1.png"/>
                    <pic:cNvPicPr>
                      <a:picLocks noChangeAspect="1" noChangeArrowheads="1"/>
                    </pic:cNvPicPr>
                  </pic:nvPicPr>
                  <pic:blipFill>
                    <a:blip r:embed="rId15"/>
                    <a:stretch>
                      <a:fillRect/>
                    </a:stretch>
                  </pic:blipFill>
                  <pic:spPr bwMode="auto">
                    <a:xfrm>
                      <a:off x="0" y="0"/>
                      <a:ext cx="5969000" cy="4476750"/>
                    </a:xfrm>
                    <a:prstGeom prst="rect">
                      <a:avLst/>
                    </a:prstGeom>
                    <a:noFill/>
                    <a:ln w="9525">
                      <a:noFill/>
                      <a:headEnd/>
                      <a:tailEnd/>
                    </a:ln>
                  </pic:spPr>
                </pic:pic>
              </a:graphicData>
            </a:graphic>
          </wp:inline>
        </w:drawing>
      </w:r>
    </w:p>
    <w:p w:rsidR="00A754AC" w:rsidRDefault="001D34F6">
      <w:pPr>
        <w:pStyle w:val="ImageCaption"/>
      </w:pPr>
      <w:r>
        <w:t>Figure 6: Proportion of face / wrist detections by children’s age, their postu</w:t>
      </w:r>
      <w:r>
        <w:t>re, and their caregivers orientation. Data points are scaled by the amount of time spent in each orientation/posture combination; times when posture/orientation annotatinos were unavaliable or the infant was carried are not plotted. Error bars represent 95</w:t>
      </w:r>
      <w:r>
        <w:t>% bootstrapped confidence intervals</w:t>
      </w:r>
    </w:p>
    <w:p w:rsidR="00A754AC" w:rsidRDefault="001D34F6">
      <w:pPr>
        <w:pStyle w:val="Compact"/>
      </w:pPr>
      <w:r>
        <w:t>Table 4:</w:t>
      </w:r>
    </w:p>
    <w:p w:rsidR="00A754AC" w:rsidRDefault="001D34F6">
      <w:pPr>
        <w:pStyle w:val="Compact"/>
      </w:pPr>
      <w:r>
        <w:rPr>
          <w:i/>
        </w:rPr>
        <w:t>Model coefficients from a generalized linear mixed models predicting the proportion of faces seen by infants.</w:t>
      </w:r>
    </w:p>
    <w:tbl>
      <w:tblPr>
        <w:tblW w:w="0" w:type="pct"/>
        <w:tblLook w:val="07E0" w:firstRow="1" w:lastRow="1" w:firstColumn="1" w:lastColumn="1" w:noHBand="1" w:noVBand="1"/>
      </w:tblPr>
      <w:tblGrid>
        <w:gridCol w:w="1476"/>
        <w:gridCol w:w="1056"/>
        <w:gridCol w:w="1163"/>
        <w:gridCol w:w="903"/>
        <w:gridCol w:w="928"/>
      </w:tblGrid>
      <w:tr w:rsidR="00A754AC">
        <w:tc>
          <w:tcPr>
            <w:tcW w:w="0" w:type="auto"/>
            <w:tcBorders>
              <w:bottom w:val="single" w:sz="0" w:space="0" w:color="auto"/>
            </w:tcBorders>
            <w:vAlign w:val="bottom"/>
          </w:tcPr>
          <w:p w:rsidR="00A754AC" w:rsidRDefault="00A754AC"/>
        </w:tc>
        <w:tc>
          <w:tcPr>
            <w:tcW w:w="0" w:type="auto"/>
            <w:tcBorders>
              <w:bottom w:val="single" w:sz="0" w:space="0" w:color="auto"/>
            </w:tcBorders>
            <w:vAlign w:val="bottom"/>
          </w:tcPr>
          <w:p w:rsidR="00A754AC" w:rsidRDefault="001D34F6">
            <w:pPr>
              <w:pStyle w:val="Compact"/>
            </w:pPr>
            <w:r>
              <w:t>Estimate</w:t>
            </w:r>
          </w:p>
        </w:tc>
        <w:tc>
          <w:tcPr>
            <w:tcW w:w="0" w:type="auto"/>
            <w:tcBorders>
              <w:bottom w:val="single" w:sz="0" w:space="0" w:color="auto"/>
            </w:tcBorders>
            <w:vAlign w:val="bottom"/>
          </w:tcPr>
          <w:p w:rsidR="00A754AC" w:rsidRDefault="001D34F6">
            <w:pPr>
              <w:pStyle w:val="Compact"/>
            </w:pPr>
            <w:r>
              <w:t>Std. Error</w:t>
            </w:r>
          </w:p>
        </w:tc>
        <w:tc>
          <w:tcPr>
            <w:tcW w:w="0" w:type="auto"/>
            <w:tcBorders>
              <w:bottom w:val="single" w:sz="0" w:space="0" w:color="auto"/>
            </w:tcBorders>
            <w:vAlign w:val="bottom"/>
          </w:tcPr>
          <w:p w:rsidR="00A754AC" w:rsidRDefault="001D34F6">
            <w:pPr>
              <w:pStyle w:val="Compact"/>
            </w:pPr>
            <w:r>
              <w:t>z value</w:t>
            </w:r>
          </w:p>
        </w:tc>
        <w:tc>
          <w:tcPr>
            <w:tcW w:w="0" w:type="auto"/>
            <w:tcBorders>
              <w:bottom w:val="single" w:sz="0" w:space="0" w:color="auto"/>
            </w:tcBorders>
            <w:vAlign w:val="bottom"/>
          </w:tcPr>
          <w:p w:rsidR="00A754AC" w:rsidRDefault="001D34F6">
            <w:pPr>
              <w:pStyle w:val="Compact"/>
            </w:pPr>
            <w:r>
              <w:t>Pr(&gt;|z|)</w:t>
            </w:r>
          </w:p>
        </w:tc>
      </w:tr>
      <w:tr w:rsidR="00A754AC">
        <w:tc>
          <w:tcPr>
            <w:tcW w:w="0" w:type="auto"/>
          </w:tcPr>
          <w:p w:rsidR="00A754AC" w:rsidRDefault="001D34F6">
            <w:pPr>
              <w:pStyle w:val="Compact"/>
            </w:pPr>
            <w:r>
              <w:t>Intercept</w:t>
            </w:r>
          </w:p>
        </w:tc>
        <w:tc>
          <w:tcPr>
            <w:tcW w:w="0" w:type="auto"/>
          </w:tcPr>
          <w:p w:rsidR="00A754AC" w:rsidRDefault="001D34F6">
            <w:pPr>
              <w:pStyle w:val="Compact"/>
            </w:pPr>
            <w:r>
              <w:t>-3.24</w:t>
            </w:r>
          </w:p>
        </w:tc>
        <w:tc>
          <w:tcPr>
            <w:tcW w:w="0" w:type="auto"/>
          </w:tcPr>
          <w:p w:rsidR="00A754AC" w:rsidRDefault="001D34F6">
            <w:pPr>
              <w:pStyle w:val="Compact"/>
            </w:pPr>
            <w:r>
              <w:t>0.20</w:t>
            </w:r>
          </w:p>
        </w:tc>
        <w:tc>
          <w:tcPr>
            <w:tcW w:w="0" w:type="auto"/>
          </w:tcPr>
          <w:p w:rsidR="00A754AC" w:rsidRDefault="001D34F6">
            <w:pPr>
              <w:pStyle w:val="Compact"/>
            </w:pPr>
            <w:r>
              <w:t>-16.37</w:t>
            </w:r>
          </w:p>
        </w:tc>
        <w:tc>
          <w:tcPr>
            <w:tcW w:w="0" w:type="auto"/>
          </w:tcPr>
          <w:p w:rsidR="00A754AC" w:rsidRDefault="001D34F6">
            <w:pPr>
              <w:pStyle w:val="Compact"/>
            </w:pPr>
            <w:r>
              <w:t>0.00</w:t>
            </w:r>
          </w:p>
        </w:tc>
      </w:tr>
      <w:tr w:rsidR="00A754AC">
        <w:tc>
          <w:tcPr>
            <w:tcW w:w="0" w:type="auto"/>
          </w:tcPr>
          <w:p w:rsidR="00A754AC" w:rsidRDefault="001D34F6">
            <w:pPr>
              <w:pStyle w:val="Compact"/>
            </w:pPr>
            <w:r>
              <w:lastRenderedPageBreak/>
              <w:t>Sit</w:t>
            </w:r>
          </w:p>
        </w:tc>
        <w:tc>
          <w:tcPr>
            <w:tcW w:w="0" w:type="auto"/>
          </w:tcPr>
          <w:p w:rsidR="00A754AC" w:rsidRDefault="001D34F6">
            <w:pPr>
              <w:pStyle w:val="Compact"/>
            </w:pPr>
            <w:r>
              <w:t>0.00</w:t>
            </w:r>
          </w:p>
        </w:tc>
        <w:tc>
          <w:tcPr>
            <w:tcW w:w="0" w:type="auto"/>
          </w:tcPr>
          <w:p w:rsidR="00A754AC" w:rsidRDefault="001D34F6">
            <w:pPr>
              <w:pStyle w:val="Compact"/>
            </w:pPr>
            <w:r>
              <w:t>0.19</w:t>
            </w:r>
          </w:p>
        </w:tc>
        <w:tc>
          <w:tcPr>
            <w:tcW w:w="0" w:type="auto"/>
          </w:tcPr>
          <w:p w:rsidR="00A754AC" w:rsidRDefault="001D34F6">
            <w:pPr>
              <w:pStyle w:val="Compact"/>
            </w:pPr>
            <w:r>
              <w:t>-0.02</w:t>
            </w:r>
          </w:p>
        </w:tc>
        <w:tc>
          <w:tcPr>
            <w:tcW w:w="0" w:type="auto"/>
          </w:tcPr>
          <w:p w:rsidR="00A754AC" w:rsidRDefault="001D34F6">
            <w:pPr>
              <w:pStyle w:val="Compact"/>
            </w:pPr>
            <w:r>
              <w:t>0.99</w:t>
            </w:r>
          </w:p>
        </w:tc>
      </w:tr>
      <w:tr w:rsidR="00A754AC">
        <w:tc>
          <w:tcPr>
            <w:tcW w:w="0" w:type="auto"/>
          </w:tcPr>
          <w:p w:rsidR="00A754AC" w:rsidRDefault="001D34F6">
            <w:pPr>
              <w:pStyle w:val="Compact"/>
            </w:pPr>
            <w:r>
              <w:t>Stand</w:t>
            </w:r>
          </w:p>
        </w:tc>
        <w:tc>
          <w:tcPr>
            <w:tcW w:w="0" w:type="auto"/>
          </w:tcPr>
          <w:p w:rsidR="00A754AC" w:rsidRDefault="001D34F6">
            <w:pPr>
              <w:pStyle w:val="Compact"/>
            </w:pPr>
            <w:r>
              <w:t>-0.29</w:t>
            </w:r>
          </w:p>
        </w:tc>
        <w:tc>
          <w:tcPr>
            <w:tcW w:w="0" w:type="auto"/>
          </w:tcPr>
          <w:p w:rsidR="00A754AC" w:rsidRDefault="001D34F6">
            <w:pPr>
              <w:pStyle w:val="Compact"/>
            </w:pPr>
            <w:r>
              <w:t>0.20</w:t>
            </w:r>
          </w:p>
        </w:tc>
        <w:tc>
          <w:tcPr>
            <w:tcW w:w="0" w:type="auto"/>
          </w:tcPr>
          <w:p w:rsidR="00A754AC" w:rsidRDefault="001D34F6">
            <w:pPr>
              <w:pStyle w:val="Compact"/>
            </w:pPr>
            <w:r>
              <w:t>-1.44</w:t>
            </w:r>
          </w:p>
        </w:tc>
        <w:tc>
          <w:tcPr>
            <w:tcW w:w="0" w:type="auto"/>
          </w:tcPr>
          <w:p w:rsidR="00A754AC" w:rsidRDefault="001D34F6">
            <w:pPr>
              <w:pStyle w:val="Compact"/>
            </w:pPr>
            <w:r>
              <w:t>0.15</w:t>
            </w:r>
          </w:p>
        </w:tc>
      </w:tr>
      <w:tr w:rsidR="00A754AC">
        <w:tc>
          <w:tcPr>
            <w:tcW w:w="0" w:type="auto"/>
          </w:tcPr>
          <w:p w:rsidR="00A754AC" w:rsidRDefault="001D34F6">
            <w:pPr>
              <w:pStyle w:val="Compact"/>
            </w:pPr>
            <w:r>
              <w:t>Close</w:t>
            </w:r>
          </w:p>
        </w:tc>
        <w:tc>
          <w:tcPr>
            <w:tcW w:w="0" w:type="auto"/>
          </w:tcPr>
          <w:p w:rsidR="00A754AC" w:rsidRDefault="001D34F6">
            <w:pPr>
              <w:pStyle w:val="Compact"/>
            </w:pPr>
            <w:r>
              <w:t>0.02</w:t>
            </w:r>
          </w:p>
        </w:tc>
        <w:tc>
          <w:tcPr>
            <w:tcW w:w="0" w:type="auto"/>
          </w:tcPr>
          <w:p w:rsidR="00A754AC" w:rsidRDefault="001D34F6">
            <w:pPr>
              <w:pStyle w:val="Compact"/>
            </w:pPr>
            <w:r>
              <w:t>0.18</w:t>
            </w:r>
          </w:p>
        </w:tc>
        <w:tc>
          <w:tcPr>
            <w:tcW w:w="0" w:type="auto"/>
          </w:tcPr>
          <w:p w:rsidR="00A754AC" w:rsidRDefault="001D34F6">
            <w:pPr>
              <w:pStyle w:val="Compact"/>
            </w:pPr>
            <w:r>
              <w:t>0.10</w:t>
            </w:r>
          </w:p>
        </w:tc>
        <w:tc>
          <w:tcPr>
            <w:tcW w:w="0" w:type="auto"/>
          </w:tcPr>
          <w:p w:rsidR="00A754AC" w:rsidRDefault="001D34F6">
            <w:pPr>
              <w:pStyle w:val="Compact"/>
            </w:pPr>
            <w:r>
              <w:t>0.92</w:t>
            </w:r>
          </w:p>
        </w:tc>
      </w:tr>
      <w:tr w:rsidR="00A754AC">
        <w:tc>
          <w:tcPr>
            <w:tcW w:w="0" w:type="auto"/>
          </w:tcPr>
          <w:p w:rsidR="00A754AC" w:rsidRDefault="001D34F6">
            <w:pPr>
              <w:pStyle w:val="Compact"/>
            </w:pPr>
            <w:r>
              <w:t>Far</w:t>
            </w:r>
          </w:p>
        </w:tc>
        <w:tc>
          <w:tcPr>
            <w:tcW w:w="0" w:type="auto"/>
          </w:tcPr>
          <w:p w:rsidR="00A754AC" w:rsidRDefault="001D34F6">
            <w:pPr>
              <w:pStyle w:val="Compact"/>
            </w:pPr>
            <w:r>
              <w:t>0.51</w:t>
            </w:r>
          </w:p>
        </w:tc>
        <w:tc>
          <w:tcPr>
            <w:tcW w:w="0" w:type="auto"/>
          </w:tcPr>
          <w:p w:rsidR="00A754AC" w:rsidRDefault="001D34F6">
            <w:pPr>
              <w:pStyle w:val="Compact"/>
            </w:pPr>
            <w:r>
              <w:t>0.25</w:t>
            </w:r>
          </w:p>
        </w:tc>
        <w:tc>
          <w:tcPr>
            <w:tcW w:w="0" w:type="auto"/>
          </w:tcPr>
          <w:p w:rsidR="00A754AC" w:rsidRDefault="001D34F6">
            <w:pPr>
              <w:pStyle w:val="Compact"/>
            </w:pPr>
            <w:r>
              <w:t>2.04</w:t>
            </w:r>
          </w:p>
        </w:tc>
        <w:tc>
          <w:tcPr>
            <w:tcW w:w="0" w:type="auto"/>
          </w:tcPr>
          <w:p w:rsidR="00A754AC" w:rsidRDefault="001D34F6">
            <w:pPr>
              <w:pStyle w:val="Compact"/>
            </w:pPr>
            <w:r>
              <w:t>0.04</w:t>
            </w:r>
          </w:p>
        </w:tc>
      </w:tr>
      <w:tr w:rsidR="00A754AC">
        <w:tc>
          <w:tcPr>
            <w:tcW w:w="0" w:type="auto"/>
          </w:tcPr>
          <w:p w:rsidR="00A754AC" w:rsidRDefault="001D34F6">
            <w:pPr>
              <w:pStyle w:val="Compact"/>
            </w:pPr>
            <w:r>
              <w:t>Age (Scaled)</w:t>
            </w:r>
          </w:p>
        </w:tc>
        <w:tc>
          <w:tcPr>
            <w:tcW w:w="0" w:type="auto"/>
          </w:tcPr>
          <w:p w:rsidR="00A754AC" w:rsidRDefault="001D34F6">
            <w:pPr>
              <w:pStyle w:val="Compact"/>
            </w:pPr>
            <w:r>
              <w:t>0.04</w:t>
            </w:r>
          </w:p>
        </w:tc>
        <w:tc>
          <w:tcPr>
            <w:tcW w:w="0" w:type="auto"/>
          </w:tcPr>
          <w:p w:rsidR="00A754AC" w:rsidRDefault="001D34F6">
            <w:pPr>
              <w:pStyle w:val="Compact"/>
            </w:pPr>
            <w:r>
              <w:t>0.11</w:t>
            </w:r>
          </w:p>
        </w:tc>
        <w:tc>
          <w:tcPr>
            <w:tcW w:w="0" w:type="auto"/>
          </w:tcPr>
          <w:p w:rsidR="00A754AC" w:rsidRDefault="001D34F6">
            <w:pPr>
              <w:pStyle w:val="Compact"/>
            </w:pPr>
            <w:r>
              <w:t>0.42</w:t>
            </w:r>
          </w:p>
        </w:tc>
        <w:tc>
          <w:tcPr>
            <w:tcW w:w="0" w:type="auto"/>
          </w:tcPr>
          <w:p w:rsidR="00A754AC" w:rsidRDefault="001D34F6">
            <w:pPr>
              <w:pStyle w:val="Compact"/>
            </w:pPr>
            <w:r>
              <w:t>0.67</w:t>
            </w:r>
          </w:p>
        </w:tc>
      </w:tr>
      <w:tr w:rsidR="00A754AC">
        <w:tc>
          <w:tcPr>
            <w:tcW w:w="0" w:type="auto"/>
          </w:tcPr>
          <w:p w:rsidR="00A754AC" w:rsidRDefault="001D34F6">
            <w:pPr>
              <w:pStyle w:val="Compact"/>
            </w:pPr>
            <w:r>
              <w:t>Sit*Close</w:t>
            </w:r>
          </w:p>
        </w:tc>
        <w:tc>
          <w:tcPr>
            <w:tcW w:w="0" w:type="auto"/>
          </w:tcPr>
          <w:p w:rsidR="00A754AC" w:rsidRDefault="001D34F6">
            <w:pPr>
              <w:pStyle w:val="Compact"/>
            </w:pPr>
            <w:r>
              <w:t>0.90</w:t>
            </w:r>
          </w:p>
        </w:tc>
        <w:tc>
          <w:tcPr>
            <w:tcW w:w="0" w:type="auto"/>
          </w:tcPr>
          <w:p w:rsidR="00A754AC" w:rsidRDefault="001D34F6">
            <w:pPr>
              <w:pStyle w:val="Compact"/>
            </w:pPr>
            <w:r>
              <w:t>0.07</w:t>
            </w:r>
          </w:p>
        </w:tc>
        <w:tc>
          <w:tcPr>
            <w:tcW w:w="0" w:type="auto"/>
          </w:tcPr>
          <w:p w:rsidR="00A754AC" w:rsidRDefault="001D34F6">
            <w:pPr>
              <w:pStyle w:val="Compact"/>
            </w:pPr>
            <w:r>
              <w:t>13.80</w:t>
            </w:r>
          </w:p>
        </w:tc>
        <w:tc>
          <w:tcPr>
            <w:tcW w:w="0" w:type="auto"/>
          </w:tcPr>
          <w:p w:rsidR="00A754AC" w:rsidRDefault="001D34F6">
            <w:pPr>
              <w:pStyle w:val="Compact"/>
            </w:pPr>
            <w:r>
              <w:t>0.00</w:t>
            </w:r>
          </w:p>
        </w:tc>
      </w:tr>
      <w:tr w:rsidR="00A754AC">
        <w:tc>
          <w:tcPr>
            <w:tcW w:w="0" w:type="auto"/>
          </w:tcPr>
          <w:p w:rsidR="00A754AC" w:rsidRDefault="001D34F6">
            <w:pPr>
              <w:pStyle w:val="Compact"/>
            </w:pPr>
            <w:r>
              <w:t>Stand*Close</w:t>
            </w:r>
          </w:p>
        </w:tc>
        <w:tc>
          <w:tcPr>
            <w:tcW w:w="0" w:type="auto"/>
          </w:tcPr>
          <w:p w:rsidR="00A754AC" w:rsidRDefault="001D34F6">
            <w:pPr>
              <w:pStyle w:val="Compact"/>
            </w:pPr>
            <w:r>
              <w:t>1.23</w:t>
            </w:r>
          </w:p>
        </w:tc>
        <w:tc>
          <w:tcPr>
            <w:tcW w:w="0" w:type="auto"/>
          </w:tcPr>
          <w:p w:rsidR="00A754AC" w:rsidRDefault="001D34F6">
            <w:pPr>
              <w:pStyle w:val="Compact"/>
            </w:pPr>
            <w:r>
              <w:t>0.08</w:t>
            </w:r>
          </w:p>
        </w:tc>
        <w:tc>
          <w:tcPr>
            <w:tcW w:w="0" w:type="auto"/>
          </w:tcPr>
          <w:p w:rsidR="00A754AC" w:rsidRDefault="001D34F6">
            <w:pPr>
              <w:pStyle w:val="Compact"/>
            </w:pPr>
            <w:r>
              <w:t>15.44</w:t>
            </w:r>
          </w:p>
        </w:tc>
        <w:tc>
          <w:tcPr>
            <w:tcW w:w="0" w:type="auto"/>
          </w:tcPr>
          <w:p w:rsidR="00A754AC" w:rsidRDefault="001D34F6">
            <w:pPr>
              <w:pStyle w:val="Compact"/>
            </w:pPr>
            <w:r>
              <w:t>0.00</w:t>
            </w:r>
          </w:p>
        </w:tc>
      </w:tr>
      <w:tr w:rsidR="00A754AC">
        <w:tc>
          <w:tcPr>
            <w:tcW w:w="0" w:type="auto"/>
          </w:tcPr>
          <w:p w:rsidR="00A754AC" w:rsidRDefault="001D34F6">
            <w:pPr>
              <w:pStyle w:val="Compact"/>
            </w:pPr>
            <w:r>
              <w:t>Sit*Far</w:t>
            </w:r>
          </w:p>
        </w:tc>
        <w:tc>
          <w:tcPr>
            <w:tcW w:w="0" w:type="auto"/>
          </w:tcPr>
          <w:p w:rsidR="00A754AC" w:rsidRDefault="001D34F6">
            <w:pPr>
              <w:pStyle w:val="Compact"/>
            </w:pPr>
            <w:r>
              <w:t>0.63</w:t>
            </w:r>
          </w:p>
        </w:tc>
        <w:tc>
          <w:tcPr>
            <w:tcW w:w="0" w:type="auto"/>
          </w:tcPr>
          <w:p w:rsidR="00A754AC" w:rsidRDefault="001D34F6">
            <w:pPr>
              <w:pStyle w:val="Compact"/>
            </w:pPr>
            <w:r>
              <w:t>0.07</w:t>
            </w:r>
          </w:p>
        </w:tc>
        <w:tc>
          <w:tcPr>
            <w:tcW w:w="0" w:type="auto"/>
          </w:tcPr>
          <w:p w:rsidR="00A754AC" w:rsidRDefault="001D34F6">
            <w:pPr>
              <w:pStyle w:val="Compact"/>
            </w:pPr>
            <w:r>
              <w:t>9.16</w:t>
            </w:r>
          </w:p>
        </w:tc>
        <w:tc>
          <w:tcPr>
            <w:tcW w:w="0" w:type="auto"/>
          </w:tcPr>
          <w:p w:rsidR="00A754AC" w:rsidRDefault="001D34F6">
            <w:pPr>
              <w:pStyle w:val="Compact"/>
            </w:pPr>
            <w:r>
              <w:t>0.00</w:t>
            </w:r>
          </w:p>
        </w:tc>
      </w:tr>
      <w:tr w:rsidR="00A754AC">
        <w:tc>
          <w:tcPr>
            <w:tcW w:w="0" w:type="auto"/>
          </w:tcPr>
          <w:p w:rsidR="00A754AC" w:rsidRDefault="001D34F6">
            <w:pPr>
              <w:pStyle w:val="Compact"/>
            </w:pPr>
            <w:r>
              <w:t>Stand*Far</w:t>
            </w:r>
          </w:p>
        </w:tc>
        <w:tc>
          <w:tcPr>
            <w:tcW w:w="0" w:type="auto"/>
          </w:tcPr>
          <w:p w:rsidR="00A754AC" w:rsidRDefault="001D34F6">
            <w:pPr>
              <w:pStyle w:val="Compact"/>
            </w:pPr>
            <w:r>
              <w:t>1.23</w:t>
            </w:r>
          </w:p>
        </w:tc>
        <w:tc>
          <w:tcPr>
            <w:tcW w:w="0" w:type="auto"/>
          </w:tcPr>
          <w:p w:rsidR="00A754AC" w:rsidRDefault="001D34F6">
            <w:pPr>
              <w:pStyle w:val="Compact"/>
            </w:pPr>
            <w:r>
              <w:t>0.09</w:t>
            </w:r>
          </w:p>
        </w:tc>
        <w:tc>
          <w:tcPr>
            <w:tcW w:w="0" w:type="auto"/>
          </w:tcPr>
          <w:p w:rsidR="00A754AC" w:rsidRDefault="001D34F6">
            <w:pPr>
              <w:pStyle w:val="Compact"/>
            </w:pPr>
            <w:r>
              <w:t>14.43</w:t>
            </w:r>
          </w:p>
        </w:tc>
        <w:tc>
          <w:tcPr>
            <w:tcW w:w="0" w:type="auto"/>
          </w:tcPr>
          <w:p w:rsidR="00A754AC" w:rsidRDefault="001D34F6">
            <w:pPr>
              <w:pStyle w:val="Compact"/>
            </w:pPr>
            <w:r>
              <w:t>0.00</w:t>
            </w:r>
          </w:p>
        </w:tc>
      </w:tr>
    </w:tbl>
    <w:p w:rsidR="00A754AC" w:rsidRDefault="001D34F6">
      <w:pPr>
        <w:pStyle w:val="Compact"/>
      </w:pPr>
      <w:r>
        <w:t>Table 5:</w:t>
      </w:r>
    </w:p>
    <w:p w:rsidR="00A754AC" w:rsidRDefault="001D34F6">
      <w:pPr>
        <w:pStyle w:val="Compact"/>
      </w:pPr>
      <w:r>
        <w:rPr>
          <w:i/>
        </w:rPr>
        <w:t>Model coefficients from a generalized linear mixed models predicting the proportion of wrists seen by infants.</w:t>
      </w:r>
    </w:p>
    <w:tbl>
      <w:tblPr>
        <w:tblW w:w="0" w:type="pct"/>
        <w:tblLook w:val="07E0" w:firstRow="1" w:lastRow="1" w:firstColumn="1" w:lastColumn="1" w:noHBand="1" w:noVBand="1"/>
      </w:tblPr>
      <w:tblGrid>
        <w:gridCol w:w="1476"/>
        <w:gridCol w:w="1056"/>
        <w:gridCol w:w="1163"/>
        <w:gridCol w:w="903"/>
        <w:gridCol w:w="928"/>
      </w:tblGrid>
      <w:tr w:rsidR="00A754AC">
        <w:tc>
          <w:tcPr>
            <w:tcW w:w="0" w:type="auto"/>
            <w:tcBorders>
              <w:bottom w:val="single" w:sz="0" w:space="0" w:color="auto"/>
            </w:tcBorders>
            <w:vAlign w:val="bottom"/>
          </w:tcPr>
          <w:p w:rsidR="00A754AC" w:rsidRDefault="00A754AC"/>
        </w:tc>
        <w:tc>
          <w:tcPr>
            <w:tcW w:w="0" w:type="auto"/>
            <w:tcBorders>
              <w:bottom w:val="single" w:sz="0" w:space="0" w:color="auto"/>
            </w:tcBorders>
            <w:vAlign w:val="bottom"/>
          </w:tcPr>
          <w:p w:rsidR="00A754AC" w:rsidRDefault="001D34F6">
            <w:pPr>
              <w:pStyle w:val="Compact"/>
            </w:pPr>
            <w:r>
              <w:t>Estimate</w:t>
            </w:r>
          </w:p>
        </w:tc>
        <w:tc>
          <w:tcPr>
            <w:tcW w:w="0" w:type="auto"/>
            <w:tcBorders>
              <w:bottom w:val="single" w:sz="0" w:space="0" w:color="auto"/>
            </w:tcBorders>
            <w:vAlign w:val="bottom"/>
          </w:tcPr>
          <w:p w:rsidR="00A754AC" w:rsidRDefault="001D34F6">
            <w:pPr>
              <w:pStyle w:val="Compact"/>
            </w:pPr>
            <w:r>
              <w:t>Std. Error</w:t>
            </w:r>
          </w:p>
        </w:tc>
        <w:tc>
          <w:tcPr>
            <w:tcW w:w="0" w:type="auto"/>
            <w:tcBorders>
              <w:bottom w:val="single" w:sz="0" w:space="0" w:color="auto"/>
            </w:tcBorders>
            <w:vAlign w:val="bottom"/>
          </w:tcPr>
          <w:p w:rsidR="00A754AC" w:rsidRDefault="001D34F6">
            <w:pPr>
              <w:pStyle w:val="Compact"/>
            </w:pPr>
            <w:r>
              <w:t>z value</w:t>
            </w:r>
          </w:p>
        </w:tc>
        <w:tc>
          <w:tcPr>
            <w:tcW w:w="0" w:type="auto"/>
            <w:tcBorders>
              <w:bottom w:val="single" w:sz="0" w:space="0" w:color="auto"/>
            </w:tcBorders>
            <w:vAlign w:val="bottom"/>
          </w:tcPr>
          <w:p w:rsidR="00A754AC" w:rsidRDefault="001D34F6">
            <w:pPr>
              <w:pStyle w:val="Compact"/>
            </w:pPr>
            <w:r>
              <w:t>Pr(&gt;|z|)</w:t>
            </w:r>
          </w:p>
        </w:tc>
      </w:tr>
      <w:tr w:rsidR="00A754AC">
        <w:tc>
          <w:tcPr>
            <w:tcW w:w="0" w:type="auto"/>
          </w:tcPr>
          <w:p w:rsidR="00A754AC" w:rsidRDefault="001D34F6">
            <w:pPr>
              <w:pStyle w:val="Compact"/>
            </w:pPr>
            <w:r>
              <w:t>Intercept</w:t>
            </w:r>
          </w:p>
        </w:tc>
        <w:tc>
          <w:tcPr>
            <w:tcW w:w="0" w:type="auto"/>
          </w:tcPr>
          <w:p w:rsidR="00A754AC" w:rsidRDefault="001D34F6">
            <w:pPr>
              <w:pStyle w:val="Compact"/>
            </w:pPr>
            <w:r>
              <w:t>-4.20</w:t>
            </w:r>
          </w:p>
        </w:tc>
        <w:tc>
          <w:tcPr>
            <w:tcW w:w="0" w:type="auto"/>
          </w:tcPr>
          <w:p w:rsidR="00A754AC" w:rsidRDefault="001D34F6">
            <w:pPr>
              <w:pStyle w:val="Compact"/>
            </w:pPr>
            <w:r>
              <w:t>0.20</w:t>
            </w:r>
          </w:p>
        </w:tc>
        <w:tc>
          <w:tcPr>
            <w:tcW w:w="0" w:type="auto"/>
          </w:tcPr>
          <w:p w:rsidR="00A754AC" w:rsidRDefault="001D34F6">
            <w:pPr>
              <w:pStyle w:val="Compact"/>
            </w:pPr>
            <w:r>
              <w:t>-21.48</w:t>
            </w:r>
          </w:p>
        </w:tc>
        <w:tc>
          <w:tcPr>
            <w:tcW w:w="0" w:type="auto"/>
          </w:tcPr>
          <w:p w:rsidR="00A754AC" w:rsidRDefault="001D34F6">
            <w:pPr>
              <w:pStyle w:val="Compact"/>
            </w:pPr>
            <w:r>
              <w:t>0.00</w:t>
            </w:r>
          </w:p>
        </w:tc>
      </w:tr>
      <w:tr w:rsidR="00A754AC">
        <w:tc>
          <w:tcPr>
            <w:tcW w:w="0" w:type="auto"/>
          </w:tcPr>
          <w:p w:rsidR="00A754AC" w:rsidRDefault="001D34F6">
            <w:pPr>
              <w:pStyle w:val="Compact"/>
            </w:pPr>
            <w:r>
              <w:t>Sit</w:t>
            </w:r>
          </w:p>
        </w:tc>
        <w:tc>
          <w:tcPr>
            <w:tcW w:w="0" w:type="auto"/>
          </w:tcPr>
          <w:p w:rsidR="00A754AC" w:rsidRDefault="001D34F6">
            <w:pPr>
              <w:pStyle w:val="Compact"/>
            </w:pPr>
            <w:r>
              <w:t>0.61</w:t>
            </w:r>
          </w:p>
        </w:tc>
        <w:tc>
          <w:tcPr>
            <w:tcW w:w="0" w:type="auto"/>
          </w:tcPr>
          <w:p w:rsidR="00A754AC" w:rsidRDefault="001D34F6">
            <w:pPr>
              <w:pStyle w:val="Compact"/>
            </w:pPr>
            <w:r>
              <w:t>0.18</w:t>
            </w:r>
          </w:p>
        </w:tc>
        <w:tc>
          <w:tcPr>
            <w:tcW w:w="0" w:type="auto"/>
          </w:tcPr>
          <w:p w:rsidR="00A754AC" w:rsidRDefault="001D34F6">
            <w:pPr>
              <w:pStyle w:val="Compact"/>
            </w:pPr>
            <w:r>
              <w:t>3.34</w:t>
            </w:r>
          </w:p>
        </w:tc>
        <w:tc>
          <w:tcPr>
            <w:tcW w:w="0" w:type="auto"/>
          </w:tcPr>
          <w:p w:rsidR="00A754AC" w:rsidRDefault="001D34F6">
            <w:pPr>
              <w:pStyle w:val="Compact"/>
            </w:pPr>
            <w:r>
              <w:t>0.00</w:t>
            </w:r>
          </w:p>
        </w:tc>
      </w:tr>
      <w:tr w:rsidR="00A754AC">
        <w:tc>
          <w:tcPr>
            <w:tcW w:w="0" w:type="auto"/>
          </w:tcPr>
          <w:p w:rsidR="00A754AC" w:rsidRDefault="001D34F6">
            <w:pPr>
              <w:pStyle w:val="Compact"/>
            </w:pPr>
            <w:r>
              <w:t>Stand</w:t>
            </w:r>
          </w:p>
        </w:tc>
        <w:tc>
          <w:tcPr>
            <w:tcW w:w="0" w:type="auto"/>
          </w:tcPr>
          <w:p w:rsidR="00A754AC" w:rsidRDefault="001D34F6">
            <w:pPr>
              <w:pStyle w:val="Compact"/>
            </w:pPr>
            <w:r>
              <w:t>0.80</w:t>
            </w:r>
          </w:p>
        </w:tc>
        <w:tc>
          <w:tcPr>
            <w:tcW w:w="0" w:type="auto"/>
          </w:tcPr>
          <w:p w:rsidR="00A754AC" w:rsidRDefault="001D34F6">
            <w:pPr>
              <w:pStyle w:val="Compact"/>
            </w:pPr>
            <w:r>
              <w:t>0.31</w:t>
            </w:r>
          </w:p>
        </w:tc>
        <w:tc>
          <w:tcPr>
            <w:tcW w:w="0" w:type="auto"/>
          </w:tcPr>
          <w:p w:rsidR="00A754AC" w:rsidRDefault="001D34F6">
            <w:pPr>
              <w:pStyle w:val="Compact"/>
            </w:pPr>
            <w:r>
              <w:t>2.56</w:t>
            </w:r>
          </w:p>
        </w:tc>
        <w:tc>
          <w:tcPr>
            <w:tcW w:w="0" w:type="auto"/>
          </w:tcPr>
          <w:p w:rsidR="00A754AC" w:rsidRDefault="001D34F6">
            <w:pPr>
              <w:pStyle w:val="Compact"/>
            </w:pPr>
            <w:r>
              <w:t>0.01</w:t>
            </w:r>
          </w:p>
        </w:tc>
      </w:tr>
      <w:tr w:rsidR="00A754AC">
        <w:tc>
          <w:tcPr>
            <w:tcW w:w="0" w:type="auto"/>
          </w:tcPr>
          <w:p w:rsidR="00A754AC" w:rsidRDefault="001D34F6">
            <w:pPr>
              <w:pStyle w:val="Compact"/>
            </w:pPr>
            <w:r>
              <w:t>Close</w:t>
            </w:r>
          </w:p>
        </w:tc>
        <w:tc>
          <w:tcPr>
            <w:tcW w:w="0" w:type="auto"/>
          </w:tcPr>
          <w:p w:rsidR="00A754AC" w:rsidRDefault="001D34F6">
            <w:pPr>
              <w:pStyle w:val="Compact"/>
            </w:pPr>
            <w:r>
              <w:t>0.37</w:t>
            </w:r>
          </w:p>
        </w:tc>
        <w:tc>
          <w:tcPr>
            <w:tcW w:w="0" w:type="auto"/>
          </w:tcPr>
          <w:p w:rsidR="00A754AC" w:rsidRDefault="001D34F6">
            <w:pPr>
              <w:pStyle w:val="Compact"/>
            </w:pPr>
            <w:r>
              <w:t>0.20</w:t>
            </w:r>
          </w:p>
        </w:tc>
        <w:tc>
          <w:tcPr>
            <w:tcW w:w="0" w:type="auto"/>
          </w:tcPr>
          <w:p w:rsidR="00A754AC" w:rsidRDefault="001D34F6">
            <w:pPr>
              <w:pStyle w:val="Compact"/>
            </w:pPr>
            <w:r>
              <w:t>1.87</w:t>
            </w:r>
          </w:p>
        </w:tc>
        <w:tc>
          <w:tcPr>
            <w:tcW w:w="0" w:type="auto"/>
          </w:tcPr>
          <w:p w:rsidR="00A754AC" w:rsidRDefault="001D34F6">
            <w:pPr>
              <w:pStyle w:val="Compact"/>
            </w:pPr>
            <w:r>
              <w:t>0.06</w:t>
            </w:r>
          </w:p>
        </w:tc>
      </w:tr>
      <w:tr w:rsidR="00A754AC">
        <w:tc>
          <w:tcPr>
            <w:tcW w:w="0" w:type="auto"/>
          </w:tcPr>
          <w:p w:rsidR="00A754AC" w:rsidRDefault="001D34F6">
            <w:pPr>
              <w:pStyle w:val="Compact"/>
            </w:pPr>
            <w:r>
              <w:t>Far</w:t>
            </w:r>
          </w:p>
        </w:tc>
        <w:tc>
          <w:tcPr>
            <w:tcW w:w="0" w:type="auto"/>
          </w:tcPr>
          <w:p w:rsidR="00A754AC" w:rsidRDefault="001D34F6">
            <w:pPr>
              <w:pStyle w:val="Compact"/>
            </w:pPr>
            <w:r>
              <w:t>0.01</w:t>
            </w:r>
          </w:p>
        </w:tc>
        <w:tc>
          <w:tcPr>
            <w:tcW w:w="0" w:type="auto"/>
          </w:tcPr>
          <w:p w:rsidR="00A754AC" w:rsidRDefault="001D34F6">
            <w:pPr>
              <w:pStyle w:val="Compact"/>
            </w:pPr>
            <w:r>
              <w:t>0.27</w:t>
            </w:r>
          </w:p>
        </w:tc>
        <w:tc>
          <w:tcPr>
            <w:tcW w:w="0" w:type="auto"/>
          </w:tcPr>
          <w:p w:rsidR="00A754AC" w:rsidRDefault="001D34F6">
            <w:pPr>
              <w:pStyle w:val="Compact"/>
            </w:pPr>
            <w:r>
              <w:t>0.05</w:t>
            </w:r>
          </w:p>
        </w:tc>
        <w:tc>
          <w:tcPr>
            <w:tcW w:w="0" w:type="auto"/>
          </w:tcPr>
          <w:p w:rsidR="00A754AC" w:rsidRDefault="001D34F6">
            <w:pPr>
              <w:pStyle w:val="Compact"/>
            </w:pPr>
            <w:r>
              <w:t>0.96</w:t>
            </w:r>
          </w:p>
        </w:tc>
      </w:tr>
      <w:tr w:rsidR="00A754AC">
        <w:tc>
          <w:tcPr>
            <w:tcW w:w="0" w:type="auto"/>
          </w:tcPr>
          <w:p w:rsidR="00A754AC" w:rsidRDefault="001D34F6">
            <w:pPr>
              <w:pStyle w:val="Compact"/>
            </w:pPr>
            <w:r>
              <w:t>Age (Scaled)</w:t>
            </w:r>
          </w:p>
        </w:tc>
        <w:tc>
          <w:tcPr>
            <w:tcW w:w="0" w:type="auto"/>
          </w:tcPr>
          <w:p w:rsidR="00A754AC" w:rsidRDefault="001D34F6">
            <w:pPr>
              <w:pStyle w:val="Compact"/>
            </w:pPr>
            <w:r>
              <w:t>0.09</w:t>
            </w:r>
          </w:p>
        </w:tc>
        <w:tc>
          <w:tcPr>
            <w:tcW w:w="0" w:type="auto"/>
          </w:tcPr>
          <w:p w:rsidR="00A754AC" w:rsidRDefault="001D34F6">
            <w:pPr>
              <w:pStyle w:val="Compact"/>
            </w:pPr>
            <w:r>
              <w:t>0.11</w:t>
            </w:r>
          </w:p>
        </w:tc>
        <w:tc>
          <w:tcPr>
            <w:tcW w:w="0" w:type="auto"/>
          </w:tcPr>
          <w:p w:rsidR="00A754AC" w:rsidRDefault="001D34F6">
            <w:pPr>
              <w:pStyle w:val="Compact"/>
            </w:pPr>
            <w:r>
              <w:t>0.86</w:t>
            </w:r>
          </w:p>
        </w:tc>
        <w:tc>
          <w:tcPr>
            <w:tcW w:w="0" w:type="auto"/>
          </w:tcPr>
          <w:p w:rsidR="00A754AC" w:rsidRDefault="001D34F6">
            <w:pPr>
              <w:pStyle w:val="Compact"/>
            </w:pPr>
            <w:r>
              <w:t>0.39</w:t>
            </w:r>
          </w:p>
        </w:tc>
      </w:tr>
      <w:tr w:rsidR="00A754AC">
        <w:tc>
          <w:tcPr>
            <w:tcW w:w="0" w:type="auto"/>
          </w:tcPr>
          <w:p w:rsidR="00A754AC" w:rsidRDefault="001D34F6">
            <w:pPr>
              <w:pStyle w:val="Compact"/>
            </w:pPr>
            <w:r>
              <w:t>Sit*Close</w:t>
            </w:r>
          </w:p>
        </w:tc>
        <w:tc>
          <w:tcPr>
            <w:tcW w:w="0" w:type="auto"/>
          </w:tcPr>
          <w:p w:rsidR="00A754AC" w:rsidRDefault="001D34F6">
            <w:pPr>
              <w:pStyle w:val="Compact"/>
            </w:pPr>
            <w:r>
              <w:t>0.27</w:t>
            </w:r>
          </w:p>
        </w:tc>
        <w:tc>
          <w:tcPr>
            <w:tcW w:w="0" w:type="auto"/>
          </w:tcPr>
          <w:p w:rsidR="00A754AC" w:rsidRDefault="001D34F6">
            <w:pPr>
              <w:pStyle w:val="Compact"/>
            </w:pPr>
            <w:r>
              <w:t>0.08</w:t>
            </w:r>
          </w:p>
        </w:tc>
        <w:tc>
          <w:tcPr>
            <w:tcW w:w="0" w:type="auto"/>
          </w:tcPr>
          <w:p w:rsidR="00A754AC" w:rsidRDefault="001D34F6">
            <w:pPr>
              <w:pStyle w:val="Compact"/>
            </w:pPr>
            <w:r>
              <w:t>3.35</w:t>
            </w:r>
          </w:p>
        </w:tc>
        <w:tc>
          <w:tcPr>
            <w:tcW w:w="0" w:type="auto"/>
          </w:tcPr>
          <w:p w:rsidR="00A754AC" w:rsidRDefault="001D34F6">
            <w:pPr>
              <w:pStyle w:val="Compact"/>
            </w:pPr>
            <w:r>
              <w:t>0.00</w:t>
            </w:r>
          </w:p>
        </w:tc>
      </w:tr>
      <w:tr w:rsidR="00A754AC">
        <w:tc>
          <w:tcPr>
            <w:tcW w:w="0" w:type="auto"/>
          </w:tcPr>
          <w:p w:rsidR="00A754AC" w:rsidRDefault="001D34F6">
            <w:pPr>
              <w:pStyle w:val="Compact"/>
            </w:pPr>
            <w:r>
              <w:t>Stand*Close</w:t>
            </w:r>
          </w:p>
        </w:tc>
        <w:tc>
          <w:tcPr>
            <w:tcW w:w="0" w:type="auto"/>
          </w:tcPr>
          <w:p w:rsidR="00A754AC" w:rsidRDefault="001D34F6">
            <w:pPr>
              <w:pStyle w:val="Compact"/>
            </w:pPr>
            <w:r>
              <w:t>0.53</w:t>
            </w:r>
          </w:p>
        </w:tc>
        <w:tc>
          <w:tcPr>
            <w:tcW w:w="0" w:type="auto"/>
          </w:tcPr>
          <w:p w:rsidR="00A754AC" w:rsidRDefault="001D34F6">
            <w:pPr>
              <w:pStyle w:val="Compact"/>
            </w:pPr>
            <w:r>
              <w:t>0.09</w:t>
            </w:r>
          </w:p>
        </w:tc>
        <w:tc>
          <w:tcPr>
            <w:tcW w:w="0" w:type="auto"/>
          </w:tcPr>
          <w:p w:rsidR="00A754AC" w:rsidRDefault="001D34F6">
            <w:pPr>
              <w:pStyle w:val="Compact"/>
            </w:pPr>
            <w:r>
              <w:t>6.07</w:t>
            </w:r>
          </w:p>
        </w:tc>
        <w:tc>
          <w:tcPr>
            <w:tcW w:w="0" w:type="auto"/>
          </w:tcPr>
          <w:p w:rsidR="00A754AC" w:rsidRDefault="001D34F6">
            <w:pPr>
              <w:pStyle w:val="Compact"/>
            </w:pPr>
            <w:r>
              <w:t>0.00</w:t>
            </w:r>
          </w:p>
        </w:tc>
      </w:tr>
      <w:tr w:rsidR="00A754AC">
        <w:tc>
          <w:tcPr>
            <w:tcW w:w="0" w:type="auto"/>
          </w:tcPr>
          <w:p w:rsidR="00A754AC" w:rsidRDefault="001D34F6">
            <w:pPr>
              <w:pStyle w:val="Compact"/>
            </w:pPr>
            <w:r>
              <w:lastRenderedPageBreak/>
              <w:t>Sit*Far</w:t>
            </w:r>
          </w:p>
        </w:tc>
        <w:tc>
          <w:tcPr>
            <w:tcW w:w="0" w:type="auto"/>
          </w:tcPr>
          <w:p w:rsidR="00A754AC" w:rsidRDefault="001D34F6">
            <w:pPr>
              <w:pStyle w:val="Compact"/>
            </w:pPr>
            <w:r>
              <w:t>0.09</w:t>
            </w:r>
          </w:p>
        </w:tc>
        <w:tc>
          <w:tcPr>
            <w:tcW w:w="0" w:type="auto"/>
          </w:tcPr>
          <w:p w:rsidR="00A754AC" w:rsidRDefault="001D34F6">
            <w:pPr>
              <w:pStyle w:val="Compact"/>
            </w:pPr>
            <w:r>
              <w:t>0.11</w:t>
            </w:r>
          </w:p>
        </w:tc>
        <w:tc>
          <w:tcPr>
            <w:tcW w:w="0" w:type="auto"/>
          </w:tcPr>
          <w:p w:rsidR="00A754AC" w:rsidRDefault="001D34F6">
            <w:pPr>
              <w:pStyle w:val="Compact"/>
            </w:pPr>
            <w:r>
              <w:t>0.86</w:t>
            </w:r>
          </w:p>
        </w:tc>
        <w:tc>
          <w:tcPr>
            <w:tcW w:w="0" w:type="auto"/>
          </w:tcPr>
          <w:p w:rsidR="00A754AC" w:rsidRDefault="001D34F6">
            <w:pPr>
              <w:pStyle w:val="Compact"/>
            </w:pPr>
            <w:r>
              <w:t>0.39</w:t>
            </w:r>
          </w:p>
        </w:tc>
      </w:tr>
      <w:tr w:rsidR="00A754AC">
        <w:tc>
          <w:tcPr>
            <w:tcW w:w="0" w:type="auto"/>
          </w:tcPr>
          <w:p w:rsidR="00A754AC" w:rsidRDefault="001D34F6">
            <w:pPr>
              <w:pStyle w:val="Compact"/>
            </w:pPr>
            <w:r>
              <w:t>Stand*Far</w:t>
            </w:r>
          </w:p>
        </w:tc>
        <w:tc>
          <w:tcPr>
            <w:tcW w:w="0" w:type="auto"/>
          </w:tcPr>
          <w:p w:rsidR="00A754AC" w:rsidRDefault="001D34F6">
            <w:pPr>
              <w:pStyle w:val="Compact"/>
            </w:pPr>
            <w:r>
              <w:t>1.57</w:t>
            </w:r>
          </w:p>
        </w:tc>
        <w:tc>
          <w:tcPr>
            <w:tcW w:w="0" w:type="auto"/>
          </w:tcPr>
          <w:p w:rsidR="00A754AC" w:rsidRDefault="001D34F6">
            <w:pPr>
              <w:pStyle w:val="Compact"/>
            </w:pPr>
            <w:r>
              <w:t>0.11</w:t>
            </w:r>
          </w:p>
        </w:tc>
        <w:tc>
          <w:tcPr>
            <w:tcW w:w="0" w:type="auto"/>
          </w:tcPr>
          <w:p w:rsidR="00A754AC" w:rsidRDefault="001D34F6">
            <w:pPr>
              <w:pStyle w:val="Compact"/>
            </w:pPr>
            <w:r>
              <w:t>14.16</w:t>
            </w:r>
          </w:p>
        </w:tc>
        <w:tc>
          <w:tcPr>
            <w:tcW w:w="0" w:type="auto"/>
          </w:tcPr>
          <w:p w:rsidR="00A754AC" w:rsidRDefault="001D34F6">
            <w:pPr>
              <w:pStyle w:val="Compact"/>
            </w:pPr>
            <w:r>
              <w:t>0.00</w:t>
            </w:r>
          </w:p>
        </w:tc>
      </w:tr>
    </w:tbl>
    <w:p w:rsidR="00A754AC" w:rsidRDefault="001D34F6">
      <w:pPr>
        <w:pStyle w:val="BodyText"/>
      </w:pPr>
      <w:r>
        <w:t>In contrast, infant’s locomotor developments had a major effect on the faces and hands that were in the field of view (see Figure ). Two generalized linear mixed-effect models were used to predict the proportion of faces and hands in view, with orientation</w:t>
      </w:r>
      <w:r>
        <w:t>, posture, their interaction, and scaled participant’s age as fixed effects, and with random slopes for infants’ orientation and posture (see all coefficients in Tables 4 and 5). In particular, the interaction between infants’ posture and their caregiver’s</w:t>
      </w:r>
      <w:r>
        <w:t xml:space="preserve"> orientation had the most dramatic effect on the social information in view. When caregivers were behind their infants, supporting their infants’ sitting or standing positions, infants saw fewer faces. When caregivers were relatively close to their infants</w:t>
      </w:r>
      <w:r>
        <w:t>, infants who were sitting or standing had more faces in view (Face detections; infant sitting and caregiver (CG) close, b = 0.90, SE = 0.07, Z = 13.80, P &lt; 0.001; infant standing and CG close, b = 1.23, SE = 0.08, Z = 15.44, P &lt; 0.001) than infants who we</w:t>
      </w:r>
      <w:r>
        <w:t xml:space="preserve">re lying down/crawling (i.e. prone). When caregivers were far away from their infants, face detections were similarity higher (Face detections; infant sitting and CG far, b = 0.63, SE = 0.07, Z = 9.16, P &lt; 0.001; infant standing and CG far, b = 1.23, SE = </w:t>
      </w:r>
      <w:r>
        <w:t>0.09, Z = 14.43,P &lt; 0.001). Infants’ age was not significant predictor in accounting for the faces in view (Face detections; Age (scaled), b = 0.04, SE = 0.11, Z = 0.42, P = 0.671).</w:t>
      </w:r>
    </w:p>
    <w:p w:rsidR="00A754AC" w:rsidRDefault="001D34F6">
      <w:pPr>
        <w:pStyle w:val="BodyText"/>
      </w:pPr>
      <w:r>
        <w:t>We found a similar pattern of results for wrist detections, even though th</w:t>
      </w:r>
      <w:r>
        <w:t>ere were fewer wrist detections overall in the dataset. Infants saw fewer wrists when caregivers were behind their infants, supporting their infants’ sitting or standing positions vs when caregivers were relatively closer to their infants (Hand detections;</w:t>
      </w:r>
      <w:r>
        <w:t xml:space="preserve"> infant sitting and CG close, b=0.27, SE = 0.08, Z = 3.35, P &lt; 0.001; infant standing and CG close, b=0.53, SE = 0.09, Z = 6.07, P &lt; 0.001) than infants </w:t>
      </w:r>
      <w:r>
        <w:lastRenderedPageBreak/>
        <w:t xml:space="preserve">who were lying down/crawling (i.e. prone). Wrist detections were highest when caregivers were far away </w:t>
      </w:r>
      <w:r>
        <w:t>from their infants and those infants were standing (Wrist detections; infant standing and CG far, b = 1.57, SE = 0.11, Z = 14.16, P &lt; 0.001). As with faces, age was not a significant predictor in these models (Wrist detections; Age (scaled), b = 0.09, SE =</w:t>
      </w:r>
      <w:r>
        <w:t xml:space="preserve"> 0.11, Z = 0.86, P = 0.390).</w:t>
      </w:r>
    </w:p>
    <w:p w:rsidR="00A754AC" w:rsidRDefault="001D34F6">
      <w:pPr>
        <w:pStyle w:val="BodyText"/>
      </w:pPr>
      <w:r>
        <w:t>We directly examined the contributions of posture and orientation vs. age by fitting a reduced version of the full model (Nakagawa &amp; Schielzeth, 2013) without their fixed effects (both models were run with the maximal random ef</w:t>
      </w:r>
      <w:r>
        <w:t xml:space="preserve">fects structure), and comparing model fits for each of these. The fixed effects in a model with only the age of the participants accounted for relatively little variance in the proportion of faces (marginal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&lt; 0.01) or hands in view (marginal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w:t>
      </w:r>
      <w:r>
        <w:t xml:space="preserve">). However, when adding infants’ posture and orientation to their caregiver to the model (and their interaction) the marginal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were higher for both faces (marginal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0.25) and wrists (marginal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0.26). Overall, these results suggest that infants</w:t>
      </w:r>
      <w:r>
        <w:t>’ visual access to social information is largely modulated by their posture and orientation to their caregiver, which is in turn a function of their general locomotor development.</w:t>
      </w:r>
    </w:p>
    <w:p w:rsidR="00A754AC" w:rsidRDefault="001D34F6">
      <w:pPr>
        <w:pStyle w:val="Heading3"/>
        <w:framePr w:wrap="around"/>
      </w:pPr>
      <w:bookmarkStart w:id="15" w:name="social-information-during-naming-events"/>
      <w:bookmarkEnd w:id="15"/>
      <w:r>
        <w:t>Social information during naming events</w:t>
      </w:r>
    </w:p>
    <w:p w:rsidR="00A754AC" w:rsidRDefault="001D34F6">
      <w:pPr>
        <w:pStyle w:val="FirstParagraph"/>
      </w:pPr>
      <w:r>
        <w:t>Our play session was designed to provide parents with opportunities to label objects – both familiar and novel – such that we could examine whether children saw different kinds of social information around naming eve</w:t>
      </w:r>
      <w:r>
        <w:t>nts. In a set of exploratory analyses, we thus analyzed how face and hand detections changed during object naming events relative to baseline. We analyzed a four-second window (+/- 2 seconds) each time a caregiver uttered a name for one of the objects (e.g</w:t>
      </w:r>
      <w:r>
        <w:t xml:space="preserve">., “Look at the [zem]!”); this time window was chosen in keeping with previous work suggesting that parents attend to their target referents during this time range (Trueswell et al., 2016). Every utterance of one of the objects </w:t>
      </w:r>
      <w:r>
        <w:lastRenderedPageBreak/>
        <w:t>(e.g., ‘ball’) was counted a</w:t>
      </w:r>
      <w:r>
        <w:t>s a ‘naming event’; timestamps of the beginning of each word were hand-annotated and synchronized with the frame-by-frame detections.</w:t>
      </w:r>
    </w:p>
    <w:p w:rsidR="00A754AC" w:rsidRDefault="001D34F6">
      <w:pPr>
        <w:pStyle w:val="BodyText"/>
      </w:pPr>
      <w:r>
        <w:t>To assess whether there were differences in the social information in view during naming events, we first calculated the p</w:t>
      </w:r>
      <w:r>
        <w:t>roportion of detections that were in view during this four second window, and averaged across naming events for each subject as function of whether the named object as a novel or a familiar objet; this was then then compared to the baseline proportion of f</w:t>
      </w:r>
      <w:r>
        <w:t>aces in view for each subject in linear mixed-effect models, with random effects of subjects and fixed effects of (scaled) age.</w:t>
      </w:r>
    </w:p>
    <w:p w:rsidR="00A754AC" w:rsidRDefault="001D34F6">
      <w:pPr>
        <w:pStyle w:val="BodyText"/>
      </w:pPr>
      <w:r>
        <w:t>Face detections were not higher around these novel naming events relative to baseline, with similar effects across age groups (8</w:t>
      </w:r>
      <w:r>
        <w:t xml:space="preserve"> m.o., </w:t>
      </w:r>
      <m:oMath>
        <m:sSub>
          <m:sSubPr>
            <m:ctrlPr>
              <w:rPr>
                <w:rFonts w:ascii="Cambria Math" w:hAnsi="Cambria Math"/>
              </w:rPr>
            </m:ctrlPr>
          </m:sSubPr>
          <m:e>
            <m:r>
              <w:rPr>
                <w:rFonts w:ascii="Cambria Math" w:hAnsi="Cambria Math"/>
              </w:rPr>
              <m:t>M</m:t>
            </m:r>
          </m:e>
          <m:sub>
            <m:r>
              <w:rPr>
                <w:rFonts w:ascii="Cambria Math" w:hAnsi="Cambria Math"/>
              </w:rPr>
              <m:t>fam</m:t>
            </m:r>
            <m:r>
              <w:rPr>
                <w:rFonts w:ascii="Cambria Math" w:hAnsi="Cambria Math"/>
              </w:rPr>
              <m:t>-</m:t>
            </m:r>
            <m:r>
              <w:rPr>
                <w:rFonts w:ascii="Cambria Math" w:hAnsi="Cambria Math"/>
              </w:rPr>
              <m:t>baseline</m:t>
            </m:r>
          </m:sub>
        </m:sSub>
      </m:oMath>
      <w:r>
        <w:t xml:space="preserve"> = 0.01, 12 m.o., </w:t>
      </w:r>
      <m:oMath>
        <m:sSub>
          <m:sSubPr>
            <m:ctrlPr>
              <w:rPr>
                <w:rFonts w:ascii="Cambria Math" w:hAnsi="Cambria Math"/>
              </w:rPr>
            </m:ctrlPr>
          </m:sSubPr>
          <m:e>
            <m:r>
              <w:rPr>
                <w:rFonts w:ascii="Cambria Math" w:hAnsi="Cambria Math"/>
              </w:rPr>
              <m:t>M</m:t>
            </m:r>
          </m:e>
          <m:sub>
            <m:r>
              <w:rPr>
                <w:rFonts w:ascii="Cambria Math" w:hAnsi="Cambria Math"/>
              </w:rPr>
              <m:t>nov</m:t>
            </m:r>
            <m:r>
              <w:rPr>
                <w:rFonts w:ascii="Cambria Math" w:hAnsi="Cambria Math"/>
              </w:rPr>
              <m:t>-</m:t>
            </m:r>
            <m:r>
              <w:rPr>
                <w:rFonts w:ascii="Cambria Math" w:hAnsi="Cambria Math"/>
              </w:rPr>
              <m:t>baseline</m:t>
            </m:r>
          </m:sub>
        </m:sSub>
      </m:oMath>
      <w:r>
        <w:t xml:space="preserve"> = 0.04, 16 m.o. </w:t>
      </w:r>
      <m:oMath>
        <m:sSub>
          <m:sSubPr>
            <m:ctrlPr>
              <w:rPr>
                <w:rFonts w:ascii="Cambria Math" w:hAnsi="Cambria Math"/>
              </w:rPr>
            </m:ctrlPr>
          </m:sSubPr>
          <m:e>
            <m:r>
              <w:rPr>
                <w:rFonts w:ascii="Cambria Math" w:hAnsi="Cambria Math"/>
              </w:rPr>
              <m:t>M</m:t>
            </m:r>
          </m:e>
          <m:sub>
            <m:r>
              <w:rPr>
                <w:rFonts w:ascii="Cambria Math" w:hAnsi="Cambria Math"/>
              </w:rPr>
              <m:t>nov</m:t>
            </m:r>
            <m:r>
              <w:rPr>
                <w:rFonts w:ascii="Cambria Math" w:hAnsi="Cambria Math"/>
              </w:rPr>
              <m:t>-</m:t>
            </m:r>
            <m:r>
              <w:rPr>
                <w:rFonts w:ascii="Cambria Math" w:hAnsi="Cambria Math"/>
              </w:rPr>
              <m:t>baseline</m:t>
            </m:r>
          </m:sub>
        </m:sSub>
      </m:oMath>
      <w:r>
        <w:t xml:space="preserve"> = 0.02) nor during familiar naming events vs. baseline (8 m.o., </w:t>
      </w:r>
      <m:oMath>
        <m:sSub>
          <m:sSubPr>
            <m:ctrlPr>
              <w:rPr>
                <w:rFonts w:ascii="Cambria Math" w:hAnsi="Cambria Math"/>
              </w:rPr>
            </m:ctrlPr>
          </m:sSubPr>
          <m:e>
            <m:r>
              <w:rPr>
                <w:rFonts w:ascii="Cambria Math" w:hAnsi="Cambria Math"/>
              </w:rPr>
              <m:t>M</m:t>
            </m:r>
          </m:e>
          <m:sub>
            <m:r>
              <w:rPr>
                <w:rFonts w:ascii="Cambria Math" w:hAnsi="Cambria Math"/>
              </w:rPr>
              <m:t>fam</m:t>
            </m:r>
            <m:r>
              <w:rPr>
                <w:rFonts w:ascii="Cambria Math" w:hAnsi="Cambria Math"/>
              </w:rPr>
              <m:t>-</m:t>
            </m:r>
            <m:r>
              <w:rPr>
                <w:rFonts w:ascii="Cambria Math" w:hAnsi="Cambria Math"/>
              </w:rPr>
              <m:t>baseline</m:t>
            </m:r>
          </m:sub>
        </m:sSub>
      </m:oMath>
      <w:r>
        <w:t xml:space="preserve"> =0.00, 12 m.o., </w:t>
      </w:r>
      <m:oMath>
        <m:sSub>
          <m:sSubPr>
            <m:ctrlPr>
              <w:rPr>
                <w:rFonts w:ascii="Cambria Math" w:hAnsi="Cambria Math"/>
              </w:rPr>
            </m:ctrlPr>
          </m:sSubPr>
          <m:e>
            <m:r>
              <w:rPr>
                <w:rFonts w:ascii="Cambria Math" w:hAnsi="Cambria Math"/>
              </w:rPr>
              <m:t>M</m:t>
            </m:r>
          </m:e>
          <m:sub>
            <m:r>
              <w:rPr>
                <w:rFonts w:ascii="Cambria Math" w:hAnsi="Cambria Math"/>
              </w:rPr>
              <m:t>fam</m:t>
            </m:r>
            <m:r>
              <w:rPr>
                <w:rFonts w:ascii="Cambria Math" w:hAnsi="Cambria Math"/>
              </w:rPr>
              <m:t>-</m:t>
            </m:r>
            <m:r>
              <w:rPr>
                <w:rFonts w:ascii="Cambria Math" w:hAnsi="Cambria Math"/>
              </w:rPr>
              <m:t>baseline</m:t>
            </m:r>
          </m:sub>
        </m:sSub>
      </m:oMath>
      <w:r>
        <w:t xml:space="preserve"> = 0.00</w:t>
      </w:r>
      <w:r>
        <w:t xml:space="preserve">, 16 m.o. </w:t>
      </w:r>
      <m:oMath>
        <m:sSub>
          <m:sSubPr>
            <m:ctrlPr>
              <w:rPr>
                <w:rFonts w:ascii="Cambria Math" w:hAnsi="Cambria Math"/>
              </w:rPr>
            </m:ctrlPr>
          </m:sSubPr>
          <m:e>
            <m:r>
              <w:rPr>
                <w:rFonts w:ascii="Cambria Math" w:hAnsi="Cambria Math"/>
              </w:rPr>
              <m:t>M</m:t>
            </m:r>
          </m:e>
          <m:sub>
            <m:r>
              <w:rPr>
                <w:rFonts w:ascii="Cambria Math" w:hAnsi="Cambria Math"/>
              </w:rPr>
              <m:t>fam</m:t>
            </m:r>
            <m:r>
              <w:rPr>
                <w:rFonts w:ascii="Cambria Math" w:hAnsi="Cambria Math"/>
              </w:rPr>
              <m:t>-</m:t>
            </m:r>
            <m:r>
              <w:rPr>
                <w:rFonts w:ascii="Cambria Math" w:hAnsi="Cambria Math"/>
              </w:rPr>
              <m:t>baseline</m:t>
            </m:r>
          </m:sub>
        </m:sSub>
      </m:oMath>
      <w:r>
        <w:t xml:space="preserve"> = 0.01). Conversely, wrist detections were higher during both familiar naming events (8 m.o., </w:t>
      </w:r>
      <m:oMath>
        <m:sSub>
          <m:sSubPr>
            <m:ctrlPr>
              <w:rPr>
                <w:rFonts w:ascii="Cambria Math" w:hAnsi="Cambria Math"/>
              </w:rPr>
            </m:ctrlPr>
          </m:sSubPr>
          <m:e>
            <m:r>
              <w:rPr>
                <w:rFonts w:ascii="Cambria Math" w:hAnsi="Cambria Math"/>
              </w:rPr>
              <m:t>M</m:t>
            </m:r>
          </m:e>
          <m:sub>
            <m:r>
              <w:rPr>
                <w:rFonts w:ascii="Cambria Math" w:hAnsi="Cambria Math"/>
              </w:rPr>
              <m:t>fam</m:t>
            </m:r>
            <m:r>
              <w:rPr>
                <w:rFonts w:ascii="Cambria Math" w:hAnsi="Cambria Math"/>
              </w:rPr>
              <m:t>-</m:t>
            </m:r>
            <m:r>
              <w:rPr>
                <w:rFonts w:ascii="Cambria Math" w:hAnsi="Cambria Math"/>
              </w:rPr>
              <m:t>baseline</m:t>
            </m:r>
          </m:sub>
        </m:sSub>
      </m:oMath>
      <w:r>
        <w:t xml:space="preserve"> =0.03, 12 m.o., </w:t>
      </w:r>
      <m:oMath>
        <m:sSub>
          <m:sSubPr>
            <m:ctrlPr>
              <w:rPr>
                <w:rFonts w:ascii="Cambria Math" w:hAnsi="Cambria Math"/>
              </w:rPr>
            </m:ctrlPr>
          </m:sSubPr>
          <m:e>
            <m:r>
              <w:rPr>
                <w:rFonts w:ascii="Cambria Math" w:hAnsi="Cambria Math"/>
              </w:rPr>
              <m:t>M</m:t>
            </m:r>
          </m:e>
          <m:sub>
            <m:r>
              <w:rPr>
                <w:rFonts w:ascii="Cambria Math" w:hAnsi="Cambria Math"/>
              </w:rPr>
              <m:t>fam</m:t>
            </m:r>
            <m:r>
              <w:rPr>
                <w:rFonts w:ascii="Cambria Math" w:hAnsi="Cambria Math"/>
              </w:rPr>
              <m:t>-</m:t>
            </m:r>
            <m:r>
              <w:rPr>
                <w:rFonts w:ascii="Cambria Math" w:hAnsi="Cambria Math"/>
              </w:rPr>
              <m:t>baseline</m:t>
            </m:r>
          </m:sub>
        </m:sSub>
      </m:oMath>
      <w:r>
        <w:t xml:space="preserve"> = 0.04, 16 m.o. </w:t>
      </w:r>
      <m:oMath>
        <m:sSub>
          <m:sSubPr>
            <m:ctrlPr>
              <w:rPr>
                <w:rFonts w:ascii="Cambria Math" w:hAnsi="Cambria Math"/>
              </w:rPr>
            </m:ctrlPr>
          </m:sSubPr>
          <m:e>
            <m:r>
              <w:rPr>
                <w:rFonts w:ascii="Cambria Math" w:hAnsi="Cambria Math"/>
              </w:rPr>
              <m:t>M</m:t>
            </m:r>
          </m:e>
          <m:sub>
            <m:r>
              <w:rPr>
                <w:rFonts w:ascii="Cambria Math" w:hAnsi="Cambria Math"/>
              </w:rPr>
              <m:t>fam</m:t>
            </m:r>
            <m:r>
              <w:rPr>
                <w:rFonts w:ascii="Cambria Math" w:hAnsi="Cambria Math"/>
              </w:rPr>
              <m:t>-</m:t>
            </m:r>
            <m:r>
              <w:rPr>
                <w:rFonts w:ascii="Cambria Math" w:hAnsi="Cambria Math"/>
              </w:rPr>
              <m:t>baseline</m:t>
            </m:r>
          </m:sub>
        </m:sSub>
      </m:oMath>
      <w:r>
        <w:t xml:space="preserve"> = 0.06) </w:t>
      </w:r>
      <w:r>
        <w:t xml:space="preserve">and novel naming events relative to baseline across all age groups (8 m.o., </w:t>
      </w:r>
      <m:oMath>
        <m:sSub>
          <m:sSubPr>
            <m:ctrlPr>
              <w:rPr>
                <w:rFonts w:ascii="Cambria Math" w:hAnsi="Cambria Math"/>
              </w:rPr>
            </m:ctrlPr>
          </m:sSubPr>
          <m:e>
            <m:r>
              <w:rPr>
                <w:rFonts w:ascii="Cambria Math" w:hAnsi="Cambria Math"/>
              </w:rPr>
              <m:t>M</m:t>
            </m:r>
          </m:e>
          <m:sub>
            <m:r>
              <w:rPr>
                <w:rFonts w:ascii="Cambria Math" w:hAnsi="Cambria Math"/>
              </w:rPr>
              <m:t>nov</m:t>
            </m:r>
            <m:r>
              <w:rPr>
                <w:rFonts w:ascii="Cambria Math" w:hAnsi="Cambria Math"/>
              </w:rPr>
              <m:t>-</m:t>
            </m:r>
            <m:r>
              <w:rPr>
                <w:rFonts w:ascii="Cambria Math" w:hAnsi="Cambria Math"/>
              </w:rPr>
              <m:t>baseline</m:t>
            </m:r>
          </m:sub>
        </m:sSub>
      </m:oMath>
      <w:r>
        <w:t xml:space="preserve"> = 0.06, 12 m.o., </w:t>
      </w:r>
      <m:oMath>
        <m:sSub>
          <m:sSubPr>
            <m:ctrlPr>
              <w:rPr>
                <w:rFonts w:ascii="Cambria Math" w:hAnsi="Cambria Math"/>
              </w:rPr>
            </m:ctrlPr>
          </m:sSubPr>
          <m:e>
            <m:r>
              <w:rPr>
                <w:rFonts w:ascii="Cambria Math" w:hAnsi="Cambria Math"/>
              </w:rPr>
              <m:t>M</m:t>
            </m:r>
          </m:e>
          <m:sub>
            <m:r>
              <w:rPr>
                <w:rFonts w:ascii="Cambria Math" w:hAnsi="Cambria Math"/>
              </w:rPr>
              <m:t>nov</m:t>
            </m:r>
            <m:r>
              <w:rPr>
                <w:rFonts w:ascii="Cambria Math" w:hAnsi="Cambria Math"/>
              </w:rPr>
              <m:t>-</m:t>
            </m:r>
            <m:r>
              <w:rPr>
                <w:rFonts w:ascii="Cambria Math" w:hAnsi="Cambria Math"/>
              </w:rPr>
              <m:t>baseline</m:t>
            </m:r>
          </m:sub>
        </m:sSub>
      </m:oMath>
      <w:r>
        <w:t xml:space="preserve"> = 0.07, 16 m.o. </w:t>
      </w:r>
      <m:oMath>
        <m:sSub>
          <m:sSubPr>
            <m:ctrlPr>
              <w:rPr>
                <w:rFonts w:ascii="Cambria Math" w:hAnsi="Cambria Math"/>
              </w:rPr>
            </m:ctrlPr>
          </m:sSubPr>
          <m:e>
            <m:r>
              <w:rPr>
                <w:rFonts w:ascii="Cambria Math" w:hAnsi="Cambria Math"/>
              </w:rPr>
              <m:t>M</m:t>
            </m:r>
          </m:e>
          <m:sub>
            <m:r>
              <w:rPr>
                <w:rFonts w:ascii="Cambria Math" w:hAnsi="Cambria Math"/>
              </w:rPr>
              <m:t>nov</m:t>
            </m:r>
            <m:r>
              <w:rPr>
                <w:rFonts w:ascii="Cambria Math" w:hAnsi="Cambria Math"/>
              </w:rPr>
              <m:t>-</m:t>
            </m:r>
            <m:r>
              <w:rPr>
                <w:rFonts w:ascii="Cambria Math" w:hAnsi="Cambria Math"/>
              </w:rPr>
              <m:t>baseline</m:t>
            </m:r>
          </m:sub>
        </m:sSub>
      </m:oMath>
      <w:r>
        <w:t xml:space="preserve"> = 0.07). These results were confirmed by a linear mixed-effect model </w:t>
      </w:r>
      <w:r>
        <w:t>with scaled aged as a fixed effect and random intercepts for each subject (Wrist detections; familiar objects vs. baseline, b = 0.05, SE = 0.01, t = 3.76, P &lt; 0.001; Novel objects vs. baseline, b = 0.06, SE = 0.01, t = 5.01, P &lt; 0.001).</w:t>
      </w:r>
    </w:p>
    <w:p w:rsidR="00A754AC" w:rsidRDefault="001D34F6">
      <w:pPr>
        <w:pStyle w:val="BodyText"/>
      </w:pPr>
      <w:r>
        <w:t>Overall, these expl</w:t>
      </w:r>
      <w:r>
        <w:t>oratory results suggest that children may tend to see more hands around naming events. This finding is consistent with the possibility that caregivers may change how they interact with their infant when presenting them with objects (Gogate, Bahrick, &amp; Wats</w:t>
      </w:r>
      <w:r>
        <w:t xml:space="preserve">on, </w:t>
      </w:r>
      <w:r>
        <w:lastRenderedPageBreak/>
        <w:t>2000; Gogate, Bolzani, &amp; Betancourt, 2006) and that hands could play a key role in guiding infants’ attention during dyadic interactions (Yu &amp; Smith, 2017). For example, caregivers may tend to simultaneously name objects when demonstrating their afford</w:t>
      </w:r>
      <w:r>
        <w:t>ances or simply when pointing to them. In turn, infants may be sensitive to these naming events and orient their attention towards their caregiver, consistent with other accounts positing infants’ sensitivity to social cues in early word learning environme</w:t>
      </w:r>
      <w:r>
        <w:t>nts (Yurovsky, 2018; Yurovsky &amp; Frank, 2017).</w:t>
      </w:r>
    </w:p>
    <w:p w:rsidR="00A754AC" w:rsidRDefault="001D34F6">
      <w:r>
        <w:rPr>
          <w:noProof/>
        </w:rPr>
        <w:drawing>
          <wp:inline distT="0" distB="0" distL="0" distR="0">
            <wp:extent cx="5969000" cy="2984500"/>
            <wp:effectExtent l="0" t="0" r="0" b="0"/>
            <wp:docPr id="7" name="Picture" descr="Figure 7: Proportion of face / wrist detections during naming events (+/- 2 seconds around label) for familiar and novel objects; these rates are put into context relative to baseline. Error bars represent 95% bootstrapped confidence intervals. Grey lines connect points from individual subjects."/>
            <wp:cNvGraphicFramePr/>
            <a:graphic xmlns:a="http://schemas.openxmlformats.org/drawingml/2006/main">
              <a:graphicData uri="http://schemas.openxmlformats.org/drawingml/2006/picture">
                <pic:pic xmlns:pic="http://schemas.openxmlformats.org/drawingml/2006/picture">
                  <pic:nvPicPr>
                    <pic:cNvPr id="0" name="Picture" descr="figs/detByNaming-1.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rsidR="00A754AC" w:rsidRDefault="001D34F6">
      <w:pPr>
        <w:pStyle w:val="ImageCaption"/>
      </w:pPr>
      <w:r>
        <w:t>Figure 7: Proportion of face / wrist detections during naming events (+/- 2 seconds around label) for familiar and novel objects; these rates are put into context relative to baseline. Error bars represent 95</w:t>
      </w:r>
      <w:r>
        <w:t>% bootstrapped confidence intervals. Grey lines connect points from individual subjects.</w:t>
      </w:r>
    </w:p>
    <w:p w:rsidR="00A754AC" w:rsidRDefault="001D34F6">
      <w:pPr>
        <w:pStyle w:val="Heading1"/>
      </w:pPr>
      <w:bookmarkStart w:id="16" w:name="study-2"/>
      <w:bookmarkEnd w:id="16"/>
      <w:r>
        <w:t>Study 2</w:t>
      </w:r>
    </w:p>
    <w:p w:rsidR="00A754AC" w:rsidRDefault="001D34F6">
      <w:pPr>
        <w:pStyle w:val="FirstParagraph"/>
      </w:pPr>
      <w:r>
        <w:t xml:space="preserve">In Study 1, we found that infant’s in-the-moment posture changed with their age, as did infants’ orientation relative their caregiver. In a related study with </w:t>
      </w:r>
      <w:r>
        <w:t xml:space="preserve">12-month-olds, Franchak et al. </w:t>
      </w:r>
      <w:r>
        <w:lastRenderedPageBreak/>
        <w:t>(2017) also found that infants’ in-the-moment posture changed the proportion of time infants spent looking at faces. Here, we sought to replicate these findings using our automated methodology (OpenPose detections), using the</w:t>
      </w:r>
      <w:r>
        <w:t xml:space="preserve"> footage from their head-mounted cameras (hosted on Databrary; D. A. Simon, Gordon, Steiger, &amp; Gilmore, 2015) for two reasons. First, we sought to validate our novel method, which could fail to generalize to scenes from these more complex environments, whe</w:t>
      </w:r>
      <w:r>
        <w:t>re detecting faces and hands could arguably be a much harder task. Second, we sought to replicate the effects of infants’ in-the-moment posture on differences in visual access to hands in an independent dataset.</w:t>
      </w:r>
    </w:p>
    <w:p w:rsidR="00A754AC" w:rsidRDefault="001D34F6">
      <w:pPr>
        <w:pStyle w:val="Heading2"/>
      </w:pPr>
      <w:bookmarkStart w:id="17" w:name="methods-1"/>
      <w:bookmarkEnd w:id="17"/>
      <w:r>
        <w:t>Methods</w:t>
      </w:r>
    </w:p>
    <w:p w:rsidR="00A754AC" w:rsidRDefault="001D34F6">
      <w:pPr>
        <w:pStyle w:val="Heading3"/>
        <w:framePr w:wrap="around"/>
      </w:pPr>
      <w:bookmarkStart w:id="18" w:name="participants-1"/>
      <w:bookmarkEnd w:id="18"/>
      <w:r>
        <w:t>Participants</w:t>
      </w:r>
    </w:p>
    <w:p w:rsidR="00A754AC" w:rsidRDefault="001D34F6">
      <w:pPr>
        <w:pStyle w:val="FirstParagraph"/>
      </w:pPr>
      <w:r>
        <w:t>With the aid of Francha</w:t>
      </w:r>
      <w:r>
        <w:t>k et al. (2017), we obtained the scene camera footage from the head-mounted eye-trackers for the 17 one-year-old infants (range 11.8–12.4 months) who participated. As noted in Franchak et al. (2017), families were recruited from maternity wards of local ho</w:t>
      </w:r>
      <w:r>
        <w:t>spitals in the New York City metropolitan area and were predominantly white and middle class.</w:t>
      </w:r>
    </w:p>
    <w:p w:rsidR="00A754AC" w:rsidRDefault="001D34F6">
      <w:pPr>
        <w:pStyle w:val="Heading3"/>
        <w:framePr w:wrap="around"/>
      </w:pPr>
      <w:bookmarkStart w:id="19" w:name="head-mounted-camera-1"/>
      <w:bookmarkEnd w:id="19"/>
      <w:r>
        <w:t>Head-mounted camera</w:t>
      </w:r>
    </w:p>
    <w:p w:rsidR="00A754AC" w:rsidRDefault="001D34F6">
      <w:pPr>
        <w:pStyle w:val="FirstParagraph"/>
      </w:pPr>
      <w:r>
        <w:t>The view angle of the two head-mounted cameras used in these two studies were relatively similar (</w:t>
      </w:r>
      <m:oMath>
        <m:sSup>
          <m:sSupPr>
            <m:ctrlPr>
              <w:rPr>
                <w:rFonts w:ascii="Cambria Math" w:hAnsi="Cambria Math"/>
              </w:rPr>
            </m:ctrlPr>
          </m:sSupPr>
          <m:e>
            <m:r>
              <w:rPr>
                <w:rFonts w:ascii="Cambria Math" w:hAnsi="Cambria Math"/>
              </w:rPr>
              <m:t>52.2</m:t>
            </m:r>
          </m:e>
          <m:sup>
            <m:r>
              <w:rPr>
                <w:rFonts w:ascii="Cambria Math" w:hAnsi="Cambria Math"/>
              </w:rPr>
              <m:t>∘</m:t>
            </m:r>
          </m:sup>
        </m:sSup>
      </m:oMath>
      <w:r>
        <w:t xml:space="preserve"> horizontal by </w:t>
      </w:r>
      <m:oMath>
        <m:sSup>
          <m:sSupPr>
            <m:ctrlPr>
              <w:rPr>
                <w:rFonts w:ascii="Cambria Math" w:hAnsi="Cambria Math"/>
              </w:rPr>
            </m:ctrlPr>
          </m:sSupPr>
          <m:e>
            <m:r>
              <w:rPr>
                <w:rFonts w:ascii="Cambria Math" w:hAnsi="Cambria Math"/>
              </w:rPr>
              <m:t>42.2</m:t>
            </m:r>
          </m:e>
          <m:sup>
            <m:r>
              <w:rPr>
                <w:rFonts w:ascii="Cambria Math" w:hAnsi="Cambria Math"/>
              </w:rPr>
              <m:t>∘</m:t>
            </m:r>
          </m:sup>
        </m:sSup>
      </m:oMath>
      <w:r>
        <w:t xml:space="preserve"> in Franchak et al.</w:t>
      </w:r>
      <w:r>
        <w:t xml:space="preserve"> (2017), </w:t>
      </w:r>
      <m:oMath>
        <m:sSup>
          <m:sSupPr>
            <m:ctrlPr>
              <w:rPr>
                <w:rFonts w:ascii="Cambria Math" w:hAnsi="Cambria Math"/>
              </w:rPr>
            </m:ctrlPr>
          </m:sSupPr>
          <m:e>
            <m:r>
              <w:rPr>
                <w:rFonts w:ascii="Cambria Math" w:hAnsi="Cambria Math"/>
              </w:rPr>
              <m:t>47</m:t>
            </m:r>
          </m:e>
          <m:sup>
            <m:r>
              <w:rPr>
                <w:rFonts w:ascii="Cambria Math" w:hAnsi="Cambria Math"/>
              </w:rPr>
              <m:t>∘</m:t>
            </m:r>
          </m:sup>
        </m:sSup>
      </m:oMath>
      <w:r>
        <w:t xml:space="preserve"> horizontal by </w:t>
      </w:r>
      <m:oMath>
        <m:sSup>
          <m:sSupPr>
            <m:ctrlPr>
              <w:rPr>
                <w:rFonts w:ascii="Cambria Math" w:hAnsi="Cambria Math"/>
              </w:rPr>
            </m:ctrlPr>
          </m:sSupPr>
          <m:e>
            <m:r>
              <w:rPr>
                <w:rFonts w:ascii="Cambria Math" w:hAnsi="Cambria Math"/>
              </w:rPr>
              <m:t>36</m:t>
            </m:r>
          </m:e>
          <m:sup>
            <m:r>
              <w:rPr>
                <w:rFonts w:ascii="Cambria Math" w:hAnsi="Cambria Math"/>
              </w:rPr>
              <m:t>∘</m:t>
            </m:r>
          </m:sup>
        </m:sSup>
      </m:oMath>
      <w:r>
        <w:t xml:space="preserve"> vertical in Study 1). However, in Study 2 the camera was mounted on the side of the infants’ head in Study 2, closer to infants temples, whereas in Study 1 the camera was situated in the middle of infants’ forehead and orient</w:t>
      </w:r>
      <w:r>
        <w:t>ed slightly upwards.</w:t>
      </w:r>
    </w:p>
    <w:p w:rsidR="00A754AC" w:rsidRDefault="001D34F6">
      <w:pPr>
        <w:pStyle w:val="Heading3"/>
        <w:framePr w:wrap="around"/>
      </w:pPr>
      <w:bookmarkStart w:id="20" w:name="procedure-1"/>
      <w:bookmarkEnd w:id="20"/>
      <w:r>
        <w:t>Procedure</w:t>
      </w:r>
    </w:p>
    <w:p w:rsidR="00A754AC" w:rsidRDefault="001D34F6">
      <w:pPr>
        <w:pStyle w:val="FirstParagraph"/>
      </w:pPr>
      <w:r>
        <w:t>The play environment that infants were immersed in with their caregivers (and experimenters) was much larger and more varied than the play room used in Study 1, containing multiple structures and toys in different parts of th</w:t>
      </w:r>
      <w:r>
        <w:t xml:space="preserve">e room for infants to climb, </w:t>
      </w:r>
      <w:r>
        <w:lastRenderedPageBreak/>
        <w:t>explore, and interact with, and infants were unconstrained and allowed to freely wander the room. In contrast, the play room used in Study 1 was relatively small (approximately 10’ x 10’) and was set-up for focused play on a ma</w:t>
      </w:r>
      <w:r>
        <w:t>t with the pairs of novel and familiar objects. In addition, multiple people were present during the play session – including their caregiver and two experimenters – whereas in Study 1 the experimenters left the room during the play session.</w:t>
      </w:r>
    </w:p>
    <w:p w:rsidR="00A754AC" w:rsidRDefault="001D34F6">
      <w:pPr>
        <w:pStyle w:val="Heading3"/>
        <w:framePr w:wrap="around"/>
      </w:pPr>
      <w:bookmarkStart w:id="21" w:name="video-annotations"/>
      <w:bookmarkEnd w:id="21"/>
      <w:r>
        <w:t>Video annotati</w:t>
      </w:r>
      <w:r>
        <w:t>ons</w:t>
      </w:r>
    </w:p>
    <w:p w:rsidR="00A754AC" w:rsidRDefault="001D34F6">
      <w:pPr>
        <w:pStyle w:val="FirstParagraph"/>
      </w:pPr>
      <w:r>
        <w:t>The first five minutes of each of the videos were coded for the infants’ posture (upright, prone, or sitting) by trained coders in Franchak et al. (2017). These frame-by-frame posture annotations were synced with the outputs of the same automated annot</w:t>
      </w:r>
      <w:r>
        <w:t>ation used in Study 1.</w:t>
      </w:r>
    </w:p>
    <w:p w:rsidR="00A754AC" w:rsidRDefault="001D34F6">
      <w:r>
        <w:rPr>
          <w:noProof/>
        </w:rPr>
        <w:drawing>
          <wp:inline distT="0" distB="0" distL="0" distR="0">
            <wp:extent cx="5969000" cy="2984500"/>
            <wp:effectExtent l="0" t="0" r="0" b="0"/>
            <wp:docPr id="8" name="Picture" descr="Figure 8: Proportion of face / wrist detections for 12-month-olds in Franchak et al., 2017 as a function of children’s in-the-moment posture. Error bars represent 95 percent bootstrapped confidence intervals."/>
            <wp:cNvGraphicFramePr/>
            <a:graphic xmlns:a="http://schemas.openxmlformats.org/drawingml/2006/main">
              <a:graphicData uri="http://schemas.openxmlformats.org/drawingml/2006/picture">
                <pic:pic xmlns:pic="http://schemas.openxmlformats.org/drawingml/2006/picture">
                  <pic:nvPicPr>
                    <pic:cNvPr id="0" name="Picture" descr="figs/franchak-1.png"/>
                    <pic:cNvPicPr>
                      <a:picLocks noChangeAspect="1" noChangeArrowheads="1"/>
                    </pic:cNvPicPr>
                  </pic:nvPicPr>
                  <pic:blipFill>
                    <a:blip r:embed="rId17"/>
                    <a:stretch>
                      <a:fillRect/>
                    </a:stretch>
                  </pic:blipFill>
                  <pic:spPr bwMode="auto">
                    <a:xfrm>
                      <a:off x="0" y="0"/>
                      <a:ext cx="5969000" cy="2984500"/>
                    </a:xfrm>
                    <a:prstGeom prst="rect">
                      <a:avLst/>
                    </a:prstGeom>
                    <a:noFill/>
                    <a:ln w="9525">
                      <a:noFill/>
                      <a:headEnd/>
                      <a:tailEnd/>
                    </a:ln>
                  </pic:spPr>
                </pic:pic>
              </a:graphicData>
            </a:graphic>
          </wp:inline>
        </w:drawing>
      </w:r>
    </w:p>
    <w:p w:rsidR="00A754AC" w:rsidRDefault="001D34F6">
      <w:pPr>
        <w:pStyle w:val="ImageCaption"/>
      </w:pPr>
      <w:r>
        <w:t>Figure 8: Proportion of face / wrist detections for 12-month-olds in Franchak et al., 2017 as a function of children’s in-the-moment posture. Error bars represent 95 percent bootstrapped confidence intervals.</w:t>
      </w:r>
    </w:p>
    <w:p w:rsidR="00A754AC" w:rsidRDefault="001D34F6">
      <w:pPr>
        <w:pStyle w:val="Heading2"/>
      </w:pPr>
      <w:bookmarkStart w:id="22" w:name="results-1"/>
      <w:bookmarkEnd w:id="22"/>
      <w:r>
        <w:lastRenderedPageBreak/>
        <w:t>Results</w:t>
      </w:r>
    </w:p>
    <w:p w:rsidR="00A754AC" w:rsidRDefault="001D34F6">
      <w:pPr>
        <w:pStyle w:val="Heading3"/>
        <w:framePr w:wrap="around"/>
      </w:pPr>
      <w:bookmarkStart w:id="23" w:name="differences-between-eye-tracking-vs.auto"/>
      <w:bookmarkEnd w:id="23"/>
      <w:r>
        <w:t>Differences be</w:t>
      </w:r>
      <w:r>
        <w:t>tween eye-tracking vs. automated detections</w:t>
      </w:r>
    </w:p>
    <w:p w:rsidR="00A754AC" w:rsidRDefault="001D34F6">
      <w:pPr>
        <w:pStyle w:val="FirstParagraph"/>
      </w:pPr>
      <w:r>
        <w:t>First, we compared the overall proportion of frames in which infants foveated faces – as assessed by the head-mounted eye-tracker – in Franchak et al. (2017) vs. the proportion of frames with faces detected by Op</w:t>
      </w:r>
      <w:r>
        <w:t>enPose. We expected some differences, as (1) head-mounted eye-trackers may underestimate the proportion of faces attended due to calibration issues, and (2) OpenPose may detect faces that are in view for infants but that infants may not be foveating. Acros</w:t>
      </w:r>
      <w:r>
        <w:t>s the entire session in Franchak et al. (2017), infants looked at faces on 4.7% of frames. When we used all detections from OpenPose, we found a higher proportion of faces – 21.80%. When we restricted our results to only high-confidence detections, we foun</w:t>
      </w:r>
      <w:r>
        <w:t>d 6.11% of frames with faces, closer to the original values reported by Franchak et al. (2017). However, the above analyses on the accuracy of this method suggest that high-confidence detections dramatically underestimate the number of faces in view. Thus,</w:t>
      </w:r>
      <w:r>
        <w:t xml:space="preserve"> OpenPose may somewhat overestimate the proportion of faces that are actually foveated, while head-mounted eye-trackers may underestimate the proportion of faces that infants’ could be attending to.</w:t>
      </w:r>
    </w:p>
    <w:p w:rsidR="00A754AC" w:rsidRDefault="001D34F6">
      <w:pPr>
        <w:pStyle w:val="Heading3"/>
        <w:framePr w:wrap="around"/>
      </w:pPr>
      <w:bookmarkStart w:id="24" w:name="replication-extension-using-automated-de"/>
      <w:bookmarkEnd w:id="24"/>
      <w:r>
        <w:t>Replication &amp; extension using automated detections</w:t>
      </w:r>
    </w:p>
    <w:p w:rsidR="00A754AC" w:rsidRDefault="001D34F6">
      <w:pPr>
        <w:pStyle w:val="FirstParagraph"/>
      </w:pPr>
      <w:r>
        <w:t>Despit</w:t>
      </w:r>
      <w:r>
        <w:t xml:space="preserve">e these differences, we found convergence between our two methodologies, replicating the main results from Franchak et al. (2017), and finding that the proportion of faces detected was greater when infants were sitting or standing vs. prone (see Figure ). </w:t>
      </w:r>
      <w:r>
        <w:t>We found this result regardless of whether we used all detections (proportion of frames with face detections; Prone: M = 0.13, Sitting: M = 0.20, Upright: M = 0.22) or restricted our analyses to high-confidence detections (percentage of frames with face de</w:t>
      </w:r>
      <w:r>
        <w:t xml:space="preserve">tections; Prone: M = 0.03, Sitting: M = 0.06, Upright: M = 0.05). These results were confirmed in generalized linear-mixed models, with random intercepts for each </w:t>
      </w:r>
      <w:r>
        <w:lastRenderedPageBreak/>
        <w:t xml:space="preserve">subjects and infants’ posture as a fixed effect (Sitting vs. Prone, b = 0.34, SE = 0.02, Z = </w:t>
      </w:r>
      <w:r>
        <w:t>23.37, P &lt; 0.001. Upright vs. Prone, b = 0.38, SE = 0.02, Z = 24.01, P &lt; 0.001).</w:t>
      </w:r>
    </w:p>
    <w:p w:rsidR="00A754AC" w:rsidRDefault="001D34F6">
      <w:pPr>
        <w:pStyle w:val="BodyText"/>
      </w:pPr>
      <w:r>
        <w:t>We also found that infants’ in-the-moment posture modulated the proportion of hands that were in view (i.e., wrist detections), though these were not originally annotated in F</w:t>
      </w:r>
      <w:r>
        <w:t>ranchak et al. (2017) (see Figure , proportion of frames with wrist detections; Prone: M = 0.15; Sitting: M = 0.21; Upright: M = 0.22). These results were confirmed in generalized linear-mixed models with the same model structure as with faces (Sitting vs.</w:t>
      </w:r>
      <w:r>
        <w:t> Prone, b = 0.27, SE = 0.01, Z = 19.09, P &lt; 0.001. Upright vs. prone, b = 0.30, SE = 0.02, Z = 19.73, P &lt; 0.001).</w:t>
      </w:r>
    </w:p>
    <w:p w:rsidR="00A754AC" w:rsidRDefault="001D34F6">
      <w:pPr>
        <w:pStyle w:val="BodyText"/>
      </w:pPr>
      <w:r>
        <w:t>Overall, these analyses extend and validate previous work, replicating the results in Study 1 that infants’ in-the-moment posture modulated th</w:t>
      </w:r>
      <w:r>
        <w:t>e proportion of hands in view, and suggesting that posture is a major factor that structures infants’ access to visual information broadly construed.</w:t>
      </w:r>
    </w:p>
    <w:p w:rsidR="00A754AC" w:rsidRDefault="001D34F6">
      <w:pPr>
        <w:pStyle w:val="Heading1"/>
      </w:pPr>
      <w:bookmarkStart w:id="25" w:name="general-discussion"/>
      <w:bookmarkEnd w:id="25"/>
      <w:r>
        <w:t>General Discussion</w:t>
      </w:r>
    </w:p>
    <w:p w:rsidR="00A754AC" w:rsidRDefault="001D34F6">
      <w:pPr>
        <w:pStyle w:val="FirstParagraph"/>
      </w:pPr>
      <w:r>
        <w:t xml:space="preserve">What social cues do infants see as they learn language, and how does infants’ access to these cues change as they grow and start to locomote themselves? We explored this question using video data from head-mounted cameras from two naturalistic datasets of </w:t>
      </w:r>
      <w:r>
        <w:t>parent-child interactions: a cross-sectional database of play sessions from 8-16 month-olds with sets of novel and familiar toys, and database of head-mounted camera videos from one-year-olds who explored a large play area (Franchak et al., 2017). To analy</w:t>
      </w:r>
      <w:r>
        <w:t xml:space="preserve">ze these datasets, we developed a novel method using a pose detection model to automate the annotation of the social information in the infant view, here operationalized as the presence of the faces and hands of their caregiver; these </w:t>
      </w:r>
      <w:r>
        <w:lastRenderedPageBreak/>
        <w:t>annotations were then</w:t>
      </w:r>
      <w:r>
        <w:t xml:space="preserve"> synced with manual annotations of infants in-the-moment posture from third-person videos.</w:t>
      </w:r>
    </w:p>
    <w:p w:rsidR="00A754AC" w:rsidRDefault="001D34F6">
      <w:pPr>
        <w:pStyle w:val="BodyText"/>
      </w:pPr>
      <w:r>
        <w:t>Despite being trained on the adult perspective, the pose detector we used (OpenPose, Cao et al., 2017) was able to generalize relatively well to the infant viewpoint</w:t>
      </w:r>
      <w:r>
        <w:t>, achieving comparable precision and accuracy as a face detector relative to a state-of-the-art model optimized specifically for detecting faces in natural scenes (K. Zhang et al., 2016). While OpenPose had relatively low recall as a hand detector – missin</w:t>
      </w:r>
      <w:r>
        <w:t>g some hands that were in the infant view – it made comparable rates of false alarms. In both cases, we found that overall performance was maximized when all detections were included, regardless of their confidence, suggesting that some low-confidence face</w:t>
      </w:r>
      <w:r>
        <w:t xml:space="preserve"> and hand detection still index actual faces and hands that were seen by infants. Thus, while imperfect, we suggest that OpenPose can be applied to infant egocentric videos for the extraction of the social information in the infant viewpoint, reducing the </w:t>
      </w:r>
      <w:r>
        <w:t>burden of manual annotations and promoting the reusability of rich video datasets for further analyses. The use of this automated methodology allowed us to easily annotate the entirety of our dataset – additionally analyzing the social information around n</w:t>
      </w:r>
      <w:r>
        <w:t>aming events – and to re-analyze the data from Franchak et al. (2017), replicating our findings in a very different kind of play session. Furthermore, future work may be able to fine-tune pose detectors for even better accuracy, leveraging human annotation</w:t>
      </w:r>
      <w:r>
        <w:t>s of the faces and hands that infants see to adapt models for the infant view.</w:t>
      </w:r>
    </w:p>
    <w:p w:rsidR="00A754AC" w:rsidRDefault="001D34F6">
      <w:pPr>
        <w:pStyle w:val="BodyText"/>
      </w:pPr>
      <w:r>
        <w:t>Broadly, our results replicate and extend previous work, first by showing systematic changes in infants’ in-the-moment posture and their orientation relative to their caregivers</w:t>
      </w:r>
      <w:r>
        <w:t xml:space="preserve"> (Adolph &amp; Franchak, 2017); older children spent more time standing and less time sitting, and older infants’ caregivers spent less time supporting their standing or sitting postures. Motor </w:t>
      </w:r>
      <w:r>
        <w:lastRenderedPageBreak/>
        <w:t>development changes dramatically at the same time that children ar</w:t>
      </w:r>
      <w:r>
        <w:t>e breaking into language learning. Using these automated detections, we found that infants’ changing posture and orientation to their caregiver jointly shaped the amount of social information that was in their view during one-on-one play sessions with thei</w:t>
      </w:r>
      <w:r>
        <w:t>r caregivers. Children saw the most faces/hands when they were sitting or standing and close to their caregiver vs. crawling or prone. These same findings were recapitulated in a second dataset collected by Franchak et al. (2017) with one-year-olds: sittin</w:t>
      </w:r>
      <w:r>
        <w:t>g and upright infants saw more faces – and hands – than infants who were prone. Motor development appears to modulate how infants experience their visual world and the social information in it.</w:t>
      </w:r>
    </w:p>
    <w:p w:rsidR="00A754AC" w:rsidRDefault="001D34F6">
      <w:pPr>
        <w:pStyle w:val="BodyText"/>
      </w:pPr>
      <w:r>
        <w:t>While exploratory, our results also suggest that infants saw a</w:t>
      </w:r>
      <w:r>
        <w:t xml:space="preserve"> greater proportion of hands around naming events, hinting that children may have been orienting towards their caregiver when they heard labels for objects. While this effect was not present for faces, other work (Yoshida &amp; Smith, 2008; Yu &amp; Smith, 2013, 2</w:t>
      </w:r>
      <w:r>
        <w:t xml:space="preserve">017), including Franchak et al. (2017), has found that infants spend much more time looking at the toys vs. their caregiver’s faces during these play sessions, and highlighted the importance of hand-following as a component of joint attention (Yu &amp; Smith, </w:t>
      </w:r>
      <w:r>
        <w:t>2017). Further, given that there were only two possible referents in the room at a time – and one of them was always a familiar category – this particular play session did not present many opportunities where children would need to use gaze cues to disambi</w:t>
      </w:r>
      <w:r>
        <w:t>guate referents.</w:t>
      </w:r>
    </w:p>
    <w:p w:rsidR="00A754AC" w:rsidRDefault="001D34F6">
      <w:pPr>
        <w:pStyle w:val="BodyText"/>
      </w:pPr>
      <w:r>
        <w:t>Importantly, however, all of these findings come from observational, in-lab datasets, posing important limits on their generalizability. Future work is needed to relate these slices of experience captured within in-lab play sessions with i</w:t>
      </w:r>
      <w:r>
        <w:t xml:space="preserve">nfants’ everyday experiences (Clerkin, Hart, Rehg, Yu, &amp; Smith, 2017; Fausey et al., 2016). More broadly, though observational findings allow us to document developmental change and identify potential causal pathways, they </w:t>
      </w:r>
      <w:r>
        <w:lastRenderedPageBreak/>
        <w:t xml:space="preserve">cannot confirm them. As children </w:t>
      </w:r>
      <w:r>
        <w:t>grow and change, the activities in which they engage with their caregivers are likely to also vary, leading to differences in the distribution of social cues that they experience that may not be captured. Finally, locomotive abilities are of course only pa</w:t>
      </w:r>
      <w:r>
        <w:t>rt of a cascade of changes in infants’ abilities and experiences, and these analyses document only a fraction of this broader, multifaceted trajectory in a population of children from primarily WEIRD contexts – white, educated, industrialized, rich, and de</w:t>
      </w:r>
      <w:r>
        <w:t>mocratic (Henrich, Heine, &amp; Norenzayan, 2010). Parenting practices with respect to motor development can and do vary widely across cultures (Karasik, Tamis-LeMonda, Ossmy, &amp; Adolph, 2018) – and these choices likely influence the social cues that children s</w:t>
      </w:r>
      <w:r>
        <w:t>ee and how they use them.</w:t>
      </w:r>
    </w:p>
    <w:p w:rsidR="00A754AC" w:rsidRDefault="001D34F6">
      <w:pPr>
        <w:pStyle w:val="BodyText"/>
      </w:pPr>
      <w:r>
        <w:t>Understanding the relationship between different domains of developmental changes in naturalistic contexts has been a persistent challenge for developmental psychology. Nonetheless, we think that this approach hold promise for doc</w:t>
      </w:r>
      <w:r>
        <w:t>umenting these developmental trajectories and for generating new hypotheses. The field of computer vision has advanced dramatically in recent years, creating a new generation of algorithmic tools that deal better with noisier, more complicated datasets and</w:t>
      </w:r>
      <w:r>
        <w:t xml:space="preserve"> extract richer information. We hope that these new tools can now be leveraged to examine the consequences of the changing infant perspective for linguistic, cognitive, and social development.</w:t>
      </w:r>
    </w:p>
    <w:p w:rsidR="00A754AC" w:rsidRDefault="001D34F6">
      <w:pPr>
        <w:pStyle w:val="Heading1"/>
      </w:pPr>
      <w:bookmarkStart w:id="26" w:name="acknowledgements"/>
      <w:bookmarkEnd w:id="26"/>
      <w:r>
        <w:t>Acknowledgements</w:t>
      </w:r>
    </w:p>
    <w:p w:rsidR="00A754AC" w:rsidRDefault="001D34F6">
      <w:pPr>
        <w:pStyle w:val="FirstParagraph"/>
      </w:pPr>
      <w:r>
        <w:t>[BLINDED]</w:t>
      </w:r>
    </w:p>
    <w:p w:rsidR="00A754AC" w:rsidRDefault="001D34F6">
      <w:pPr>
        <w:pStyle w:val="Heading1"/>
      </w:pPr>
      <w:bookmarkStart w:id="27" w:name="references"/>
      <w:bookmarkEnd w:id="27"/>
      <w:r>
        <w:t>References</w:t>
      </w:r>
    </w:p>
    <w:p w:rsidR="00A754AC" w:rsidRDefault="001D34F6">
      <w:pPr>
        <w:pStyle w:val="FirstParagraph"/>
      </w:pPr>
      <w:r>
        <w:t xml:space="preserve"> </w:t>
      </w:r>
    </w:p>
    <w:p w:rsidR="00A754AC" w:rsidRDefault="001D34F6">
      <w:pPr>
        <w:pStyle w:val="BodyText"/>
      </w:pPr>
      <w:r>
        <w:lastRenderedPageBreak/>
        <w:t>Adolph, K. E., &amp; Berger</w:t>
      </w:r>
      <w:r>
        <w:t xml:space="preserve">, S. E. (2006). Motor development. </w:t>
      </w:r>
      <w:r>
        <w:rPr>
          <w:i/>
        </w:rPr>
        <w:t>Handbook of Child Psychology</w:t>
      </w:r>
      <w:r>
        <w:t>.</w:t>
      </w:r>
    </w:p>
    <w:p w:rsidR="00A754AC" w:rsidRDefault="001D34F6">
      <w:pPr>
        <w:pStyle w:val="BodyText"/>
      </w:pPr>
      <w:r>
        <w:t xml:space="preserve">Adolph, K. E., &amp; Franchak, J. M. (2017). The development of motor behavior. </w:t>
      </w:r>
      <w:r>
        <w:rPr>
          <w:i/>
        </w:rPr>
        <w:t>Wiley Interdisciplinary Reviews: Cognitive Science</w:t>
      </w:r>
      <w:r>
        <w:t xml:space="preserve">, </w:t>
      </w:r>
      <w:r>
        <w:rPr>
          <w:i/>
        </w:rPr>
        <w:t>8</w:t>
      </w:r>
      <w:r>
        <w:t>(1-2), e1430.</w:t>
      </w:r>
    </w:p>
    <w:p w:rsidR="00A754AC" w:rsidRDefault="001D34F6">
      <w:pPr>
        <w:pStyle w:val="BodyText"/>
      </w:pPr>
      <w:r>
        <w:t xml:space="preserve">Adolph, K. E., Gilmore, R. O., Freeman, C., Sanderson, P., &amp; Millman, D. (2012). Toward open behavioral science. </w:t>
      </w:r>
      <w:r>
        <w:rPr>
          <w:i/>
        </w:rPr>
        <w:t>Psychological Inquiry</w:t>
      </w:r>
      <w:r>
        <w:t xml:space="preserve">, </w:t>
      </w:r>
      <w:r>
        <w:rPr>
          <w:i/>
        </w:rPr>
        <w:t>23</w:t>
      </w:r>
      <w:r>
        <w:t>(3), 244–247.</w:t>
      </w:r>
    </w:p>
    <w:p w:rsidR="00A754AC" w:rsidRDefault="001D34F6">
      <w:pPr>
        <w:pStyle w:val="BodyText"/>
      </w:pPr>
      <w:r>
        <w:t xml:space="preserve">Adolph, K. E., Vereijken, B., &amp; Denny, M. (1998). Roles of variability and experience in development of </w:t>
      </w:r>
      <w:r>
        <w:t xml:space="preserve">crawling. </w:t>
      </w:r>
      <w:r>
        <w:rPr>
          <w:i/>
        </w:rPr>
        <w:t>Child Development</w:t>
      </w:r>
      <w:r>
        <w:t xml:space="preserve">, </w:t>
      </w:r>
      <w:r>
        <w:rPr>
          <w:i/>
        </w:rPr>
        <w:t>69</w:t>
      </w:r>
      <w:r>
        <w:t>(1299), 312.</w:t>
      </w:r>
    </w:p>
    <w:p w:rsidR="00A754AC" w:rsidRDefault="001D34F6">
      <w:pPr>
        <w:pStyle w:val="BodyText"/>
      </w:pPr>
      <w:r>
        <w:t xml:space="preserve">Bambach, S., Crandall, D. J., Smith, L. B., &amp; Yu, C. (2017). An egocentric perspective on active vision and visual object learning in toddlers. In </w:t>
      </w:r>
      <w:r>
        <w:rPr>
          <w:i/>
        </w:rPr>
        <w:t>Proceedings of the seventh joint ieee conference on development a</w:t>
      </w:r>
      <w:r>
        <w:rPr>
          <w:i/>
        </w:rPr>
        <w:t>nd learning and on epigenetic robotics</w:t>
      </w:r>
      <w:r>
        <w:t>.</w:t>
      </w:r>
    </w:p>
    <w:p w:rsidR="00A754AC" w:rsidRDefault="001D34F6">
      <w:pPr>
        <w:pStyle w:val="BodyText"/>
      </w:pPr>
      <w:r>
        <w:t xml:space="preserve">Brooks, R., &amp; Meltzoff, A. (2005). The development of gaze following and its relation to language. </w:t>
      </w:r>
      <w:r>
        <w:rPr>
          <w:i/>
        </w:rPr>
        <w:t>Developmental Science</w:t>
      </w:r>
      <w:r>
        <w:t xml:space="preserve">, </w:t>
      </w:r>
      <w:r>
        <w:rPr>
          <w:i/>
        </w:rPr>
        <w:t>8</w:t>
      </w:r>
      <w:r>
        <w:t>(6), 535–543.</w:t>
      </w:r>
    </w:p>
    <w:p w:rsidR="00A754AC" w:rsidRDefault="001D34F6">
      <w:pPr>
        <w:pStyle w:val="BodyText"/>
      </w:pPr>
      <w:r>
        <w:t>Brooks, R., &amp; Meltzoff, A. N. (2008). Infant gaze following and pointing predic</w:t>
      </w:r>
      <w:r>
        <w:t xml:space="preserve">t accelerated vocabulary growth through two years of age: A longitudinal, growth curve modeling study. </w:t>
      </w:r>
      <w:r>
        <w:rPr>
          <w:i/>
        </w:rPr>
        <w:t>Journal of Child Language</w:t>
      </w:r>
      <w:r>
        <w:t xml:space="preserve">, </w:t>
      </w:r>
      <w:r>
        <w:rPr>
          <w:i/>
        </w:rPr>
        <w:t>35</w:t>
      </w:r>
      <w:r>
        <w:t>(1), 207–220.</w:t>
      </w:r>
    </w:p>
    <w:p w:rsidR="00A754AC" w:rsidRDefault="001D34F6">
      <w:pPr>
        <w:pStyle w:val="BodyText"/>
      </w:pPr>
      <w:r>
        <w:t xml:space="preserve">Bruner, J. (1975). From communication to language: A psychological perspective. </w:t>
      </w:r>
      <w:r>
        <w:rPr>
          <w:i/>
        </w:rPr>
        <w:t>Cognition</w:t>
      </w:r>
      <w:r>
        <w:t xml:space="preserve">, </w:t>
      </w:r>
      <w:r>
        <w:rPr>
          <w:i/>
        </w:rPr>
        <w:t>3</w:t>
      </w:r>
      <w:r>
        <w:t>(3), 255–287.</w:t>
      </w:r>
    </w:p>
    <w:p w:rsidR="00A754AC" w:rsidRDefault="001D34F6">
      <w:pPr>
        <w:pStyle w:val="BodyText"/>
      </w:pPr>
      <w:r>
        <w:t>Cao,</w:t>
      </w:r>
      <w:r>
        <w:t xml:space="preserve"> Z., Simon, T., Wei, S.-E., &amp; Sheikh, Y. (2017). Realtime multi-person 2D pose estimation using part affinity fields. In </w:t>
      </w:r>
      <w:r>
        <w:rPr>
          <w:i/>
        </w:rPr>
        <w:t>CVPR</w:t>
      </w:r>
      <w:r>
        <w:t>.</w:t>
      </w:r>
    </w:p>
    <w:p w:rsidR="00A754AC" w:rsidRDefault="001D34F6">
      <w:pPr>
        <w:pStyle w:val="BodyText"/>
      </w:pPr>
      <w:r>
        <w:lastRenderedPageBreak/>
        <w:t>Carpenter, M., Nagell, K., &amp; Tomasello, M. (1998). Social cognition, joint attention, and communicative competence from 9 to 15 m</w:t>
      </w:r>
      <w:r>
        <w:t xml:space="preserve">onths of age. </w:t>
      </w:r>
      <w:r>
        <w:rPr>
          <w:i/>
        </w:rPr>
        <w:t>Monographs of the Society for Research in Child Development</w:t>
      </w:r>
      <w:r>
        <w:t xml:space="preserve">, </w:t>
      </w:r>
      <w:r>
        <w:rPr>
          <w:i/>
        </w:rPr>
        <w:t>63</w:t>
      </w:r>
      <w:r>
        <w:t>(4).</w:t>
      </w:r>
    </w:p>
    <w:p w:rsidR="00A754AC" w:rsidRDefault="001D34F6">
      <w:pPr>
        <w:pStyle w:val="BodyText"/>
      </w:pPr>
      <w:r>
        <w:t xml:space="preserve">Clerkin, E. M., Hart, E., Rehg, J. M., Yu, C., &amp; Smith, L. B. (2017). Real-world visual statistics and infants’ first-learned object names. </w:t>
      </w:r>
      <w:r>
        <w:rPr>
          <w:i/>
        </w:rPr>
        <w:t>Phil. Trans. R. Soc. B</w:t>
      </w:r>
      <w:r>
        <w:t xml:space="preserve">, </w:t>
      </w:r>
      <w:r>
        <w:rPr>
          <w:i/>
        </w:rPr>
        <w:t>372</w:t>
      </w:r>
      <w:r>
        <w:t>(1711),</w:t>
      </w:r>
      <w:r>
        <w:t xml:space="preserve"> 20160055.</w:t>
      </w:r>
    </w:p>
    <w:p w:rsidR="00A754AC" w:rsidRDefault="001D34F6">
      <w:pPr>
        <w:pStyle w:val="BodyText"/>
      </w:pPr>
      <w:r>
        <w:t xml:space="preserve">Cummings, M., Van Hof-Van Duin, J., Mayer, D., Hansen, R., &amp; Fulton, A. (1988). Visual fields of young children. </w:t>
      </w:r>
      <w:r>
        <w:rPr>
          <w:i/>
        </w:rPr>
        <w:t>Behavioural and Brain Research</w:t>
      </w:r>
      <w:r>
        <w:t xml:space="preserve">, </w:t>
      </w:r>
      <w:r>
        <w:rPr>
          <w:i/>
        </w:rPr>
        <w:t>29</w:t>
      </w:r>
      <w:r>
        <w:t>(1), 7–16.</w:t>
      </w:r>
    </w:p>
    <w:p w:rsidR="00A754AC" w:rsidRDefault="001D34F6">
      <w:pPr>
        <w:pStyle w:val="BodyText"/>
      </w:pPr>
      <w:r>
        <w:t xml:space="preserve">Farroni, T., Csibra, G., Simion, F., &amp; Johnson, M. H. (2002). Eye contact detection in </w:t>
      </w:r>
      <w:r>
        <w:t xml:space="preserve">humans from birth. </w:t>
      </w:r>
      <w:r>
        <w:rPr>
          <w:i/>
        </w:rPr>
        <w:t>Proceedings of the National Academy of Sciences</w:t>
      </w:r>
      <w:r>
        <w:t xml:space="preserve">, </w:t>
      </w:r>
      <w:r>
        <w:rPr>
          <w:i/>
        </w:rPr>
        <w:t>99</w:t>
      </w:r>
      <w:r>
        <w:t>(14), 9602–9605.</w:t>
      </w:r>
    </w:p>
    <w:p w:rsidR="00A754AC" w:rsidRDefault="001D34F6">
      <w:pPr>
        <w:pStyle w:val="BodyText"/>
      </w:pPr>
      <w:r>
        <w:t xml:space="preserve">Fausey, C. M., Jayaraman, S., &amp; Smith, L. B. (2016). From faces to hands: Changing visual input in the first two years. </w:t>
      </w:r>
      <w:r>
        <w:rPr>
          <w:i/>
        </w:rPr>
        <w:t>Cognition</w:t>
      </w:r>
      <w:r>
        <w:t xml:space="preserve">, </w:t>
      </w:r>
      <w:r>
        <w:rPr>
          <w:i/>
        </w:rPr>
        <w:t>152</w:t>
      </w:r>
      <w:r>
        <w:t>, 101–107.</w:t>
      </w:r>
    </w:p>
    <w:p w:rsidR="00A754AC" w:rsidRDefault="001D34F6">
      <w:pPr>
        <w:pStyle w:val="BodyText"/>
      </w:pPr>
      <w:r>
        <w:t>Franchak, J. M., Kretch,</w:t>
      </w:r>
      <w:r>
        <w:t xml:space="preserve"> K. S., &amp; Adolph, K. E. (2017). See and be seen: Infant–caregiver social looking during locomotor free play. </w:t>
      </w:r>
      <w:r>
        <w:rPr>
          <w:i/>
        </w:rPr>
        <w:t>Developmental Science</w:t>
      </w:r>
      <w:r>
        <w:t>.</w:t>
      </w:r>
    </w:p>
    <w:p w:rsidR="00A754AC" w:rsidRDefault="001D34F6">
      <w:pPr>
        <w:pStyle w:val="BodyText"/>
      </w:pPr>
      <w:r>
        <w:t>Franchak, J. M., Kretch, K. S., Soska, K. C., &amp; Adolph, K. E. (2011). Head-mounted eye tracking: A new method to describe in</w:t>
      </w:r>
      <w:r>
        <w:t xml:space="preserve">fant looking. </w:t>
      </w:r>
      <w:r>
        <w:rPr>
          <w:i/>
        </w:rPr>
        <w:t>Child Development</w:t>
      </w:r>
      <w:r>
        <w:t xml:space="preserve">, </w:t>
      </w:r>
      <w:r>
        <w:rPr>
          <w:i/>
        </w:rPr>
        <w:t>82</w:t>
      </w:r>
      <w:r>
        <w:t>(6), 1738–1750.</w:t>
      </w:r>
    </w:p>
    <w:p w:rsidR="00A754AC" w:rsidRDefault="001D34F6">
      <w:pPr>
        <w:pStyle w:val="BodyText"/>
      </w:pPr>
      <w:r>
        <w:t xml:space="preserve">Gogate, L. J., Bahrick, L. E., &amp; Watson, J. D. (2000). A study of multimodal motherese: The role of temporal synchrony between verbal labels and gestures. </w:t>
      </w:r>
      <w:r>
        <w:rPr>
          <w:i/>
        </w:rPr>
        <w:t>Child Development</w:t>
      </w:r>
      <w:r>
        <w:t xml:space="preserve">, </w:t>
      </w:r>
      <w:r>
        <w:rPr>
          <w:i/>
        </w:rPr>
        <w:t>71</w:t>
      </w:r>
      <w:r>
        <w:t>(4), 878–894.</w:t>
      </w:r>
    </w:p>
    <w:p w:rsidR="00A754AC" w:rsidRDefault="001D34F6">
      <w:pPr>
        <w:pStyle w:val="BodyText"/>
      </w:pPr>
      <w:r>
        <w:t xml:space="preserve">Gogate, L. J., </w:t>
      </w:r>
      <w:r>
        <w:t xml:space="preserve">Bolzani, L. H., &amp; Betancourt, E. A. (2006). Attention to maternal multimodal naming by 6-to 8-month-old infants and learning of word–object relations. </w:t>
      </w:r>
      <w:r>
        <w:rPr>
          <w:i/>
        </w:rPr>
        <w:t>Infancy</w:t>
      </w:r>
      <w:r>
        <w:t xml:space="preserve">, </w:t>
      </w:r>
      <w:r>
        <w:rPr>
          <w:i/>
        </w:rPr>
        <w:t>9</w:t>
      </w:r>
      <w:r>
        <w:t>(3), 259–288.</w:t>
      </w:r>
    </w:p>
    <w:p w:rsidR="00A754AC" w:rsidRDefault="001D34F6">
      <w:pPr>
        <w:pStyle w:val="BodyText"/>
      </w:pPr>
      <w:r>
        <w:lastRenderedPageBreak/>
        <w:t xml:space="preserve">Gredeback, G., Fikke, L., &amp; Melinder, A. (2010). The development of joint visual </w:t>
      </w:r>
      <w:r>
        <w:t xml:space="preserve">attention: A longitudinal study of gaze following during interactions with mothers and strangers. </w:t>
      </w:r>
      <w:r>
        <w:rPr>
          <w:i/>
        </w:rPr>
        <w:t>Developmental Science</w:t>
      </w:r>
      <w:r>
        <w:t xml:space="preserve">, </w:t>
      </w:r>
      <w:r>
        <w:rPr>
          <w:i/>
        </w:rPr>
        <w:t>13</w:t>
      </w:r>
      <w:r>
        <w:t>(6), 839–848.</w:t>
      </w:r>
    </w:p>
    <w:p w:rsidR="00A754AC" w:rsidRDefault="001D34F6">
      <w:pPr>
        <w:pStyle w:val="BodyText"/>
      </w:pPr>
      <w:r>
        <w:t xml:space="preserve">Henrich, J., Heine, S. J., &amp; Norenzayan, A. (2010). Most people are not weird. </w:t>
      </w:r>
      <w:r>
        <w:rPr>
          <w:i/>
        </w:rPr>
        <w:t>Nature</w:t>
      </w:r>
      <w:r>
        <w:t xml:space="preserve">, </w:t>
      </w:r>
      <w:r>
        <w:rPr>
          <w:i/>
        </w:rPr>
        <w:t>466</w:t>
      </w:r>
      <w:r>
        <w:t>(7302), 29–29.</w:t>
      </w:r>
    </w:p>
    <w:p w:rsidR="00A754AC" w:rsidRDefault="001D34F6">
      <w:pPr>
        <w:pStyle w:val="BodyText"/>
      </w:pPr>
      <w:r>
        <w:t xml:space="preserve">Iverson, J. M. (2010). Developing language in a developing body: The relationship between motor development and language development. </w:t>
      </w:r>
      <w:r>
        <w:rPr>
          <w:i/>
        </w:rPr>
        <w:t xml:space="preserve">Journal of Child </w:t>
      </w:r>
      <w:r>
        <w:rPr>
          <w:i/>
        </w:rPr>
        <w:t>Language</w:t>
      </w:r>
      <w:r>
        <w:t xml:space="preserve">, </w:t>
      </w:r>
      <w:r>
        <w:rPr>
          <w:i/>
        </w:rPr>
        <w:t>37</w:t>
      </w:r>
      <w:r>
        <w:t>(2), 229–261.</w:t>
      </w:r>
    </w:p>
    <w:p w:rsidR="00A754AC" w:rsidRDefault="001D34F6">
      <w:pPr>
        <w:pStyle w:val="BodyText"/>
      </w:pPr>
      <w:r>
        <w:t xml:space="preserve">Jayaraman, S., Fausey, C. M., &amp; Smith, L. B. (2017). Why are faces denser in the visual experiences of younger than older infants? </w:t>
      </w:r>
      <w:r>
        <w:rPr>
          <w:i/>
        </w:rPr>
        <w:t>Developmental Psychology</w:t>
      </w:r>
      <w:r>
        <w:t xml:space="preserve">, </w:t>
      </w:r>
      <w:r>
        <w:rPr>
          <w:i/>
        </w:rPr>
        <w:t>53</w:t>
      </w:r>
      <w:r>
        <w:t>(1), 38.</w:t>
      </w:r>
    </w:p>
    <w:p w:rsidR="00A754AC" w:rsidRDefault="001D34F6">
      <w:pPr>
        <w:pStyle w:val="BodyText"/>
      </w:pPr>
      <w:r>
        <w:t xml:space="preserve">Karasik, L. B., Tamis-LeMonda, C. S., &amp; Adolph, K. E. (2014). </w:t>
      </w:r>
      <w:r>
        <w:t xml:space="preserve">Crawling and walking infants elicit different verbal responses from mothers. </w:t>
      </w:r>
      <w:r>
        <w:rPr>
          <w:i/>
        </w:rPr>
        <w:t>Developmental Science</w:t>
      </w:r>
      <w:r>
        <w:t xml:space="preserve">, </w:t>
      </w:r>
      <w:r>
        <w:rPr>
          <w:i/>
        </w:rPr>
        <w:t>17</w:t>
      </w:r>
      <w:r>
        <w:t>(3), 388–395.</w:t>
      </w:r>
    </w:p>
    <w:p w:rsidR="00A754AC" w:rsidRDefault="001D34F6">
      <w:pPr>
        <w:pStyle w:val="BodyText"/>
      </w:pPr>
      <w:r>
        <w:t xml:space="preserve">Karasik, L. B., Tamis-LeMonda, C. S., Ossmy, O., &amp; Adolph, K. E. (2018). The ties that bind: Cradling in tajikistan. </w:t>
      </w:r>
      <w:r>
        <w:rPr>
          <w:i/>
        </w:rPr>
        <w:t>PloS One</w:t>
      </w:r>
      <w:r>
        <w:t xml:space="preserve">, </w:t>
      </w:r>
      <w:r>
        <w:rPr>
          <w:i/>
        </w:rPr>
        <w:t>13</w:t>
      </w:r>
      <w:r>
        <w:t>(10), e0204</w:t>
      </w:r>
      <w:r>
        <w:t>428.</w:t>
      </w:r>
    </w:p>
    <w:p w:rsidR="00A754AC" w:rsidRDefault="001D34F6">
      <w:pPr>
        <w:pStyle w:val="BodyText"/>
      </w:pPr>
      <w:r>
        <w:t xml:space="preserve">Kietzmann, T. C., McClure, P., &amp; Kriegeskorte, N. (2018). Deep neural networks in computational neuroscience. </w:t>
      </w:r>
      <w:r>
        <w:rPr>
          <w:i/>
        </w:rPr>
        <w:t>BioRxiv</w:t>
      </w:r>
      <w:r>
        <w:t>, 133504.</w:t>
      </w:r>
    </w:p>
    <w:p w:rsidR="00A754AC" w:rsidRDefault="001D34F6">
      <w:pPr>
        <w:pStyle w:val="BodyText"/>
      </w:pPr>
      <w:r>
        <w:t xml:space="preserve">Kretch, K. S., Franchak, J. M., &amp; Adolph, K. E. (2014). Crawling and walking infants see the world differently. </w:t>
      </w:r>
      <w:r>
        <w:rPr>
          <w:i/>
        </w:rPr>
        <w:t>Child Develo</w:t>
      </w:r>
      <w:r>
        <w:rPr>
          <w:i/>
        </w:rPr>
        <w:t>pment</w:t>
      </w:r>
      <w:r>
        <w:t xml:space="preserve">, </w:t>
      </w:r>
      <w:r>
        <w:rPr>
          <w:i/>
        </w:rPr>
        <w:t>85</w:t>
      </w:r>
      <w:r>
        <w:t>(4), 1503–1518.</w:t>
      </w:r>
    </w:p>
    <w:p w:rsidR="00A754AC" w:rsidRDefault="001D34F6">
      <w:pPr>
        <w:pStyle w:val="BodyText"/>
      </w:pPr>
      <w:r>
        <w:t xml:space="preserve">Lampl, M. (1993). Evidence of saltatory growth in infancy. </w:t>
      </w:r>
      <w:r>
        <w:rPr>
          <w:i/>
        </w:rPr>
        <w:t>American Journal of Human Biology</w:t>
      </w:r>
      <w:r>
        <w:t xml:space="preserve">, </w:t>
      </w:r>
      <w:r>
        <w:rPr>
          <w:i/>
        </w:rPr>
        <w:t>5</w:t>
      </w:r>
      <w:r>
        <w:t>(6), 641–652.</w:t>
      </w:r>
    </w:p>
    <w:p w:rsidR="00A754AC" w:rsidRDefault="001D34F6">
      <w:pPr>
        <w:pStyle w:val="BodyText"/>
      </w:pPr>
      <w:r>
        <w:lastRenderedPageBreak/>
        <w:t xml:space="preserve">Libertus, K., &amp; Violi, D. A. (2016). Sit to talk: Relation between motor skills and language development in infancy. </w:t>
      </w:r>
      <w:r>
        <w:rPr>
          <w:i/>
        </w:rPr>
        <w:t>Front</w:t>
      </w:r>
      <w:r>
        <w:rPr>
          <w:i/>
        </w:rPr>
        <w:t>iers in Psychology</w:t>
      </w:r>
      <w:r>
        <w:t xml:space="preserve">, </w:t>
      </w:r>
      <w:r>
        <w:rPr>
          <w:i/>
        </w:rPr>
        <w:t>7</w:t>
      </w:r>
      <w:r>
        <w:t>, 475.</w:t>
      </w:r>
    </w:p>
    <w:p w:rsidR="00A754AC" w:rsidRDefault="001D34F6">
      <w:pPr>
        <w:pStyle w:val="BodyText"/>
      </w:pPr>
      <w:r>
        <w:t xml:space="preserve">Mayer, D., Fulton, A., &amp; Cummings, M. (1988). Visual fields of infants assessed with a new perimetric technique. </w:t>
      </w:r>
      <w:r>
        <w:rPr>
          <w:i/>
        </w:rPr>
        <w:t>Investigative Ophthalmology &amp; Visual Science</w:t>
      </w:r>
      <w:r>
        <w:t xml:space="preserve">, </w:t>
      </w:r>
      <w:r>
        <w:rPr>
          <w:i/>
        </w:rPr>
        <w:t>29</w:t>
      </w:r>
      <w:r>
        <w:t>(3), 452–459.</w:t>
      </w:r>
    </w:p>
    <w:p w:rsidR="00A754AC" w:rsidRDefault="001D34F6">
      <w:pPr>
        <w:pStyle w:val="BodyText"/>
      </w:pPr>
      <w:r>
        <w:t>Moore, C., Dailey, S., Garrison, H., Amatuni, A., &amp; B</w:t>
      </w:r>
      <w:r>
        <w:t xml:space="preserve">ergelson, E. (2019). Point, walk, talk: Links between three early milestones, from observation and parental report. </w:t>
      </w:r>
      <w:r>
        <w:rPr>
          <w:i/>
        </w:rPr>
        <w:t>Developmental Psychology</w:t>
      </w:r>
      <w:r>
        <w:t>.</w:t>
      </w:r>
    </w:p>
    <w:p w:rsidR="00A754AC" w:rsidRDefault="001D34F6">
      <w:pPr>
        <w:pStyle w:val="BodyText"/>
      </w:pPr>
      <w:r>
        <w:t>Nakagawa, S., &amp; Schielzeth, H. (2013). A general and simple method for obtaining r2 from generalized linear mixed-</w:t>
      </w:r>
      <w:r>
        <w:t xml:space="preserve">effects models. </w:t>
      </w:r>
      <w:r>
        <w:rPr>
          <w:i/>
        </w:rPr>
        <w:t>Methods in Ecology and Evolution</w:t>
      </w:r>
      <w:r>
        <w:t xml:space="preserve">, </w:t>
      </w:r>
      <w:r>
        <w:rPr>
          <w:i/>
        </w:rPr>
        <w:t>4</w:t>
      </w:r>
      <w:r>
        <w:t>(2), 133–142.</w:t>
      </w:r>
    </w:p>
    <w:p w:rsidR="00A754AC" w:rsidRDefault="001D34F6">
      <w:pPr>
        <w:pStyle w:val="BodyText"/>
      </w:pPr>
      <w:r>
        <w:t xml:space="preserve">Patrick, S. K., Noah, J. A., &amp; Yang, J. F. (2012). Developmental constraints of quadrupedal coordination across crawling styles in human infants. </w:t>
      </w:r>
      <w:r>
        <w:rPr>
          <w:i/>
        </w:rPr>
        <w:t>Journal of Neurophysiology</w:t>
      </w:r>
      <w:r>
        <w:t xml:space="preserve">, </w:t>
      </w:r>
      <w:r>
        <w:rPr>
          <w:i/>
        </w:rPr>
        <w:t>107</w:t>
      </w:r>
      <w:r>
        <w:t>(11), 3050–306</w:t>
      </w:r>
      <w:r>
        <w:t>1.</w:t>
      </w:r>
    </w:p>
    <w:p w:rsidR="00A754AC" w:rsidRDefault="001D34F6">
      <w:pPr>
        <w:pStyle w:val="BodyText"/>
      </w:pPr>
      <w:r>
        <w:t xml:space="preserve">Peterson, J. C., Abbott, J. T., &amp; Griffiths, T. L. (2018). Evaluating (and improving) the correspondence between deep neural networks and human representations. </w:t>
      </w:r>
      <w:r>
        <w:rPr>
          <w:i/>
        </w:rPr>
        <w:t>Cognitive Science</w:t>
      </w:r>
      <w:r>
        <w:t xml:space="preserve">, </w:t>
      </w:r>
      <w:r>
        <w:rPr>
          <w:i/>
        </w:rPr>
        <w:t>42</w:t>
      </w:r>
      <w:r>
        <w:t>(8), 2648–2669.</w:t>
      </w:r>
    </w:p>
    <w:p w:rsidR="00A754AC" w:rsidRDefault="001D34F6">
      <w:pPr>
        <w:pStyle w:val="BodyText"/>
      </w:pPr>
      <w:r>
        <w:t>Scheirer, W. J., Anthony, S. E., Nakayama, K., &amp; Cox, D</w:t>
      </w:r>
      <w:r>
        <w:t xml:space="preserve">. D. (2014). Perceptual annotation: Measuring human vision to improve computer vision. </w:t>
      </w:r>
      <w:r>
        <w:rPr>
          <w:i/>
        </w:rPr>
        <w:t>IEEE Transactions on Pattern Analysis and Machine Intelligence</w:t>
      </w:r>
      <w:r>
        <w:t xml:space="preserve">, </w:t>
      </w:r>
      <w:r>
        <w:rPr>
          <w:i/>
        </w:rPr>
        <w:t>36</w:t>
      </w:r>
      <w:r>
        <w:t>(8), 1679–1686.</w:t>
      </w:r>
    </w:p>
    <w:p w:rsidR="00A754AC" w:rsidRDefault="001D34F6">
      <w:pPr>
        <w:pStyle w:val="BodyText"/>
      </w:pPr>
      <w:r>
        <w:t xml:space="preserve">Simon, D. A., Gordon, A. S., Steiger, L., &amp; Gilmore, R. O. (2015). Databrary: Enabling </w:t>
      </w:r>
      <w:r>
        <w:t xml:space="preserve">sharing and reuse of research video. In </w:t>
      </w:r>
      <w:r>
        <w:rPr>
          <w:i/>
        </w:rPr>
        <w:t>Proceedings of the 15th acm/ieee-cs joint conference on digital libraries</w:t>
      </w:r>
      <w:r>
        <w:t xml:space="preserve"> (pp. 279–280).</w:t>
      </w:r>
    </w:p>
    <w:p w:rsidR="00A754AC" w:rsidRDefault="001D34F6">
      <w:pPr>
        <w:pStyle w:val="BodyText"/>
      </w:pPr>
      <w:r>
        <w:lastRenderedPageBreak/>
        <w:t xml:space="preserve">Simon, T., Joo, H., Matthews, I., &amp; Sheikh, Y. (2017). Hand keypoint detection in single images using multiview bootstrapping. </w:t>
      </w:r>
      <w:r>
        <w:t xml:space="preserve">In </w:t>
      </w:r>
      <w:r>
        <w:rPr>
          <w:i/>
        </w:rPr>
        <w:t>CVPR</w:t>
      </w:r>
      <w:r>
        <w:t>.</w:t>
      </w:r>
    </w:p>
    <w:p w:rsidR="00A754AC" w:rsidRDefault="001D34F6">
      <w:pPr>
        <w:pStyle w:val="BodyText"/>
      </w:pPr>
      <w:r>
        <w:t xml:space="preserve">Simonyan, K., &amp; Zisserman, A. (2014). Very deep convolutional networks for large-scale image recognition. </w:t>
      </w:r>
      <w:r>
        <w:rPr>
          <w:i/>
        </w:rPr>
        <w:t>ArXiv Preprint ArXiv:1409.1556</w:t>
      </w:r>
      <w:r>
        <w:t>.</w:t>
      </w:r>
    </w:p>
    <w:p w:rsidR="00A754AC" w:rsidRDefault="001D34F6">
      <w:pPr>
        <w:pStyle w:val="BodyText"/>
      </w:pPr>
      <w:r>
        <w:t xml:space="preserve">Soska, K. C., Adolph, K. E., &amp; Johnson, S. P. (2010). Systems in development: Motor skill acquisition facilitates three-dimensional object completion. </w:t>
      </w:r>
      <w:r>
        <w:rPr>
          <w:i/>
        </w:rPr>
        <w:t>Developmental Psychology</w:t>
      </w:r>
      <w:r>
        <w:t xml:space="preserve">, </w:t>
      </w:r>
      <w:r>
        <w:rPr>
          <w:i/>
        </w:rPr>
        <w:t>46</w:t>
      </w:r>
      <w:r>
        <w:t>(1), 129.</w:t>
      </w:r>
    </w:p>
    <w:p w:rsidR="00A754AC" w:rsidRDefault="001D34F6">
      <w:pPr>
        <w:pStyle w:val="BodyText"/>
      </w:pPr>
      <w:r>
        <w:t>Trueswell, J. C., Lin, Y., Armstrong III, B., Cartmill, E. A., Gold</w:t>
      </w:r>
      <w:r>
        <w:t xml:space="preserve">in-Meadow, S., &amp; Gleitman, L. R. (2016). Perceiving referential intent: Dynamics of reference in natural parent–child interactions. </w:t>
      </w:r>
      <w:r>
        <w:rPr>
          <w:i/>
        </w:rPr>
        <w:t>Cognition</w:t>
      </w:r>
      <w:r>
        <w:t xml:space="preserve">, </w:t>
      </w:r>
      <w:r>
        <w:rPr>
          <w:i/>
        </w:rPr>
        <w:t>148</w:t>
      </w:r>
      <w:r>
        <w:t>, 117–135.</w:t>
      </w:r>
    </w:p>
    <w:p w:rsidR="00A754AC" w:rsidRDefault="001D34F6">
      <w:pPr>
        <w:pStyle w:val="BodyText"/>
      </w:pPr>
      <w:r>
        <w:t xml:space="preserve">VanRullen, R. (2017). Perception science in the age of deep neural networks. </w:t>
      </w:r>
      <w:r>
        <w:rPr>
          <w:i/>
        </w:rPr>
        <w:t>Frontiers in Psycholog</w:t>
      </w:r>
      <w:r>
        <w:rPr>
          <w:i/>
        </w:rPr>
        <w:t>y</w:t>
      </w:r>
      <w:r>
        <w:t xml:space="preserve">, </w:t>
      </w:r>
      <w:r>
        <w:rPr>
          <w:i/>
        </w:rPr>
        <w:t>8</w:t>
      </w:r>
      <w:r>
        <w:t>, 142.</w:t>
      </w:r>
    </w:p>
    <w:p w:rsidR="00A754AC" w:rsidRDefault="001D34F6">
      <w:pPr>
        <w:pStyle w:val="BodyText"/>
      </w:pPr>
      <w:r>
        <w:t xml:space="preserve">Viola, P., &amp; Jones, M. J. (2004). Robust real-time face detection. </w:t>
      </w:r>
      <w:r>
        <w:rPr>
          <w:i/>
        </w:rPr>
        <w:t>International Journal of Computer Vision</w:t>
      </w:r>
      <w:r>
        <w:t xml:space="preserve">, </w:t>
      </w:r>
      <w:r>
        <w:rPr>
          <w:i/>
        </w:rPr>
        <w:t>57</w:t>
      </w:r>
      <w:r>
        <w:t>(2), 137–154.</w:t>
      </w:r>
    </w:p>
    <w:p w:rsidR="00A754AC" w:rsidRDefault="001D34F6">
      <w:pPr>
        <w:pStyle w:val="BodyText"/>
      </w:pPr>
      <w:r>
        <w:t xml:space="preserve">Walle, E. A. (2016). Infant social development across the transition from crawling to walking. </w:t>
      </w:r>
      <w:r>
        <w:rPr>
          <w:i/>
        </w:rPr>
        <w:t>Frontiers in Psychology</w:t>
      </w:r>
      <w:r>
        <w:t xml:space="preserve">, </w:t>
      </w:r>
      <w:r>
        <w:rPr>
          <w:i/>
        </w:rPr>
        <w:t>7</w:t>
      </w:r>
      <w:r>
        <w:t>, 960.</w:t>
      </w:r>
    </w:p>
    <w:p w:rsidR="00A754AC" w:rsidRDefault="001D34F6">
      <w:pPr>
        <w:pStyle w:val="BodyText"/>
      </w:pPr>
      <w:r>
        <w:t xml:space="preserve">Walle, E. A., &amp; Campos, J. J. (2014). Infant language development is related to the acquisition of walking. </w:t>
      </w:r>
      <w:r>
        <w:rPr>
          <w:i/>
        </w:rPr>
        <w:t>Developmental Psychology</w:t>
      </w:r>
      <w:r>
        <w:t xml:space="preserve">, </w:t>
      </w:r>
      <w:r>
        <w:rPr>
          <w:i/>
        </w:rPr>
        <w:t>50</w:t>
      </w:r>
      <w:r>
        <w:t>(2), 336.</w:t>
      </w:r>
    </w:p>
    <w:p w:rsidR="00A754AC" w:rsidRDefault="001D34F6">
      <w:pPr>
        <w:pStyle w:val="BodyText"/>
      </w:pPr>
      <w:r>
        <w:t xml:space="preserve">Wei, S.-E., Ramakrishna, V., Kanade, T., &amp; Sheikh, Y. (2016). Convolutional pose machines. In </w:t>
      </w:r>
      <w:r>
        <w:rPr>
          <w:i/>
        </w:rPr>
        <w:t>CVPR</w:t>
      </w:r>
      <w:r>
        <w:t>.</w:t>
      </w:r>
    </w:p>
    <w:p w:rsidR="00A754AC" w:rsidRDefault="001D34F6">
      <w:pPr>
        <w:pStyle w:val="BodyText"/>
      </w:pPr>
      <w:r>
        <w:lastRenderedPageBreak/>
        <w:t>Yo</w:t>
      </w:r>
      <w:r>
        <w:t xml:space="preserve">shida, H., &amp; Smith, L. (2008). What’s in view for toddlers? Using a head camera to study visual experience. </w:t>
      </w:r>
      <w:r>
        <w:rPr>
          <w:i/>
        </w:rPr>
        <w:t>Infancy</w:t>
      </w:r>
      <w:r>
        <w:t xml:space="preserve">, </w:t>
      </w:r>
      <w:r>
        <w:rPr>
          <w:i/>
        </w:rPr>
        <w:t>13</w:t>
      </w:r>
      <w:r>
        <w:t>, 229–248.</w:t>
      </w:r>
    </w:p>
    <w:p w:rsidR="00A754AC" w:rsidRDefault="001D34F6">
      <w:pPr>
        <w:pStyle w:val="BodyText"/>
      </w:pPr>
      <w:r>
        <w:t>Yu, C., &amp; Smith, L. B. (2013). Joint attention without gaze following: Human infants and their parents coordinate visual atten</w:t>
      </w:r>
      <w:r>
        <w:t xml:space="preserve">tion to objects through eye-hand coordination. </w:t>
      </w:r>
      <w:r>
        <w:rPr>
          <w:i/>
        </w:rPr>
        <w:t>PloS One</w:t>
      </w:r>
      <w:r>
        <w:t xml:space="preserve">, </w:t>
      </w:r>
      <w:r>
        <w:rPr>
          <w:i/>
        </w:rPr>
        <w:t>8</w:t>
      </w:r>
      <w:r>
        <w:t>(11).</w:t>
      </w:r>
    </w:p>
    <w:p w:rsidR="00A754AC" w:rsidRDefault="001D34F6">
      <w:pPr>
        <w:pStyle w:val="BodyText"/>
      </w:pPr>
      <w:r>
        <w:t xml:space="preserve">Yu, C., &amp; Smith, L. B. (2017). Hand–eye coordination predicts joint attention. </w:t>
      </w:r>
      <w:r>
        <w:rPr>
          <w:i/>
        </w:rPr>
        <w:t>Child Development</w:t>
      </w:r>
      <w:r>
        <w:t xml:space="preserve">, </w:t>
      </w:r>
      <w:r>
        <w:rPr>
          <w:i/>
        </w:rPr>
        <w:t>88</w:t>
      </w:r>
      <w:r>
        <w:t>(6), 2060–2078.</w:t>
      </w:r>
    </w:p>
    <w:p w:rsidR="00A754AC" w:rsidRDefault="001D34F6">
      <w:pPr>
        <w:pStyle w:val="BodyText"/>
      </w:pPr>
      <w:r>
        <w:t xml:space="preserve">Yurovsky, D. (2018). A communicative approach to early word learning. </w:t>
      </w:r>
      <w:r>
        <w:rPr>
          <w:i/>
        </w:rPr>
        <w:t>New Id</w:t>
      </w:r>
      <w:r>
        <w:rPr>
          <w:i/>
        </w:rPr>
        <w:t>eas in Psychology</w:t>
      </w:r>
      <w:r>
        <w:t xml:space="preserve">, </w:t>
      </w:r>
      <w:r>
        <w:rPr>
          <w:i/>
        </w:rPr>
        <w:t>50</w:t>
      </w:r>
      <w:r>
        <w:t>, 73–79.</w:t>
      </w:r>
    </w:p>
    <w:p w:rsidR="00A754AC" w:rsidRDefault="001D34F6">
      <w:pPr>
        <w:pStyle w:val="BodyText"/>
      </w:pPr>
      <w:r>
        <w:t xml:space="preserve">Yurovsky, D., &amp; Frank, M. C. (2017). Beyond naïve cue combination: Salience and social cues in early word learning. </w:t>
      </w:r>
      <w:r>
        <w:rPr>
          <w:i/>
        </w:rPr>
        <w:t>Developmental Science</w:t>
      </w:r>
      <w:r>
        <w:t xml:space="preserve">, </w:t>
      </w:r>
      <w:r>
        <w:rPr>
          <w:i/>
        </w:rPr>
        <w:t>20</w:t>
      </w:r>
      <w:r>
        <w:t>(2), e12349.</w:t>
      </w:r>
    </w:p>
    <w:p w:rsidR="00A754AC" w:rsidRDefault="001D34F6">
      <w:pPr>
        <w:pStyle w:val="BodyText"/>
      </w:pPr>
      <w:r>
        <w:t>Zhang, K., Zhang, Z., Li, Z., &amp; Qiao, Y. (2016). Joint face detection and alignment using multitask ca</w:t>
      </w:r>
      <w:r>
        <w:t xml:space="preserve">scaded convolutional networks. </w:t>
      </w:r>
      <w:r>
        <w:rPr>
          <w:i/>
        </w:rPr>
        <w:t>IEEE Signal Processing Letters</w:t>
      </w:r>
      <w:r>
        <w:t xml:space="preserve">, </w:t>
      </w:r>
      <w:r>
        <w:rPr>
          <w:i/>
        </w:rPr>
        <w:t>23</w:t>
      </w:r>
      <w:r>
        <w:t>(10), 1499–1503.</w:t>
      </w:r>
    </w:p>
    <w:p w:rsidR="00A754AC" w:rsidRDefault="001D34F6">
      <w:pPr>
        <w:pStyle w:val="BodyText"/>
      </w:pPr>
      <w:r>
        <w:t xml:space="preserve">Zhou, B., Lapedriza, A., Khosla, A., Oliva, A., &amp; Torralba, A. (2017). Places: A 10 million image database for scene recognition. </w:t>
      </w:r>
      <w:r>
        <w:rPr>
          <w:i/>
        </w:rPr>
        <w:t>IEEE Transactions on Pattern Analysis and Ma</w:t>
      </w:r>
      <w:r>
        <w:rPr>
          <w:i/>
        </w:rPr>
        <w:t>chine Intelligence</w:t>
      </w:r>
      <w:r>
        <w:t xml:space="preserve">, </w:t>
      </w:r>
      <w:r>
        <w:rPr>
          <w:i/>
        </w:rPr>
        <w:t>40</w:t>
      </w:r>
      <w:r>
        <w:t>(6), 1452–1464.</w:t>
      </w:r>
    </w:p>
    <w:p w:rsidR="00A754AC" w:rsidRDefault="00A754AC">
      <w:pPr>
        <w:pStyle w:val="BodyText"/>
      </w:pPr>
    </w:p>
    <w:sectPr w:rsidR="00A754AC" w:rsidSect="00CB20D0">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D34F6" w:rsidRDefault="001D34F6">
      <w:pPr>
        <w:spacing w:before="0" w:after="0" w:line="240" w:lineRule="auto"/>
      </w:pPr>
      <w:r>
        <w:separator/>
      </w:r>
    </w:p>
  </w:endnote>
  <w:endnote w:type="continuationSeparator" w:id="0">
    <w:p w:rsidR="001D34F6" w:rsidRDefault="001D34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D34F6" w:rsidRDefault="001D34F6">
      <w:r>
        <w:separator/>
      </w:r>
    </w:p>
  </w:footnote>
  <w:footnote w:type="continuationSeparator" w:id="0">
    <w:p w:rsidR="001D34F6" w:rsidRDefault="001D34F6">
      <w:r>
        <w:continuationSeparator/>
      </w:r>
    </w:p>
  </w:footnote>
  <w:footnote w:id="1">
    <w:p w:rsidR="00A754AC" w:rsidRDefault="001D34F6">
      <w:pPr>
        <w:pStyle w:val="FootnoteText"/>
      </w:pPr>
      <w:r>
        <w:rPr>
          <w:rStyle w:val="FootnoteReference"/>
        </w:rPr>
        <w:footnoteRef/>
      </w:r>
      <w:r>
        <w:t xml:space="preserve"> </w:t>
      </w:r>
      <w:r>
        <w:t>Detailed instructions for creating this headcam can be found at [BLINDED].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rsidR="00AF36ED" w:rsidRDefault="001D34F6"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1D34F6"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rsidR="00AF36ED" w:rsidRDefault="001D34F6"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F36ED" w:rsidRDefault="001D34F6" w:rsidP="00572FF5">
    <w:pPr>
      <w:pStyle w:val="Header"/>
      <w:ind w:right="357"/>
      <w:rPr>
        <w:lang w:val="de-DE"/>
      </w:rPr>
    </w:pPr>
    <w:r w:rsidRPr="005036C4">
      <w:t>Automated detection of social information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EndPr>
      <w:rPr>
        <w:rStyle w:val="PageNumber"/>
      </w:rPr>
    </w:sdtEndPr>
    <w:sdtContent>
      <w:p w:rsidR="00CB20D0" w:rsidRDefault="001D34F6"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rsidR="00CB20D0" w:rsidRPr="00CB20D0" w:rsidRDefault="001D34F6" w:rsidP="00CB20D0">
    <w:pPr>
      <w:pStyle w:val="Header"/>
      <w:ind w:right="357"/>
      <w:rPr>
        <w:lang w:val="de-DE"/>
      </w:rPr>
    </w:pPr>
    <w:r w:rsidRPr="005036C4">
      <w:t>Running head: Automated detection of social information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108CF9"/>
    <w:multiLevelType w:val="multilevel"/>
    <w:tmpl w:val="E564D1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D34F6"/>
    <w:rsid w:val="004E29B3"/>
    <w:rsid w:val="00590D07"/>
    <w:rsid w:val="005C1301"/>
    <w:rsid w:val="00784D58"/>
    <w:rsid w:val="008D6863"/>
    <w:rsid w:val="00A754AC"/>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E5B9FF"/>
  <w15:docId w15:val="{F310822A-AA3C-214E-B7A2-4BFF42999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vidsandberg/facenet"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bria@stanford.edu"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github.com/CMU-Perceptual-Computing-Lab/openpose"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9220</Words>
  <Characters>52558</Characters>
  <Application>Microsoft Office Word</Application>
  <DocSecurity>0</DocSecurity>
  <Lines>437</Lines>
  <Paragraphs>123</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61655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detections reveal the social information in the changing infant view</dc:title>
  <dc:creator>Long, Bria Lorelle</dc:creator>
  <cp:lastModifiedBy>Long, Bria Lorelle</cp:lastModifiedBy>
  <cp:revision>2</cp:revision>
  <dcterms:created xsi:type="dcterms:W3CDTF">2020-08-24T22:26:00Z</dcterms:created>
  <dcterms:modified xsi:type="dcterms:W3CDTF">2020-08-24T22:26:00Z</dcterms:modified>
</cp:coreProperties>
</file>