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99" w:rsidRDefault="00937F99">
      <w:r>
        <w:t xml:space="preserve"> </w:t>
      </w:r>
    </w:p>
    <w:sdt>
      <w:sdtPr>
        <w:id w:val="-8992799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820DA" w:rsidRPr="0020124E" w:rsidRDefault="002820DA">
          <w:r w:rsidRPr="0020124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9147CCE" wp14:editId="2204E5F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750683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Boletim de Jurisprudência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750683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Boletim de Jurisprudência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820DA" w:rsidRPr="0020124E" w:rsidRDefault="002820DA"/>
        <w:p w:rsidR="002820DA" w:rsidRPr="0020124E" w:rsidRDefault="002820DA"/>
        <w:p w:rsidR="002820DA" w:rsidRPr="0020124E" w:rsidRDefault="002820DA"/>
        <w:p w:rsidR="002820DA" w:rsidRPr="0020124E" w:rsidRDefault="002820DA" w:rsidP="00AE773D">
          <w:pPr>
            <w:ind w:left="3119"/>
          </w:pPr>
          <w:r w:rsidRPr="0020124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F6392D" wp14:editId="70FC3907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78157215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Tribunal de Contas do Estado do Piauí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1338498712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Comissão de Regimento e Jurisprudência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872693655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3E18" w:rsidRDefault="00D03E18" w:rsidP="00AE773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MED&#10;KEmGAgAAdA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78157215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Tribunal de Contas do Estado do Piauí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1338498712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Comissão de Regimento e Jurisprudência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872693655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D03E18" w:rsidRDefault="00D03E18" w:rsidP="00AE773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0124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724BEE7" wp14:editId="77BC530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8008065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EDIÇÃO </w:t>
                                    </w:r>
                                    <w:r w:rsidR="00050D4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OFICIAL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– </w:t>
                                    </w:r>
                                    <w:r w:rsidR="0020124E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ABRIL</w:t>
                                    </w:r>
                                    <w:r w:rsidR="00050D4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- 2018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1530447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3E18" w:rsidRDefault="004F3E19" w:rsidP="004F3E19">
                                    <w:pPr>
                                      <w:suppressOverlap/>
                                      <w:jc w:val="both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      </w:r>
                                    <w:r w:rsidR="0020124E">
                                      <w:rPr>
                                        <w:color w:val="1F497D" w:themeColor="text2"/>
                                      </w:rPr>
                                      <w:t>abril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 de 2018. Este documento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não substitui a publicação oficial das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decisões e seus efeitos legais. </w:t>
                                    </w:r>
                                  </w:p>
                                </w:sdtContent>
                              </w:sdt>
                              <w:p w:rsidR="00D03E18" w:rsidRDefault="00D03E18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aixa de Texto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7TjA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44HZNdR7JNxDNzrB8VuFpNyxEB+Zx1lB&#10;jnH+4wN+pAYsPvQSJRvwv/52n/DYwqilpMHZq2j4uWVeUKK/Wmzuy9HpaRrWfBhNx9Mpnvyxan18&#10;sFuzBKRlhKvG8SwmfNSDKD2YZ9wTi/Qsqpjl+HhF4yAuY7cScM9wsVhkEM6nY/HOrhxPrhNLqeee&#10;2mfmXd+YEXv6HoYxZbM3/dlhk6WFxTaCVLl5U6G7svYE4Gznnu73UFoex+eMet2W89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ZB3e04wCAAB1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8008065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EDIÇÃO </w:t>
                              </w:r>
                              <w:r w:rsidR="00050D4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OFICIAL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– </w:t>
                              </w:r>
                              <w:r w:rsidR="0020124E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ABRIL</w:t>
                              </w:r>
                              <w:r w:rsidR="00050D4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- 2018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1530447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03E18" w:rsidRDefault="004F3E19" w:rsidP="004F3E19">
                              <w:pPr>
                                <w:suppressOverlap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</w:r>
                              <w:r w:rsidR="0020124E">
                                <w:rPr>
                                  <w:color w:val="1F497D" w:themeColor="text2"/>
                                </w:rPr>
                                <w:t>abril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 de 2018. Este documento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não substitui a publicação oficial das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decisões e seus efeitos legais. </w:t>
                              </w:r>
                            </w:p>
                          </w:sdtContent>
                        </w:sdt>
                        <w:p w:rsidR="00D03E18" w:rsidRDefault="00D03E1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0124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ECAD6DE" wp14:editId="16A1BE8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â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AE773D" w:rsidRPr="0020124E">
            <w:rPr>
              <w:noProof/>
              <w:lang w:eastAsia="pt-BR"/>
            </w:rPr>
            <w:drawing>
              <wp:inline distT="0" distB="0" distL="0" distR="0" wp14:anchorId="5616ACD0" wp14:editId="3EF07FC1">
                <wp:extent cx="1570007" cy="1503490"/>
                <wp:effectExtent l="0" t="0" r="0" b="1905"/>
                <wp:docPr id="3" name="Imagem 3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629" cy="1509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20124E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B61E0F0" wp14:editId="64FF182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Pr="0020124E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3758109"/>
        <w:docPartObj>
          <w:docPartGallery w:val="Table of Contents"/>
          <w:docPartUnique/>
        </w:docPartObj>
      </w:sdtPr>
      <w:sdtEndPr/>
      <w:sdtContent>
        <w:p w:rsidR="00333CF2" w:rsidRPr="0020124E" w:rsidRDefault="00333CF2" w:rsidP="00723A08">
          <w:pPr>
            <w:pStyle w:val="CabealhodoSumrio"/>
            <w:tabs>
              <w:tab w:val="left" w:pos="5638"/>
            </w:tabs>
            <w:jc w:val="both"/>
          </w:pPr>
          <w:r w:rsidRPr="0020124E">
            <w:t>Sumário</w:t>
          </w:r>
          <w:r w:rsidR="00723A08" w:rsidRPr="0020124E">
            <w:tab/>
          </w:r>
          <w:bookmarkStart w:id="0" w:name="_GoBack"/>
          <w:bookmarkEnd w:id="0"/>
        </w:p>
        <w:p w:rsidR="00BB38F8" w:rsidRDefault="00333C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20124E">
            <w:fldChar w:fldCharType="begin"/>
          </w:r>
          <w:r w:rsidRPr="0020124E">
            <w:instrText xml:space="preserve"> TOC \o "1-3" \h \z \u </w:instrText>
          </w:r>
          <w:r w:rsidRPr="0020124E">
            <w:fldChar w:fldCharType="separate"/>
          </w:r>
          <w:hyperlink w:anchor="_Toc513191101" w:history="1">
            <w:r w:rsidR="00BB38F8" w:rsidRPr="00681FB9">
              <w:rPr>
                <w:rStyle w:val="Hyperlink"/>
                <w:noProof/>
              </w:rPr>
              <w:t>CÂMARA MUNICIPAL</w:t>
            </w:r>
            <w:r w:rsidR="00BB38F8">
              <w:rPr>
                <w:noProof/>
                <w:webHidden/>
              </w:rPr>
              <w:tab/>
            </w:r>
            <w:r w:rsidR="00BB38F8">
              <w:rPr>
                <w:noProof/>
                <w:webHidden/>
              </w:rPr>
              <w:fldChar w:fldCharType="begin"/>
            </w:r>
            <w:r w:rsidR="00BB38F8">
              <w:rPr>
                <w:noProof/>
                <w:webHidden/>
              </w:rPr>
              <w:instrText xml:space="preserve"> PAGEREF _Toc513191101 \h </w:instrText>
            </w:r>
            <w:r w:rsidR="00BB38F8">
              <w:rPr>
                <w:noProof/>
                <w:webHidden/>
              </w:rPr>
            </w:r>
            <w:r w:rsidR="00BB38F8">
              <w:rPr>
                <w:noProof/>
                <w:webHidden/>
              </w:rPr>
              <w:fldChar w:fldCharType="separate"/>
            </w:r>
            <w:r w:rsidR="00BB38F8">
              <w:rPr>
                <w:noProof/>
                <w:webHidden/>
              </w:rPr>
              <w:t>2</w:t>
            </w:r>
            <w:r w:rsidR="00BB38F8"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3191102" w:history="1">
            <w:r w:rsidRPr="00681FB9">
              <w:rPr>
                <w:rStyle w:val="Hyperlink"/>
                <w:noProof/>
              </w:rPr>
              <w:t>Câmara Municipal. Despesa acima do limite constitucional.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91103" w:history="1">
            <w:r w:rsidRPr="00681FB9">
              <w:rPr>
                <w:rStyle w:val="Hyperlink"/>
                <w:noProof/>
              </w:rPr>
              <w:t>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 w:rsidP="003B5863">
          <w:pPr>
            <w:pStyle w:val="Sumrio1"/>
            <w:tabs>
              <w:tab w:val="right" w:leader="dot" w:pos="8494"/>
            </w:tabs>
            <w:ind w:left="284"/>
            <w:rPr>
              <w:rFonts w:eastAsiaTheme="minorEastAsia"/>
              <w:noProof/>
              <w:lang w:eastAsia="pt-BR"/>
            </w:rPr>
          </w:pPr>
          <w:hyperlink w:anchor="_Toc513191104" w:history="1">
            <w:r w:rsidRPr="00681FB9">
              <w:rPr>
                <w:rStyle w:val="Hyperlink"/>
                <w:noProof/>
              </w:rPr>
              <w:t>Contrato. Prorrogação contratual. Controle de pragas.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 w:rsidP="003B5863">
          <w:pPr>
            <w:pStyle w:val="Sumrio1"/>
            <w:tabs>
              <w:tab w:val="right" w:leader="dot" w:pos="8494"/>
            </w:tabs>
            <w:ind w:left="284"/>
            <w:rPr>
              <w:rFonts w:eastAsiaTheme="minorEastAsia"/>
              <w:noProof/>
              <w:lang w:eastAsia="pt-BR"/>
            </w:rPr>
          </w:pPr>
          <w:hyperlink w:anchor="_Toc513191105" w:history="1">
            <w:r w:rsidRPr="00681FB9">
              <w:rPr>
                <w:rStyle w:val="Hyperlink"/>
                <w:noProof/>
              </w:rPr>
              <w:t>Contrato. Prorrogação contratual. Necessidade de comprovação de vantagem econômica.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91106" w:history="1">
            <w:r w:rsidRPr="00681FB9">
              <w:rPr>
                <w:rStyle w:val="Hyperlink"/>
                <w:noProof/>
              </w:rPr>
              <w:t>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3191107" w:history="1">
            <w:r w:rsidRPr="00681FB9">
              <w:rPr>
                <w:rStyle w:val="Hyperlink"/>
                <w:noProof/>
              </w:rPr>
              <w:t>Licitação. Inexigibilidade. Contratação de Profissionais do setor artístico. Impossibilidade de contratar empresas com carta de exclusividade temporária.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3191108" w:history="1">
            <w:r w:rsidRPr="00681FB9">
              <w:rPr>
                <w:rStyle w:val="Hyperlink"/>
                <w:noProof/>
              </w:rPr>
              <w:t>Licitação. Parecer jurídico. Inexistência de assessoria jurídica no órgão.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91109" w:history="1">
            <w:r w:rsidRPr="00681FB9">
              <w:rPr>
                <w:rStyle w:val="Hyperlink"/>
                <w:noProof/>
              </w:rPr>
              <w:t>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3191110" w:history="1">
            <w:r w:rsidRPr="00681FB9">
              <w:rPr>
                <w:rStyle w:val="Hyperlink"/>
                <w:noProof/>
              </w:rPr>
              <w:t>Pessoal. Comprovação de criação de cargos.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91111" w:history="1">
            <w:r w:rsidRPr="00681FB9">
              <w:rPr>
                <w:rStyle w:val="Hyperlink"/>
                <w:noProof/>
              </w:rPr>
              <w:t>PREVIDÊNCIA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3191112" w:history="1">
            <w:r w:rsidRPr="00681FB9">
              <w:rPr>
                <w:rStyle w:val="Hyperlink"/>
                <w:noProof/>
              </w:rPr>
              <w:t>Previdência. Não parcelamento de dívidas pretéritas. Aplicação de multa ao gestor.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191113" w:history="1">
            <w:r w:rsidRPr="00681FB9">
              <w:rPr>
                <w:rStyle w:val="Hyperlink"/>
                <w:noProof/>
              </w:rPr>
              <w:t>PROCESSUAL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8F8" w:rsidRDefault="00BB38F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3191114" w:history="1">
            <w:r w:rsidRPr="00681FB9">
              <w:rPr>
                <w:rStyle w:val="Hyperlink"/>
                <w:noProof/>
              </w:rPr>
              <w:t>Processual. Pedido de Revisão. Cabimento.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F2" w:rsidRPr="0020124E" w:rsidRDefault="00333CF2" w:rsidP="002820DA">
          <w:pPr>
            <w:jc w:val="both"/>
          </w:pPr>
          <w:r w:rsidRPr="0020124E">
            <w:rPr>
              <w:b/>
              <w:bCs/>
            </w:rPr>
            <w:fldChar w:fldCharType="end"/>
          </w:r>
        </w:p>
      </w:sdtContent>
    </w:sdt>
    <w:p w:rsidR="00723A08" w:rsidRPr="0020124E" w:rsidRDefault="00723A08" w:rsidP="00EA2E20">
      <w:pPr>
        <w:pStyle w:val="Ttulo1"/>
        <w:jc w:val="both"/>
      </w:pPr>
    </w:p>
    <w:p w:rsidR="00BB38F8" w:rsidRDefault="00BB38F8" w:rsidP="00723A08"/>
    <w:p w:rsidR="00BB38F8" w:rsidRDefault="00BB38F8">
      <w:r>
        <w:br w:type="page"/>
      </w:r>
    </w:p>
    <w:p w:rsidR="00BB38F8" w:rsidRPr="0020124E" w:rsidRDefault="00BB38F8" w:rsidP="00BB38F8">
      <w:pPr>
        <w:pStyle w:val="Ttulo1"/>
        <w:jc w:val="both"/>
      </w:pPr>
      <w:bookmarkStart w:id="1" w:name="_Toc513191101"/>
      <w:r w:rsidRPr="0020124E">
        <w:t>CÂMARA MUNICIPAL</w:t>
      </w:r>
      <w:bookmarkEnd w:id="1"/>
    </w:p>
    <w:p w:rsidR="00BB38F8" w:rsidRPr="0020124E" w:rsidRDefault="00BB38F8" w:rsidP="00BB38F8">
      <w:pPr>
        <w:pStyle w:val="Ttulo2"/>
        <w:jc w:val="both"/>
      </w:pPr>
      <w:bookmarkStart w:id="2" w:name="_Toc513191102"/>
      <w:r w:rsidRPr="0020124E">
        <w:t>Câmara Municipal. Despesa acima do limite constitucional.</w:t>
      </w:r>
      <w:bookmarkEnd w:id="2"/>
    </w:p>
    <w:p w:rsidR="00BB38F8" w:rsidRPr="0020124E" w:rsidRDefault="00BB38F8" w:rsidP="00BB38F8">
      <w:pPr>
        <w:jc w:val="both"/>
      </w:pPr>
    </w:p>
    <w:p w:rsidR="00BB38F8" w:rsidRPr="0020124E" w:rsidRDefault="00BB38F8" w:rsidP="00BB38F8">
      <w:pPr>
        <w:ind w:left="2268"/>
        <w:jc w:val="both"/>
      </w:pPr>
      <w:r w:rsidRPr="0020124E">
        <w:t xml:space="preserve">CÂMARA MUNICIPAL. CONTAS DA CÂMARA MUNICIPAL. INGRESSO EXTEMPORÂNEO DA PRESTAÇÃO DE CONTAS MENSAL.  DESPESA TOTAL DA CÂMARA MUNCIPAL ACIMA DO LIMITE CONSTITUCIONAL. </w:t>
      </w:r>
    </w:p>
    <w:p w:rsidR="00BB38F8" w:rsidRPr="0020124E" w:rsidRDefault="00BB38F8" w:rsidP="00BB38F8">
      <w:pPr>
        <w:pStyle w:val="PargrafodaLista"/>
        <w:numPr>
          <w:ilvl w:val="0"/>
          <w:numId w:val="16"/>
        </w:numPr>
        <w:ind w:left="2268" w:firstLine="0"/>
        <w:jc w:val="both"/>
      </w:pPr>
      <w:r w:rsidRPr="0020124E">
        <w:t>A realização de despesas pela Câmara Municipal acima do limite previsto no artigo 29-A da CF/88, ainda que autorizado pela Lei de Diretrizes Orçamentária do Município, é falha grave por flagrante desrespeito à Constituição, o que enseja a reprovação de contas do órgão.</w:t>
      </w:r>
    </w:p>
    <w:p w:rsidR="00BB38F8" w:rsidRPr="0020124E" w:rsidRDefault="00BB38F8" w:rsidP="00BB38F8">
      <w:pPr>
        <w:ind w:left="2268"/>
        <w:jc w:val="both"/>
      </w:pPr>
      <w:r w:rsidRPr="0020124E">
        <w:t xml:space="preserve">(Prestação de Contas. Processo </w:t>
      </w:r>
      <w:hyperlink r:id="rId11" w:history="1">
        <w:r w:rsidRPr="0020124E">
          <w:rPr>
            <w:rStyle w:val="Hyperlink"/>
          </w:rPr>
          <w:t>TC/002885/2016</w:t>
        </w:r>
      </w:hyperlink>
      <w:r w:rsidRPr="0020124E">
        <w:t xml:space="preserve"> – Relatora: Cons.ª Waltânia Maria N. de Sousa Leal Alvarenga. Segunda Câmara. Decisão unânime. Acórdão nº 527/18 publicado no </w:t>
      </w:r>
      <w:hyperlink r:id="rId12" w:history="1">
        <w:r w:rsidRPr="0020124E">
          <w:rPr>
            <w:rStyle w:val="Hyperlink"/>
          </w:rPr>
          <w:t>DOE/TCE-PI º 065/18</w:t>
        </w:r>
      </w:hyperlink>
      <w:r w:rsidRPr="0020124E">
        <w:t>)</w:t>
      </w:r>
    </w:p>
    <w:p w:rsidR="00BB38F8" w:rsidRPr="0020124E" w:rsidRDefault="00BB38F8" w:rsidP="00BB38F8">
      <w:pPr>
        <w:pStyle w:val="Ttulo1"/>
        <w:jc w:val="both"/>
      </w:pPr>
      <w:bookmarkStart w:id="3" w:name="_Toc513191103"/>
      <w:r w:rsidRPr="0020124E">
        <w:t>CONTRATO</w:t>
      </w:r>
      <w:bookmarkEnd w:id="3"/>
    </w:p>
    <w:p w:rsidR="00BB38F8" w:rsidRPr="0020124E" w:rsidRDefault="00BB38F8" w:rsidP="00BB38F8">
      <w:pPr>
        <w:pStyle w:val="Ttulo1"/>
        <w:jc w:val="both"/>
      </w:pPr>
      <w:bookmarkStart w:id="4" w:name="_Toc513191104"/>
      <w:r w:rsidRPr="0020124E">
        <w:t>Contrato. Prorrogação contratual. Controle de pragas.</w:t>
      </w:r>
      <w:bookmarkEnd w:id="4"/>
    </w:p>
    <w:p w:rsidR="00BB38F8" w:rsidRPr="0020124E" w:rsidRDefault="00BB38F8" w:rsidP="00BB38F8">
      <w:pPr>
        <w:tabs>
          <w:tab w:val="left" w:pos="1032"/>
        </w:tabs>
        <w:ind w:left="2268"/>
        <w:jc w:val="both"/>
      </w:pPr>
    </w:p>
    <w:p w:rsidR="00BB38F8" w:rsidRPr="0020124E" w:rsidRDefault="00BB38F8" w:rsidP="00BB38F8">
      <w:pPr>
        <w:tabs>
          <w:tab w:val="left" w:pos="1032"/>
        </w:tabs>
        <w:ind w:left="2268"/>
        <w:jc w:val="both"/>
      </w:pPr>
      <w:r w:rsidRPr="0020124E">
        <w:t>CONTRATO. PRORROGAÇÃO INDEVIDA DE CONTRATO DE NATUREZA NÃO CONTINUADA COM BASE NO ART. 57, II, DA LEI 8.666/93.</w:t>
      </w:r>
    </w:p>
    <w:p w:rsidR="00BB38F8" w:rsidRPr="0020124E" w:rsidRDefault="00BB38F8" w:rsidP="00BB38F8">
      <w:pPr>
        <w:pStyle w:val="PargrafodaLista"/>
        <w:numPr>
          <w:ilvl w:val="0"/>
          <w:numId w:val="20"/>
        </w:numPr>
        <w:tabs>
          <w:tab w:val="left" w:pos="1032"/>
        </w:tabs>
        <w:ind w:left="2268" w:firstLine="0"/>
        <w:jc w:val="both"/>
      </w:pPr>
      <w:r w:rsidRPr="0020124E">
        <w:t>O objeto do contrato oriundo do Pregão Eletrônico nº 001/2016, consistente no controle de pragas, não se caracteriza, pela sua natureza, como atividade destinada a suprir necessidade administrativa rotineira e permanente, por isso não deveria ser prorrogada com base no art. 57, II, da Lei 8.666/93.</w:t>
      </w:r>
    </w:p>
    <w:p w:rsidR="00BB38F8" w:rsidRPr="0020124E" w:rsidRDefault="00BB38F8" w:rsidP="00BB38F8">
      <w:pPr>
        <w:tabs>
          <w:tab w:val="left" w:pos="1032"/>
        </w:tabs>
        <w:ind w:left="2268"/>
        <w:jc w:val="both"/>
      </w:pPr>
      <w:r w:rsidRPr="0020124E">
        <w:t xml:space="preserve">(Prestação de Contas. Processo </w:t>
      </w:r>
      <w:hyperlink r:id="rId13" w:history="1">
        <w:r w:rsidRPr="0020124E">
          <w:rPr>
            <w:rStyle w:val="Hyperlink"/>
          </w:rPr>
          <w:t>TC/004647/2016</w:t>
        </w:r>
      </w:hyperlink>
      <w:r w:rsidRPr="0020124E">
        <w:t xml:space="preserve"> – Relatora: Cons.ª Lílian de Almeida Veloso Nunes Martins. Plenário. Decisão unânime. Acórdão nº 561/18 publicado no </w:t>
      </w:r>
      <w:hyperlink r:id="rId14" w:history="1">
        <w:r w:rsidRPr="0020124E">
          <w:rPr>
            <w:rStyle w:val="Hyperlink"/>
          </w:rPr>
          <w:t>DOE/TCE-PI º 073/18</w:t>
        </w:r>
      </w:hyperlink>
      <w:r w:rsidRPr="0020124E">
        <w:t>)</w:t>
      </w:r>
    </w:p>
    <w:p w:rsidR="00BB38F8" w:rsidRPr="0020124E" w:rsidRDefault="00BB38F8" w:rsidP="00BB38F8">
      <w:pPr>
        <w:pStyle w:val="Ttulo1"/>
        <w:jc w:val="both"/>
        <w:rPr>
          <w:color w:val="4F81BD" w:themeColor="accent1"/>
          <w:sz w:val="26"/>
          <w:szCs w:val="26"/>
        </w:rPr>
      </w:pPr>
      <w:bookmarkStart w:id="5" w:name="_Toc513191105"/>
      <w:r w:rsidRPr="0020124E">
        <w:rPr>
          <w:color w:val="4F81BD" w:themeColor="accent1"/>
          <w:sz w:val="26"/>
          <w:szCs w:val="26"/>
        </w:rPr>
        <w:t>Contrato. Prorrogação contratual. Necessidade de comprovação de vantagem econômica.</w:t>
      </w:r>
      <w:bookmarkEnd w:id="5"/>
    </w:p>
    <w:p w:rsidR="00BB38F8" w:rsidRPr="0020124E" w:rsidRDefault="00BB38F8" w:rsidP="00BB38F8">
      <w:pPr>
        <w:tabs>
          <w:tab w:val="left" w:pos="1032"/>
        </w:tabs>
        <w:ind w:left="2268"/>
        <w:jc w:val="both"/>
      </w:pPr>
    </w:p>
    <w:p w:rsidR="00BB38F8" w:rsidRPr="0020124E" w:rsidRDefault="00BB38F8" w:rsidP="00BB38F8">
      <w:pPr>
        <w:tabs>
          <w:tab w:val="left" w:pos="1032"/>
        </w:tabs>
        <w:ind w:left="2268"/>
        <w:jc w:val="both"/>
        <w:rPr>
          <w:bCs/>
        </w:rPr>
      </w:pPr>
      <w:r w:rsidRPr="0020124E">
        <w:rPr>
          <w:bCs/>
        </w:rPr>
        <w:t>CONTRATO. LICITAÇÃO. PRORROGAÇÃO CONTRATUAL SEM PREVISÃO LEGAL. AUSÊNCIA DE PESQUISA DE PREÇOS. APENSAMENTO AO PROCESSO DE PRESTAÇÃO DE CONTAS MESMO QUE PROCEDENTE PARCIALMENTE.</w:t>
      </w:r>
    </w:p>
    <w:p w:rsidR="00BB38F8" w:rsidRPr="0020124E" w:rsidRDefault="00BB38F8" w:rsidP="00BB38F8">
      <w:pPr>
        <w:pStyle w:val="PargrafodaLista"/>
        <w:numPr>
          <w:ilvl w:val="0"/>
          <w:numId w:val="15"/>
        </w:numPr>
        <w:tabs>
          <w:tab w:val="left" w:pos="1032"/>
        </w:tabs>
        <w:ind w:left="2268" w:firstLine="0"/>
        <w:jc w:val="both"/>
        <w:rPr>
          <w:bCs/>
          <w:u w:val="single"/>
        </w:rPr>
      </w:pPr>
      <w:r w:rsidRPr="0020124E">
        <w:rPr>
          <w:bCs/>
          <w:u w:val="single"/>
        </w:rPr>
        <w:t>A Lei nº 8.666/93, em seu art. 57, informa que a duração dos contratos ficará adstrita à vigência dos respectivos créditos orçamentários, não excetuando o fornecimento de bens (compras). Observa, ainda, que a prorrogação contratual, quando admitida, depende da comprovação de maior vantagem econômica na manutenção do liame, considerando os preços praticados no mercado, o que não ocorreu no caso concreto, configurando irregularidade.</w:t>
      </w:r>
    </w:p>
    <w:p w:rsidR="00BB38F8" w:rsidRPr="0020124E" w:rsidRDefault="00BB38F8" w:rsidP="00BB38F8">
      <w:pPr>
        <w:pStyle w:val="PargrafodaLista"/>
        <w:numPr>
          <w:ilvl w:val="0"/>
          <w:numId w:val="15"/>
        </w:numPr>
        <w:tabs>
          <w:tab w:val="left" w:pos="1032"/>
        </w:tabs>
        <w:ind w:left="2268" w:firstLine="0"/>
        <w:jc w:val="both"/>
        <w:rPr>
          <w:bCs/>
        </w:rPr>
      </w:pPr>
      <w:r w:rsidRPr="0020124E">
        <w:rPr>
          <w:bCs/>
        </w:rPr>
        <w:t>Procedimento Licitatório cadastrado incompleto no Sistema Licitações Web (ausência de termo de referência), bem como inobservância à exigência do art. 40, §2º, II e do art. 43, IV, ambos da Lei 8.66693, e art. 3º, III, da Lei 10.520/02, gerando, portanto, irregularidade.</w:t>
      </w:r>
    </w:p>
    <w:p w:rsidR="00BB38F8" w:rsidRPr="0020124E" w:rsidRDefault="00BB38F8" w:rsidP="00BB38F8">
      <w:pPr>
        <w:pStyle w:val="PargrafodaLista"/>
        <w:numPr>
          <w:ilvl w:val="0"/>
          <w:numId w:val="15"/>
        </w:numPr>
        <w:tabs>
          <w:tab w:val="left" w:pos="1032"/>
        </w:tabs>
        <w:ind w:left="2268" w:firstLine="0"/>
        <w:jc w:val="both"/>
        <w:rPr>
          <w:bCs/>
        </w:rPr>
      </w:pPr>
      <w:r w:rsidRPr="0020124E">
        <w:rPr>
          <w:bCs/>
        </w:rPr>
        <w:t>Ainda que em parte, a Procedência em Processos de Representação demanda apensamento do presente Processo aos Processos de Prestação de Contas do exercício, com o fito de que sejam consideradas quando da análise, repercutindo de forma negativa.</w:t>
      </w:r>
    </w:p>
    <w:p w:rsidR="00BB38F8" w:rsidRPr="0020124E" w:rsidRDefault="00BB38F8" w:rsidP="00BB38F8">
      <w:pPr>
        <w:tabs>
          <w:tab w:val="left" w:pos="1032"/>
        </w:tabs>
        <w:ind w:left="2268"/>
        <w:jc w:val="both"/>
      </w:pPr>
      <w:r w:rsidRPr="0020124E">
        <w:t xml:space="preserve">(Prestação de Contas. Processo </w:t>
      </w:r>
      <w:hyperlink r:id="rId15" w:history="1">
        <w:r w:rsidRPr="0020124E">
          <w:rPr>
            <w:rStyle w:val="Hyperlink"/>
          </w:rPr>
          <w:t>TC/</w:t>
        </w:r>
        <w:r w:rsidRPr="0020124E">
          <w:rPr>
            <w:rStyle w:val="Hyperlink"/>
            <w:bCs/>
          </w:rPr>
          <w:t>009318/2017</w:t>
        </w:r>
      </w:hyperlink>
      <w:r w:rsidRPr="0020124E">
        <w:t xml:space="preserve"> – Relator: Cons. </w:t>
      </w:r>
      <w:r w:rsidRPr="0020124E">
        <w:rPr>
          <w:bCs/>
        </w:rPr>
        <w:t>Luciano Nunes Santos</w:t>
      </w:r>
      <w:r w:rsidRPr="0020124E">
        <w:t xml:space="preserve">. Plenário. Decisão unânime. Acórdão nº 451/18 publicado no </w:t>
      </w:r>
      <w:hyperlink r:id="rId16" w:history="1">
        <w:r w:rsidRPr="0020124E">
          <w:rPr>
            <w:rStyle w:val="Hyperlink"/>
          </w:rPr>
          <w:t>DOE/TCE-PI º 062/18</w:t>
        </w:r>
      </w:hyperlink>
      <w:r w:rsidRPr="0020124E">
        <w:t>)</w:t>
      </w:r>
    </w:p>
    <w:p w:rsidR="00BB38F8" w:rsidRPr="0020124E" w:rsidRDefault="00BB38F8" w:rsidP="00BB38F8">
      <w:pPr>
        <w:pStyle w:val="Ttulo1"/>
        <w:jc w:val="both"/>
      </w:pPr>
      <w:bookmarkStart w:id="6" w:name="_Toc513191106"/>
      <w:r w:rsidRPr="0020124E">
        <w:t>LICITAÇÃO</w:t>
      </w:r>
      <w:bookmarkEnd w:id="6"/>
    </w:p>
    <w:p w:rsidR="00BB38F8" w:rsidRPr="0020124E" w:rsidRDefault="00BB38F8" w:rsidP="00BB38F8">
      <w:pPr>
        <w:pStyle w:val="Ttulo2"/>
        <w:jc w:val="both"/>
      </w:pPr>
      <w:bookmarkStart w:id="7" w:name="_Toc513191107"/>
      <w:r w:rsidRPr="0020124E">
        <w:t>Licitação. Inexigibilidade. Contratação de Profissionais do setor artístico. Impossibilidade de contratar empresas com carta de exclusividade temporária.</w:t>
      </w:r>
      <w:bookmarkEnd w:id="7"/>
    </w:p>
    <w:p w:rsidR="00BB38F8" w:rsidRPr="0020124E" w:rsidRDefault="00BB38F8" w:rsidP="00BB38F8">
      <w:pPr>
        <w:ind w:left="2268"/>
        <w:jc w:val="both"/>
      </w:pPr>
    </w:p>
    <w:p w:rsidR="00BB38F8" w:rsidRPr="0020124E" w:rsidRDefault="00BB38F8" w:rsidP="00BB38F8">
      <w:pPr>
        <w:ind w:left="2268"/>
        <w:jc w:val="both"/>
      </w:pPr>
      <w:r w:rsidRPr="0020124E">
        <w:t>LICITAÇÃO. DECRETAÇÃO DE EMERGÊNCIA. PROCESSOS DE INEXIGBILIDADE E DISPENSA DE LICITAÇÃO. CONTRATAÇÃO DE BANDAS E FESTA. FRAGMENTAÇÃO DE DESPESA. PAGAMENTOS ACIMA DO INDICADO. EXIGÊNCIAS NA CONTRATAÇÃO DE PROFISSIONAIS DO SETOR ARTÍSTICO. APENSAMENTO AO PROCESSO.</w:t>
      </w:r>
    </w:p>
    <w:p w:rsidR="00BB38F8" w:rsidRPr="0020124E" w:rsidRDefault="00BB38F8" w:rsidP="00BB38F8">
      <w:pPr>
        <w:pStyle w:val="PargrafodaLista"/>
        <w:numPr>
          <w:ilvl w:val="3"/>
          <w:numId w:val="18"/>
        </w:numPr>
        <w:ind w:left="2268" w:firstLine="0"/>
        <w:jc w:val="both"/>
      </w:pPr>
      <w:r w:rsidRPr="0020124E">
        <w:t>A contratação de profissionais do setor artístico tem caráter personalíssimo e, portanto não pode extravasar as disposições do art. 25, III da lei 8.666/93, ou seja, contratação direta com o profissional ou contratação através de empresário exclusivo, não temporário e comprovada consagração pela crítica especializada ou pela opinião pública. Desta feita, recomenda-se ainda que não sejam firmados contratos com empresas de eventos que possuam somente carta de exclusividade temporária, vinculada a uma determinada data e local, situação que se enquadra no caso concreto.</w:t>
      </w:r>
    </w:p>
    <w:p w:rsidR="00BB38F8" w:rsidRPr="0020124E" w:rsidRDefault="00BB38F8" w:rsidP="00BB38F8">
      <w:pPr>
        <w:ind w:left="2268"/>
        <w:jc w:val="both"/>
      </w:pPr>
      <w:r w:rsidRPr="0020124E">
        <w:t xml:space="preserve">(Denúncia. Processo </w:t>
      </w:r>
      <w:hyperlink r:id="rId17" w:history="1">
        <w:r w:rsidRPr="0020124E">
          <w:rPr>
            <w:rStyle w:val="Hyperlink"/>
          </w:rPr>
          <w:t>TC/</w:t>
        </w:r>
        <w:r w:rsidRPr="0020124E">
          <w:rPr>
            <w:rStyle w:val="Hyperlink"/>
            <w:bCs/>
          </w:rPr>
          <w:t>016662/2017</w:t>
        </w:r>
      </w:hyperlink>
      <w:r w:rsidRPr="0020124E">
        <w:t xml:space="preserve"> – Relator: Cons. </w:t>
      </w:r>
      <w:r w:rsidRPr="0020124E">
        <w:rPr>
          <w:bCs/>
        </w:rPr>
        <w:t>Luciano Nunes Santos</w:t>
      </w:r>
      <w:r w:rsidRPr="0020124E">
        <w:t xml:space="preserve">. Primeira Câmara. Decisão unânime. Acórdão nº 400/18 publicado no </w:t>
      </w:r>
      <w:hyperlink r:id="rId18" w:history="1">
        <w:r w:rsidRPr="0020124E">
          <w:rPr>
            <w:rStyle w:val="Hyperlink"/>
          </w:rPr>
          <w:t>DOE/TCE-PI º 070/18</w:t>
        </w:r>
      </w:hyperlink>
      <w:r w:rsidRPr="0020124E">
        <w:t xml:space="preserve">) </w:t>
      </w:r>
    </w:p>
    <w:p w:rsidR="00BB38F8" w:rsidRPr="0020124E" w:rsidRDefault="00BB38F8" w:rsidP="00BB38F8">
      <w:pPr>
        <w:pStyle w:val="Ttulo2"/>
        <w:jc w:val="both"/>
      </w:pPr>
    </w:p>
    <w:p w:rsidR="00BB38F8" w:rsidRPr="0020124E" w:rsidRDefault="00BB38F8" w:rsidP="00BB38F8">
      <w:pPr>
        <w:pStyle w:val="Ttulo2"/>
        <w:jc w:val="both"/>
      </w:pPr>
      <w:bookmarkStart w:id="8" w:name="_Toc513191108"/>
      <w:r w:rsidRPr="0020124E">
        <w:t>Licitação. Parecer jurídico. Inexistência de assessoria jurídica no órgão.</w:t>
      </w:r>
      <w:bookmarkEnd w:id="8"/>
    </w:p>
    <w:p w:rsidR="00BB38F8" w:rsidRPr="0020124E" w:rsidRDefault="00BB38F8" w:rsidP="00BB38F8">
      <w:pPr>
        <w:ind w:left="2268"/>
        <w:jc w:val="both"/>
      </w:pPr>
    </w:p>
    <w:p w:rsidR="00BB38F8" w:rsidRPr="0020124E" w:rsidRDefault="00BB38F8" w:rsidP="00BB38F8">
      <w:pPr>
        <w:ind w:left="2268"/>
        <w:jc w:val="both"/>
      </w:pPr>
      <w:r w:rsidRPr="0020124E">
        <w:t>LICITAÇÃO. IRREGULARIDADES EM PROCESSOS LICITATÓRIOS. AUSÊNCIA DE PARECER TÉCNICO OU JURÍDICO.</w:t>
      </w:r>
    </w:p>
    <w:p w:rsidR="00BB38F8" w:rsidRPr="0020124E" w:rsidRDefault="00BB38F8" w:rsidP="00BB38F8">
      <w:pPr>
        <w:pStyle w:val="PargrafodaLista"/>
        <w:numPr>
          <w:ilvl w:val="0"/>
          <w:numId w:val="21"/>
        </w:numPr>
        <w:ind w:left="2268" w:firstLine="0"/>
        <w:jc w:val="both"/>
      </w:pPr>
      <w:r w:rsidRPr="0020124E">
        <w:t>A inexistência nos quadros de pessoal de assessoria jurídica não justifica a falta de análise e emissão de pareceres nos processos licitatórios e contratos. A orientação é que tal medida deve ser atendida pela Procuradoria Geral do Estado, também responsável pela emissão de parecer.</w:t>
      </w:r>
    </w:p>
    <w:p w:rsidR="00BB38F8" w:rsidRPr="0020124E" w:rsidRDefault="00BB38F8" w:rsidP="00BB38F8">
      <w:pPr>
        <w:ind w:left="2268"/>
        <w:jc w:val="both"/>
      </w:pPr>
      <w:r w:rsidRPr="0020124E">
        <w:t xml:space="preserve">(Prestação de Contas. Processo </w:t>
      </w:r>
      <w:hyperlink r:id="rId19" w:history="1">
        <w:r w:rsidRPr="0020124E">
          <w:rPr>
            <w:rStyle w:val="Hyperlink"/>
          </w:rPr>
          <w:t>TC/</w:t>
        </w:r>
        <w:r w:rsidRPr="0020124E">
          <w:rPr>
            <w:rStyle w:val="Hyperlink"/>
            <w:bCs/>
          </w:rPr>
          <w:t>003112/2016</w:t>
        </w:r>
      </w:hyperlink>
      <w:r w:rsidRPr="0020124E">
        <w:t xml:space="preserve"> – Relator: Cons. Abelardo Pio Vilanova e Silva. Segunda Câmara. Decisão unânime. Acórdão nº 597/18 publicado no </w:t>
      </w:r>
      <w:hyperlink r:id="rId20" w:history="1">
        <w:r w:rsidRPr="0020124E">
          <w:rPr>
            <w:rStyle w:val="Hyperlink"/>
          </w:rPr>
          <w:t>DOE/TCE-PI º 075/18</w:t>
        </w:r>
      </w:hyperlink>
      <w:r w:rsidRPr="0020124E">
        <w:t xml:space="preserve">) </w:t>
      </w:r>
    </w:p>
    <w:p w:rsidR="00BB38F8" w:rsidRPr="0020124E" w:rsidRDefault="00BB38F8" w:rsidP="00BB38F8">
      <w:pPr>
        <w:pStyle w:val="Ttulo1"/>
        <w:jc w:val="both"/>
      </w:pPr>
      <w:bookmarkStart w:id="9" w:name="_Toc513191109"/>
      <w:r w:rsidRPr="0020124E">
        <w:t>PESSOAL</w:t>
      </w:r>
      <w:bookmarkEnd w:id="9"/>
    </w:p>
    <w:p w:rsidR="00BB38F8" w:rsidRPr="0020124E" w:rsidRDefault="00BB38F8" w:rsidP="00BB38F8">
      <w:pPr>
        <w:pStyle w:val="Ttulo2"/>
        <w:jc w:val="both"/>
      </w:pPr>
      <w:bookmarkStart w:id="10" w:name="_Toc513191110"/>
      <w:r w:rsidRPr="0020124E">
        <w:t>Pessoal. Comprovação de criação de cargos.</w:t>
      </w:r>
      <w:bookmarkEnd w:id="10"/>
    </w:p>
    <w:p w:rsidR="00BB38F8" w:rsidRPr="0020124E" w:rsidRDefault="00BB38F8" w:rsidP="00BB38F8">
      <w:pPr>
        <w:ind w:left="2268"/>
        <w:jc w:val="both"/>
      </w:pPr>
    </w:p>
    <w:p w:rsidR="00BB38F8" w:rsidRPr="0020124E" w:rsidRDefault="00BB38F8" w:rsidP="00BB38F8">
      <w:pPr>
        <w:ind w:left="2268"/>
        <w:jc w:val="both"/>
        <w:rPr>
          <w:bCs/>
        </w:rPr>
      </w:pPr>
      <w:r w:rsidRPr="0020124E">
        <w:rPr>
          <w:bCs/>
        </w:rPr>
        <w:t>PESSOAL. ADMISSÃO DE PESSOAL. AUSÊNCIA DE BASE LEGAL PARA OS CARGOS OFERTADOS. ILEGALIDADE EM PROVIMENTO DE SERVIDOR QUE SUPERE O LIMITE DE VAGAS CRIADAS PARA O CARGO.</w:t>
      </w:r>
    </w:p>
    <w:p w:rsidR="00BB38F8" w:rsidRPr="0020124E" w:rsidRDefault="00BB38F8" w:rsidP="00BB38F8">
      <w:pPr>
        <w:pStyle w:val="PargrafodaLista"/>
        <w:numPr>
          <w:ilvl w:val="0"/>
          <w:numId w:val="14"/>
        </w:numPr>
        <w:ind w:left="2268" w:firstLine="0"/>
        <w:jc w:val="both"/>
        <w:rPr>
          <w:bCs/>
          <w:u w:val="single"/>
        </w:rPr>
      </w:pPr>
      <w:r w:rsidRPr="0020124E">
        <w:rPr>
          <w:bCs/>
          <w:u w:val="single"/>
        </w:rPr>
        <w:t>Projeto de Resolução que cria cargo não é documento hábil a comprovar aprovação e publicação de eventual resolução legislativa, portanto, configura-se a ausência de base legal para o cargo ofertado.</w:t>
      </w:r>
    </w:p>
    <w:p w:rsidR="00BB38F8" w:rsidRPr="0020124E" w:rsidRDefault="00BB38F8" w:rsidP="00BB38F8">
      <w:pPr>
        <w:pStyle w:val="PargrafodaLista"/>
        <w:numPr>
          <w:ilvl w:val="0"/>
          <w:numId w:val="14"/>
        </w:numPr>
        <w:ind w:left="2268" w:firstLine="0"/>
        <w:jc w:val="both"/>
        <w:rPr>
          <w:bCs/>
        </w:rPr>
      </w:pPr>
      <w:r w:rsidRPr="0020124E">
        <w:rPr>
          <w:bCs/>
        </w:rPr>
        <w:t>A existência comprovada de servidor em cargo em número superior ao previsto legalmente configura-se como ato de admissão irregular.</w:t>
      </w:r>
    </w:p>
    <w:p w:rsidR="00BB38F8" w:rsidRPr="0020124E" w:rsidRDefault="00BB38F8" w:rsidP="00BB38F8">
      <w:pPr>
        <w:pStyle w:val="PargrafodaLista"/>
        <w:ind w:left="2268"/>
        <w:jc w:val="both"/>
      </w:pPr>
      <w:r w:rsidRPr="0020124E">
        <w:t xml:space="preserve">(Pedido de Reexame. Processo </w:t>
      </w:r>
      <w:hyperlink r:id="rId21" w:history="1">
        <w:r w:rsidRPr="0020124E">
          <w:rPr>
            <w:rStyle w:val="Hyperlink"/>
          </w:rPr>
          <w:t>TC/</w:t>
        </w:r>
        <w:r w:rsidRPr="0020124E">
          <w:rPr>
            <w:rStyle w:val="Hyperlink"/>
            <w:bCs/>
          </w:rPr>
          <w:t>018907/2017</w:t>
        </w:r>
      </w:hyperlink>
      <w:r w:rsidRPr="0020124E">
        <w:t xml:space="preserve"> – Relator: Cons. </w:t>
      </w:r>
      <w:r w:rsidRPr="0020124E">
        <w:rPr>
          <w:bCs/>
        </w:rPr>
        <w:t>Luciano Nunes Santos</w:t>
      </w:r>
      <w:r w:rsidRPr="0020124E">
        <w:t xml:space="preserve">. Plenário. Decisão Unânime. Acórdão nº 360/18 publicado no </w:t>
      </w:r>
      <w:hyperlink r:id="rId22" w:history="1">
        <w:r w:rsidRPr="0020124E">
          <w:rPr>
            <w:rStyle w:val="Hyperlink"/>
          </w:rPr>
          <w:t>DOE/TCE-PI º 062/18</w:t>
        </w:r>
      </w:hyperlink>
      <w:r w:rsidRPr="0020124E">
        <w:t>)</w:t>
      </w:r>
    </w:p>
    <w:p w:rsidR="00BB38F8" w:rsidRPr="0020124E" w:rsidRDefault="00BB38F8" w:rsidP="00BB38F8">
      <w:pPr>
        <w:pStyle w:val="Ttulo1"/>
        <w:jc w:val="both"/>
      </w:pPr>
      <w:bookmarkStart w:id="11" w:name="_Toc513191111"/>
      <w:r w:rsidRPr="0020124E">
        <w:t>PREVIDÊNCIA</w:t>
      </w:r>
      <w:bookmarkEnd w:id="11"/>
    </w:p>
    <w:p w:rsidR="00BB38F8" w:rsidRPr="0020124E" w:rsidRDefault="00BB38F8" w:rsidP="00BB38F8">
      <w:pPr>
        <w:pStyle w:val="Ttulo2"/>
        <w:jc w:val="both"/>
      </w:pPr>
      <w:bookmarkStart w:id="12" w:name="_Toc513191112"/>
      <w:r w:rsidRPr="0020124E">
        <w:t>Previdência. Não parcelamento de dívidas pretéritas. Aplicação de multa ao gestor.</w:t>
      </w:r>
      <w:bookmarkEnd w:id="12"/>
    </w:p>
    <w:p w:rsidR="00BB38F8" w:rsidRPr="0020124E" w:rsidRDefault="00BB38F8" w:rsidP="00BB38F8">
      <w:pPr>
        <w:ind w:left="2268"/>
        <w:jc w:val="both"/>
      </w:pPr>
    </w:p>
    <w:p w:rsidR="00BB38F8" w:rsidRPr="0020124E" w:rsidRDefault="00BB38F8" w:rsidP="00BB38F8">
      <w:pPr>
        <w:ind w:left="2268"/>
        <w:jc w:val="both"/>
      </w:pPr>
      <w:r w:rsidRPr="0020124E">
        <w:t>PREVIDÊNCIA. IRREGULARIDADES NA PREFEITURA MUNICIPAL. EXISTÊNCIA DE DÍVIDA PREVIDENCIÁRIA PRETÉRITAS. NÃO PARCELAMENTO DA DÍVIDA.</w:t>
      </w:r>
    </w:p>
    <w:p w:rsidR="00BB38F8" w:rsidRPr="0020124E" w:rsidRDefault="00BB38F8" w:rsidP="00BB38F8">
      <w:pPr>
        <w:pStyle w:val="PargrafodaLista"/>
        <w:numPr>
          <w:ilvl w:val="0"/>
          <w:numId w:val="22"/>
        </w:numPr>
        <w:ind w:left="2268" w:firstLine="0"/>
        <w:jc w:val="both"/>
      </w:pPr>
      <w:r w:rsidRPr="0020124E">
        <w:t>Os entes públicos que possuam dívidas previdenciárias pretéritas (relativos a competências anteriores a 2017) poderão firmar Termo de Acordo de Parcelamento, nos termos da Portaria nº 333/2017 da Receita Federal do Brasil, em até 200 (duzentas) prestações mensais, iguais e sucessivas.</w:t>
      </w:r>
    </w:p>
    <w:p w:rsidR="00BB38F8" w:rsidRPr="0020124E" w:rsidRDefault="00BB38F8" w:rsidP="00BB38F8">
      <w:pPr>
        <w:pStyle w:val="PargrafodaLista"/>
        <w:numPr>
          <w:ilvl w:val="0"/>
          <w:numId w:val="22"/>
        </w:numPr>
        <w:ind w:left="2268" w:firstLine="0"/>
        <w:jc w:val="both"/>
        <w:rPr>
          <w:u w:val="single"/>
        </w:rPr>
      </w:pPr>
      <w:r w:rsidRPr="0020124E">
        <w:rPr>
          <w:u w:val="single"/>
        </w:rPr>
        <w:t>O não parcelamento das dívidas pretéritas por meio de acordo enseja a aplicação de multa ao gestor pelos Tribunais de Contas.</w:t>
      </w:r>
    </w:p>
    <w:p w:rsidR="00BB38F8" w:rsidRPr="0020124E" w:rsidRDefault="00BB38F8" w:rsidP="00BB38F8">
      <w:pPr>
        <w:pStyle w:val="PargrafodaLista"/>
        <w:ind w:left="2268"/>
        <w:jc w:val="both"/>
      </w:pPr>
      <w:r w:rsidRPr="0020124E">
        <w:t xml:space="preserve">(Representação. Processo </w:t>
      </w:r>
      <w:hyperlink r:id="rId23" w:history="1">
        <w:r w:rsidRPr="0020124E">
          <w:rPr>
            <w:rStyle w:val="Hyperlink"/>
          </w:rPr>
          <w:t>TC/</w:t>
        </w:r>
        <w:r w:rsidRPr="0020124E">
          <w:rPr>
            <w:rStyle w:val="Hyperlink"/>
            <w:bCs/>
          </w:rPr>
          <w:t>020110/2017</w:t>
        </w:r>
      </w:hyperlink>
      <w:r w:rsidRPr="0020124E">
        <w:t xml:space="preserve"> – Relatora: Cons.ª Waltânia Maria N. de Sousa Leal Alvarenga. Plenário. Decisão Unânime. Acórdão nº 612/18 publicado no </w:t>
      </w:r>
      <w:hyperlink r:id="rId24" w:history="1">
        <w:r w:rsidRPr="0020124E">
          <w:rPr>
            <w:rStyle w:val="Hyperlink"/>
          </w:rPr>
          <w:t>DOE/TCE-PI º 078/18</w:t>
        </w:r>
      </w:hyperlink>
      <w:r w:rsidRPr="0020124E">
        <w:t>)</w:t>
      </w:r>
    </w:p>
    <w:p w:rsidR="00BB38F8" w:rsidRPr="0020124E" w:rsidRDefault="00BB38F8" w:rsidP="00BB38F8">
      <w:pPr>
        <w:pStyle w:val="Ttulo1"/>
        <w:jc w:val="both"/>
      </w:pPr>
      <w:bookmarkStart w:id="13" w:name="_Toc513191113"/>
      <w:r w:rsidRPr="0020124E">
        <w:t>PROCESSUAL</w:t>
      </w:r>
      <w:bookmarkEnd w:id="13"/>
    </w:p>
    <w:p w:rsidR="00BB38F8" w:rsidRPr="0020124E" w:rsidRDefault="00BB38F8" w:rsidP="00BB38F8">
      <w:pPr>
        <w:pStyle w:val="Ttulo2"/>
        <w:jc w:val="both"/>
      </w:pPr>
      <w:bookmarkStart w:id="14" w:name="_Toc513191114"/>
      <w:r w:rsidRPr="0020124E">
        <w:t>Processual. Pedido de Revisão. Cabimento.</w:t>
      </w:r>
      <w:bookmarkEnd w:id="14"/>
    </w:p>
    <w:p w:rsidR="00BB38F8" w:rsidRPr="0020124E" w:rsidRDefault="00BB38F8" w:rsidP="00BB38F8">
      <w:pPr>
        <w:ind w:left="2268"/>
        <w:jc w:val="both"/>
      </w:pPr>
    </w:p>
    <w:p w:rsidR="00BB38F8" w:rsidRPr="0020124E" w:rsidRDefault="00BB38F8" w:rsidP="00BB38F8">
      <w:pPr>
        <w:ind w:left="2268"/>
        <w:jc w:val="both"/>
      </w:pPr>
      <w:r w:rsidRPr="0020124E">
        <w:t xml:space="preserve">PROCESSUAL. FALHAS DE NATUREZA FORMAL. NÃO CONHECIMENTO. </w:t>
      </w:r>
    </w:p>
    <w:p w:rsidR="00BB38F8" w:rsidRPr="0020124E" w:rsidRDefault="00BB38F8" w:rsidP="00BB38F8">
      <w:pPr>
        <w:pStyle w:val="PargrafodaLista"/>
        <w:numPr>
          <w:ilvl w:val="0"/>
          <w:numId w:val="17"/>
        </w:numPr>
        <w:ind w:left="2268" w:firstLine="0"/>
        <w:jc w:val="both"/>
      </w:pPr>
      <w:r w:rsidRPr="0020124E">
        <w:t>O pedido de revisão além de não configurar nova oportunidade para rediscutir critérios de julgamento, também não é meio idôneo para sanar as lacunas probatórias ou as eventuais imperfeições da linha de defesa utilizada, mormente porque o meio adequado para tanto seria o recurso de reconsideração.</w:t>
      </w:r>
    </w:p>
    <w:p w:rsidR="00BB38F8" w:rsidRDefault="00BB38F8" w:rsidP="00BB38F8">
      <w:pPr>
        <w:pStyle w:val="PargrafodaLista"/>
        <w:ind w:left="2268"/>
        <w:jc w:val="both"/>
      </w:pPr>
      <w:r w:rsidRPr="0020124E">
        <w:t xml:space="preserve">(Pedido de Revisão. Processo </w:t>
      </w:r>
      <w:hyperlink r:id="rId25" w:history="1">
        <w:r w:rsidRPr="0020124E">
          <w:rPr>
            <w:rStyle w:val="Hyperlink"/>
          </w:rPr>
          <w:t>TC/</w:t>
        </w:r>
        <w:r w:rsidRPr="0020124E">
          <w:rPr>
            <w:rStyle w:val="Hyperlink"/>
            <w:bCs/>
          </w:rPr>
          <w:t>015768/2017</w:t>
        </w:r>
      </w:hyperlink>
      <w:r w:rsidRPr="0020124E">
        <w:t xml:space="preserve"> – Relator: Cons. Substituto Jackson Nobre Veras. Plenário. Decisão Unânime. Acórdão nº 378/18 publicado no </w:t>
      </w:r>
      <w:hyperlink r:id="rId26" w:history="1">
        <w:r w:rsidRPr="0020124E">
          <w:rPr>
            <w:rStyle w:val="Hyperlink"/>
          </w:rPr>
          <w:t>DOE/TCE-PI º 066/18</w:t>
        </w:r>
      </w:hyperlink>
      <w:r w:rsidRPr="0020124E">
        <w:t>)</w:t>
      </w:r>
    </w:p>
    <w:p w:rsidR="00723A08" w:rsidRPr="0020124E" w:rsidRDefault="00723A08" w:rsidP="00723A08"/>
    <w:p w:rsidR="00723A08" w:rsidRPr="0020124E" w:rsidRDefault="00723A08" w:rsidP="00723A08"/>
    <w:p w:rsidR="00723A08" w:rsidRPr="0020124E" w:rsidRDefault="00723A08" w:rsidP="00EA2E20">
      <w:pPr>
        <w:pStyle w:val="Ttulo1"/>
        <w:jc w:val="both"/>
      </w:pPr>
    </w:p>
    <w:sectPr w:rsidR="00723A08" w:rsidRPr="0020124E" w:rsidSect="002820DA">
      <w:head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A29" w:rsidRDefault="00E12A29" w:rsidP="002820DA">
      <w:pPr>
        <w:spacing w:after="0" w:line="240" w:lineRule="auto"/>
      </w:pPr>
      <w:r>
        <w:separator/>
      </w:r>
    </w:p>
  </w:endnote>
  <w:endnote w:type="continuationSeparator" w:id="0">
    <w:p w:rsidR="00E12A29" w:rsidRDefault="00E12A29" w:rsidP="0028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E7000EFF" w:usb1="5200FDFF" w:usb2="0A242021" w:usb3="00000000" w:csb0="000001B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A29" w:rsidRDefault="00E12A29" w:rsidP="002820DA">
      <w:pPr>
        <w:spacing w:after="0" w:line="240" w:lineRule="auto"/>
      </w:pPr>
      <w:r>
        <w:separator/>
      </w:r>
    </w:p>
  </w:footnote>
  <w:footnote w:type="continuationSeparator" w:id="0">
    <w:p w:rsidR="00E12A29" w:rsidRDefault="00E12A29" w:rsidP="0028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6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157"/>
      <w:gridCol w:w="1559"/>
    </w:tblGrid>
    <w:tr w:rsidR="00D03E18" w:rsidTr="00B97A73">
      <w:trPr>
        <w:trHeight w:val="908"/>
        <w:jc w:val="center"/>
      </w:trPr>
      <w:tc>
        <w:tcPr>
          <w:tcW w:w="1560" w:type="dxa"/>
        </w:tcPr>
        <w:p w:rsidR="00D03E18" w:rsidRDefault="00D03E18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86A4BF1" wp14:editId="50F047FF">
                <wp:extent cx="773430" cy="874395"/>
                <wp:effectExtent l="0" t="0" r="7620" b="1905"/>
                <wp:docPr id="1" name="Imagem 1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Align w:val="center"/>
        </w:tcPr>
        <w:p w:rsidR="00D03E18" w:rsidRDefault="00D03E18" w:rsidP="00B97A73">
          <w:pPr>
            <w:rPr>
              <w:rFonts w:ascii="Arial" w:hAnsi="Arial"/>
              <w:sz w:val="48"/>
            </w:rPr>
          </w:pPr>
          <w:r>
            <w:rPr>
              <w:rFonts w:ascii="Arial" w:hAnsi="Arial"/>
              <w:sz w:val="48"/>
            </w:rPr>
            <w:t>Estado do Piauí</w:t>
          </w:r>
        </w:p>
        <w:p w:rsidR="00D03E18" w:rsidRDefault="00D03E18" w:rsidP="00B97A73">
          <w:r>
            <w:rPr>
              <w:rFonts w:ascii="Arial" w:hAnsi="Arial"/>
              <w:sz w:val="48"/>
            </w:rPr>
            <w:t>Tribunal de Contas</w:t>
          </w:r>
        </w:p>
      </w:tc>
      <w:tc>
        <w:tcPr>
          <w:tcW w:w="1559" w:type="dxa"/>
          <w:vAlign w:val="center"/>
        </w:tcPr>
        <w:p w:rsidR="00D03E18" w:rsidRDefault="00D03E18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2D06ED9C" wp14:editId="7DD649B1">
                <wp:extent cx="944245" cy="904240"/>
                <wp:effectExtent l="0" t="0" r="8255" b="0"/>
                <wp:docPr id="2" name="Imagem 2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3E18" w:rsidRDefault="00D03E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5E53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8C3D37"/>
    <w:multiLevelType w:val="hybridMultilevel"/>
    <w:tmpl w:val="6034048E"/>
    <w:name w:val="WW8Num11"/>
    <w:lvl w:ilvl="0" w:tplc="4D344D82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C4466EDE" w:tentative="1">
      <w:start w:val="1"/>
      <w:numFmt w:val="lowerLetter"/>
      <w:lvlText w:val="%2."/>
      <w:lvlJc w:val="left"/>
      <w:pPr>
        <w:ind w:left="5616" w:hanging="360"/>
      </w:pPr>
    </w:lvl>
    <w:lvl w:ilvl="2" w:tplc="D38C3F68" w:tentative="1">
      <w:start w:val="1"/>
      <w:numFmt w:val="lowerRoman"/>
      <w:lvlText w:val="%3."/>
      <w:lvlJc w:val="right"/>
      <w:pPr>
        <w:ind w:left="6336" w:hanging="180"/>
      </w:pPr>
    </w:lvl>
    <w:lvl w:ilvl="3" w:tplc="F0021BD6" w:tentative="1">
      <w:start w:val="1"/>
      <w:numFmt w:val="decimal"/>
      <w:lvlText w:val="%4."/>
      <w:lvlJc w:val="left"/>
      <w:pPr>
        <w:ind w:left="7056" w:hanging="360"/>
      </w:pPr>
    </w:lvl>
    <w:lvl w:ilvl="4" w:tplc="45285FF0" w:tentative="1">
      <w:start w:val="1"/>
      <w:numFmt w:val="lowerLetter"/>
      <w:lvlText w:val="%5."/>
      <w:lvlJc w:val="left"/>
      <w:pPr>
        <w:ind w:left="7776" w:hanging="360"/>
      </w:pPr>
    </w:lvl>
    <w:lvl w:ilvl="5" w:tplc="159EAD52" w:tentative="1">
      <w:start w:val="1"/>
      <w:numFmt w:val="lowerRoman"/>
      <w:lvlText w:val="%6."/>
      <w:lvlJc w:val="right"/>
      <w:pPr>
        <w:ind w:left="8496" w:hanging="180"/>
      </w:pPr>
    </w:lvl>
    <w:lvl w:ilvl="6" w:tplc="BB7C28F4" w:tentative="1">
      <w:start w:val="1"/>
      <w:numFmt w:val="decimal"/>
      <w:lvlText w:val="%7."/>
      <w:lvlJc w:val="left"/>
      <w:pPr>
        <w:ind w:left="9216" w:hanging="360"/>
      </w:pPr>
    </w:lvl>
    <w:lvl w:ilvl="7" w:tplc="79A656AA" w:tentative="1">
      <w:start w:val="1"/>
      <w:numFmt w:val="lowerLetter"/>
      <w:lvlText w:val="%8."/>
      <w:lvlJc w:val="left"/>
      <w:pPr>
        <w:ind w:left="9936" w:hanging="360"/>
      </w:pPr>
    </w:lvl>
    <w:lvl w:ilvl="8" w:tplc="3ADA05F0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">
    <w:nsid w:val="1CEE0147"/>
    <w:multiLevelType w:val="hybridMultilevel"/>
    <w:tmpl w:val="A28C3D76"/>
    <w:lvl w:ilvl="0" w:tplc="3ACE6B1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21451817"/>
    <w:multiLevelType w:val="hybridMultilevel"/>
    <w:tmpl w:val="505C32A6"/>
    <w:lvl w:ilvl="0" w:tplc="ADD07F34">
      <w:start w:val="1"/>
      <w:numFmt w:val="decimal"/>
      <w:lvlText w:val="%1."/>
      <w:lvlJc w:val="left"/>
      <w:pPr>
        <w:ind w:left="2883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95151C2"/>
    <w:multiLevelType w:val="hybridMultilevel"/>
    <w:tmpl w:val="6A28D936"/>
    <w:lvl w:ilvl="0" w:tplc="7958A9DE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>
    <w:nsid w:val="33061957"/>
    <w:multiLevelType w:val="hybridMultilevel"/>
    <w:tmpl w:val="09DC9380"/>
    <w:lvl w:ilvl="0" w:tplc="BD84E44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34CA65DE"/>
    <w:multiLevelType w:val="hybridMultilevel"/>
    <w:tmpl w:val="3452A85C"/>
    <w:lvl w:ilvl="0" w:tplc="0F941A46">
      <w:start w:val="1"/>
      <w:numFmt w:val="decimal"/>
      <w:lvlText w:val="%1."/>
      <w:lvlJc w:val="left"/>
      <w:pPr>
        <w:ind w:left="2838" w:hanging="5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384C73F8"/>
    <w:multiLevelType w:val="hybridMultilevel"/>
    <w:tmpl w:val="A5680D16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>
    <w:nsid w:val="38526D47"/>
    <w:multiLevelType w:val="hybridMultilevel"/>
    <w:tmpl w:val="05E2FEA8"/>
    <w:lvl w:ilvl="0" w:tplc="ADD07F34">
      <w:start w:val="1"/>
      <w:numFmt w:val="decimal"/>
      <w:lvlText w:val="%1."/>
      <w:lvlJc w:val="left"/>
      <w:pPr>
        <w:ind w:left="5151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9">
    <w:nsid w:val="399C56FF"/>
    <w:multiLevelType w:val="hybridMultilevel"/>
    <w:tmpl w:val="7B4C781C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>
    <w:nsid w:val="46E21364"/>
    <w:multiLevelType w:val="hybridMultilevel"/>
    <w:tmpl w:val="54D27DF0"/>
    <w:lvl w:ilvl="0" w:tplc="BD84E44C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1">
    <w:nsid w:val="487F617A"/>
    <w:multiLevelType w:val="hybridMultilevel"/>
    <w:tmpl w:val="068470B8"/>
    <w:lvl w:ilvl="0" w:tplc="E1004BD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2">
    <w:nsid w:val="4DA60CFC"/>
    <w:multiLevelType w:val="hybridMultilevel"/>
    <w:tmpl w:val="A8043CC0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>
    <w:nsid w:val="5C090C06"/>
    <w:multiLevelType w:val="hybridMultilevel"/>
    <w:tmpl w:val="A3D4A0BA"/>
    <w:lvl w:ilvl="0" w:tplc="CE5AC72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>
    <w:nsid w:val="5DF71611"/>
    <w:multiLevelType w:val="hybridMultilevel"/>
    <w:tmpl w:val="7C1A7D02"/>
    <w:lvl w:ilvl="0" w:tplc="CE5AC72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61570ADC"/>
    <w:multiLevelType w:val="hybridMultilevel"/>
    <w:tmpl w:val="9A286A34"/>
    <w:lvl w:ilvl="0" w:tplc="CE5AC72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62995C36"/>
    <w:multiLevelType w:val="hybridMultilevel"/>
    <w:tmpl w:val="9E00DB34"/>
    <w:lvl w:ilvl="0" w:tplc="9464548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642E074C"/>
    <w:multiLevelType w:val="hybridMultilevel"/>
    <w:tmpl w:val="BC10687A"/>
    <w:lvl w:ilvl="0" w:tplc="BD84E44C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5" w:hanging="360"/>
      </w:pPr>
    </w:lvl>
    <w:lvl w:ilvl="2" w:tplc="0416001B" w:tentative="1">
      <w:start w:val="1"/>
      <w:numFmt w:val="lowerRoman"/>
      <w:lvlText w:val="%3."/>
      <w:lvlJc w:val="right"/>
      <w:pPr>
        <w:ind w:left="5345" w:hanging="180"/>
      </w:pPr>
    </w:lvl>
    <w:lvl w:ilvl="3" w:tplc="0416000F" w:tentative="1">
      <w:start w:val="1"/>
      <w:numFmt w:val="decimal"/>
      <w:lvlText w:val="%4."/>
      <w:lvlJc w:val="left"/>
      <w:pPr>
        <w:ind w:left="6065" w:hanging="360"/>
      </w:pPr>
    </w:lvl>
    <w:lvl w:ilvl="4" w:tplc="04160019" w:tentative="1">
      <w:start w:val="1"/>
      <w:numFmt w:val="lowerLetter"/>
      <w:lvlText w:val="%5."/>
      <w:lvlJc w:val="left"/>
      <w:pPr>
        <w:ind w:left="6785" w:hanging="360"/>
      </w:pPr>
    </w:lvl>
    <w:lvl w:ilvl="5" w:tplc="0416001B" w:tentative="1">
      <w:start w:val="1"/>
      <w:numFmt w:val="lowerRoman"/>
      <w:lvlText w:val="%6."/>
      <w:lvlJc w:val="right"/>
      <w:pPr>
        <w:ind w:left="7505" w:hanging="180"/>
      </w:pPr>
    </w:lvl>
    <w:lvl w:ilvl="6" w:tplc="0416000F" w:tentative="1">
      <w:start w:val="1"/>
      <w:numFmt w:val="decimal"/>
      <w:lvlText w:val="%7."/>
      <w:lvlJc w:val="left"/>
      <w:pPr>
        <w:ind w:left="8225" w:hanging="360"/>
      </w:pPr>
    </w:lvl>
    <w:lvl w:ilvl="7" w:tplc="04160019" w:tentative="1">
      <w:start w:val="1"/>
      <w:numFmt w:val="lowerLetter"/>
      <w:lvlText w:val="%8."/>
      <w:lvlJc w:val="left"/>
      <w:pPr>
        <w:ind w:left="8945" w:hanging="360"/>
      </w:pPr>
    </w:lvl>
    <w:lvl w:ilvl="8" w:tplc="0416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8">
    <w:nsid w:val="67BF46CB"/>
    <w:multiLevelType w:val="hybridMultilevel"/>
    <w:tmpl w:val="35D0E5BA"/>
    <w:lvl w:ilvl="0" w:tplc="CE5AC72A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9">
    <w:nsid w:val="6FA00DC8"/>
    <w:multiLevelType w:val="hybridMultilevel"/>
    <w:tmpl w:val="C8AE48FE"/>
    <w:lvl w:ilvl="0" w:tplc="BD84E44C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0">
    <w:nsid w:val="72167EEC"/>
    <w:multiLevelType w:val="hybridMultilevel"/>
    <w:tmpl w:val="DC28A092"/>
    <w:lvl w:ilvl="0" w:tplc="CE5AC72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9CF4BEC"/>
    <w:multiLevelType w:val="hybridMultilevel"/>
    <w:tmpl w:val="BA968A06"/>
    <w:lvl w:ilvl="0" w:tplc="BD84E44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E677CE4"/>
    <w:multiLevelType w:val="hybridMultilevel"/>
    <w:tmpl w:val="05C4A0F0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22"/>
  </w:num>
  <w:num w:numId="9">
    <w:abstractNumId w:val="14"/>
  </w:num>
  <w:num w:numId="10">
    <w:abstractNumId w:val="20"/>
  </w:num>
  <w:num w:numId="11">
    <w:abstractNumId w:val="15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16"/>
  </w:num>
  <w:num w:numId="17">
    <w:abstractNumId w:val="21"/>
  </w:num>
  <w:num w:numId="18">
    <w:abstractNumId w:val="19"/>
  </w:num>
  <w:num w:numId="19">
    <w:abstractNumId w:val="10"/>
  </w:num>
  <w:num w:numId="20">
    <w:abstractNumId w:val="5"/>
  </w:num>
  <w:num w:numId="21">
    <w:abstractNumId w:val="17"/>
  </w:num>
  <w:num w:numId="2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4"/>
    <w:rsid w:val="00004A10"/>
    <w:rsid w:val="00014A04"/>
    <w:rsid w:val="0001708E"/>
    <w:rsid w:val="000215FE"/>
    <w:rsid w:val="00047F55"/>
    <w:rsid w:val="00050D44"/>
    <w:rsid w:val="00054D87"/>
    <w:rsid w:val="000942DD"/>
    <w:rsid w:val="000979EE"/>
    <w:rsid w:val="000A1BB6"/>
    <w:rsid w:val="000A6F36"/>
    <w:rsid w:val="000A7909"/>
    <w:rsid w:val="000B369B"/>
    <w:rsid w:val="000D0D20"/>
    <w:rsid w:val="000E55AC"/>
    <w:rsid w:val="000E7AEF"/>
    <w:rsid w:val="000F27DB"/>
    <w:rsid w:val="00130956"/>
    <w:rsid w:val="00136668"/>
    <w:rsid w:val="0015172F"/>
    <w:rsid w:val="00184BC9"/>
    <w:rsid w:val="0018563F"/>
    <w:rsid w:val="001A7419"/>
    <w:rsid w:val="001B6C8C"/>
    <w:rsid w:val="001C2B7B"/>
    <w:rsid w:val="001E7E45"/>
    <w:rsid w:val="0020124E"/>
    <w:rsid w:val="0020150C"/>
    <w:rsid w:val="0020179D"/>
    <w:rsid w:val="002135AB"/>
    <w:rsid w:val="002254BE"/>
    <w:rsid w:val="002401D0"/>
    <w:rsid w:val="002450CD"/>
    <w:rsid w:val="002539D4"/>
    <w:rsid w:val="002820DA"/>
    <w:rsid w:val="0028376F"/>
    <w:rsid w:val="00286C02"/>
    <w:rsid w:val="00293C66"/>
    <w:rsid w:val="00293EE7"/>
    <w:rsid w:val="002B55A2"/>
    <w:rsid w:val="002B729F"/>
    <w:rsid w:val="002C7EDC"/>
    <w:rsid w:val="002D09C4"/>
    <w:rsid w:val="002D4AAC"/>
    <w:rsid w:val="002E5C39"/>
    <w:rsid w:val="002F19A3"/>
    <w:rsid w:val="002F2DD9"/>
    <w:rsid w:val="002F4D6D"/>
    <w:rsid w:val="002F6317"/>
    <w:rsid w:val="003002C2"/>
    <w:rsid w:val="003029E3"/>
    <w:rsid w:val="003313A3"/>
    <w:rsid w:val="00333CF2"/>
    <w:rsid w:val="003374D2"/>
    <w:rsid w:val="003376CA"/>
    <w:rsid w:val="00342AF8"/>
    <w:rsid w:val="003436F6"/>
    <w:rsid w:val="0035270B"/>
    <w:rsid w:val="00356E4F"/>
    <w:rsid w:val="003A59D9"/>
    <w:rsid w:val="003B46E4"/>
    <w:rsid w:val="003B5863"/>
    <w:rsid w:val="003D257A"/>
    <w:rsid w:val="003D35C3"/>
    <w:rsid w:val="003D6961"/>
    <w:rsid w:val="003E7B28"/>
    <w:rsid w:val="003F1DCA"/>
    <w:rsid w:val="00405437"/>
    <w:rsid w:val="00405D05"/>
    <w:rsid w:val="004115A4"/>
    <w:rsid w:val="004161E1"/>
    <w:rsid w:val="004251CB"/>
    <w:rsid w:val="0043606E"/>
    <w:rsid w:val="00444661"/>
    <w:rsid w:val="00471A8A"/>
    <w:rsid w:val="0047687F"/>
    <w:rsid w:val="00487735"/>
    <w:rsid w:val="0049051D"/>
    <w:rsid w:val="004B1FBA"/>
    <w:rsid w:val="004B5422"/>
    <w:rsid w:val="004B6731"/>
    <w:rsid w:val="004C4B65"/>
    <w:rsid w:val="004D1E4B"/>
    <w:rsid w:val="004E399C"/>
    <w:rsid w:val="004F2440"/>
    <w:rsid w:val="004F3E19"/>
    <w:rsid w:val="005030E6"/>
    <w:rsid w:val="00506110"/>
    <w:rsid w:val="00526143"/>
    <w:rsid w:val="0054156F"/>
    <w:rsid w:val="00545E53"/>
    <w:rsid w:val="00551259"/>
    <w:rsid w:val="005543FE"/>
    <w:rsid w:val="00557BAE"/>
    <w:rsid w:val="005605E2"/>
    <w:rsid w:val="0056469B"/>
    <w:rsid w:val="00574FCA"/>
    <w:rsid w:val="005B6338"/>
    <w:rsid w:val="005C2AD1"/>
    <w:rsid w:val="005D17AD"/>
    <w:rsid w:val="005E0768"/>
    <w:rsid w:val="005F532A"/>
    <w:rsid w:val="0060514D"/>
    <w:rsid w:val="00636C95"/>
    <w:rsid w:val="006414BE"/>
    <w:rsid w:val="00651DB1"/>
    <w:rsid w:val="0065305D"/>
    <w:rsid w:val="006644FC"/>
    <w:rsid w:val="00684289"/>
    <w:rsid w:val="00693AB6"/>
    <w:rsid w:val="006940B3"/>
    <w:rsid w:val="0069523A"/>
    <w:rsid w:val="006B40A1"/>
    <w:rsid w:val="006D07BE"/>
    <w:rsid w:val="006E02B2"/>
    <w:rsid w:val="006E5931"/>
    <w:rsid w:val="006F1A7A"/>
    <w:rsid w:val="00704CE5"/>
    <w:rsid w:val="00723A08"/>
    <w:rsid w:val="007253BF"/>
    <w:rsid w:val="0074402D"/>
    <w:rsid w:val="007865AD"/>
    <w:rsid w:val="0079346F"/>
    <w:rsid w:val="007B0B9E"/>
    <w:rsid w:val="007B0F32"/>
    <w:rsid w:val="007B245F"/>
    <w:rsid w:val="007B6713"/>
    <w:rsid w:val="007D4E84"/>
    <w:rsid w:val="007E331E"/>
    <w:rsid w:val="007F0B28"/>
    <w:rsid w:val="00810BC9"/>
    <w:rsid w:val="008157AE"/>
    <w:rsid w:val="00817E56"/>
    <w:rsid w:val="00833E9C"/>
    <w:rsid w:val="00843D16"/>
    <w:rsid w:val="00845B4F"/>
    <w:rsid w:val="008527CF"/>
    <w:rsid w:val="00865A98"/>
    <w:rsid w:val="008836C1"/>
    <w:rsid w:val="00884539"/>
    <w:rsid w:val="008A3EC2"/>
    <w:rsid w:val="008D1E58"/>
    <w:rsid w:val="008D34C5"/>
    <w:rsid w:val="008F6BBB"/>
    <w:rsid w:val="009219EA"/>
    <w:rsid w:val="00932E25"/>
    <w:rsid w:val="00934450"/>
    <w:rsid w:val="00937F99"/>
    <w:rsid w:val="00946B75"/>
    <w:rsid w:val="00963342"/>
    <w:rsid w:val="00970E3F"/>
    <w:rsid w:val="00984809"/>
    <w:rsid w:val="00987B9D"/>
    <w:rsid w:val="009A7C77"/>
    <w:rsid w:val="009B0859"/>
    <w:rsid w:val="009B15A8"/>
    <w:rsid w:val="009B1A41"/>
    <w:rsid w:val="009B7E21"/>
    <w:rsid w:val="009C01EE"/>
    <w:rsid w:val="009D34C3"/>
    <w:rsid w:val="009D423A"/>
    <w:rsid w:val="009F1E12"/>
    <w:rsid w:val="009F3257"/>
    <w:rsid w:val="00A265A6"/>
    <w:rsid w:val="00A31D38"/>
    <w:rsid w:val="00A864FE"/>
    <w:rsid w:val="00AA3821"/>
    <w:rsid w:val="00AB6DDB"/>
    <w:rsid w:val="00AC1920"/>
    <w:rsid w:val="00AC3F3C"/>
    <w:rsid w:val="00AE773D"/>
    <w:rsid w:val="00AF0DEA"/>
    <w:rsid w:val="00B16454"/>
    <w:rsid w:val="00B2194C"/>
    <w:rsid w:val="00B30E61"/>
    <w:rsid w:val="00B41F13"/>
    <w:rsid w:val="00B57222"/>
    <w:rsid w:val="00B675FB"/>
    <w:rsid w:val="00B97A73"/>
    <w:rsid w:val="00B97F46"/>
    <w:rsid w:val="00BA1385"/>
    <w:rsid w:val="00BB2481"/>
    <w:rsid w:val="00BB38F8"/>
    <w:rsid w:val="00BB687F"/>
    <w:rsid w:val="00BC26C5"/>
    <w:rsid w:val="00BC3C00"/>
    <w:rsid w:val="00BC4F10"/>
    <w:rsid w:val="00BE24D7"/>
    <w:rsid w:val="00BE34A4"/>
    <w:rsid w:val="00C03358"/>
    <w:rsid w:val="00C12C00"/>
    <w:rsid w:val="00C27FB9"/>
    <w:rsid w:val="00C40F58"/>
    <w:rsid w:val="00C41DFD"/>
    <w:rsid w:val="00C43545"/>
    <w:rsid w:val="00C619A4"/>
    <w:rsid w:val="00C62523"/>
    <w:rsid w:val="00C81AEB"/>
    <w:rsid w:val="00C84C39"/>
    <w:rsid w:val="00C85D14"/>
    <w:rsid w:val="00CC57F2"/>
    <w:rsid w:val="00CC6CE4"/>
    <w:rsid w:val="00CE5424"/>
    <w:rsid w:val="00CF2B08"/>
    <w:rsid w:val="00D03E18"/>
    <w:rsid w:val="00D23E52"/>
    <w:rsid w:val="00D4150F"/>
    <w:rsid w:val="00D76E1F"/>
    <w:rsid w:val="00D8072E"/>
    <w:rsid w:val="00D84B01"/>
    <w:rsid w:val="00D947FD"/>
    <w:rsid w:val="00DC3925"/>
    <w:rsid w:val="00DF0767"/>
    <w:rsid w:val="00E12A29"/>
    <w:rsid w:val="00E17123"/>
    <w:rsid w:val="00E20889"/>
    <w:rsid w:val="00E23660"/>
    <w:rsid w:val="00E32B6B"/>
    <w:rsid w:val="00E50B8B"/>
    <w:rsid w:val="00E537B7"/>
    <w:rsid w:val="00E57C6A"/>
    <w:rsid w:val="00E94F81"/>
    <w:rsid w:val="00EA2E20"/>
    <w:rsid w:val="00EB50E5"/>
    <w:rsid w:val="00EC6BC4"/>
    <w:rsid w:val="00EE15E8"/>
    <w:rsid w:val="00EE33FD"/>
    <w:rsid w:val="00EF1E04"/>
    <w:rsid w:val="00F06F12"/>
    <w:rsid w:val="00F10026"/>
    <w:rsid w:val="00F137F1"/>
    <w:rsid w:val="00F13CB6"/>
    <w:rsid w:val="00F14F46"/>
    <w:rsid w:val="00F403BA"/>
    <w:rsid w:val="00F5203C"/>
    <w:rsid w:val="00F57D6A"/>
    <w:rsid w:val="00F63422"/>
    <w:rsid w:val="00F7028D"/>
    <w:rsid w:val="00F807FE"/>
    <w:rsid w:val="00FB1B09"/>
    <w:rsid w:val="00FB49CB"/>
    <w:rsid w:val="00FC5B61"/>
    <w:rsid w:val="00FE3D4C"/>
    <w:rsid w:val="00F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Address" w:uiPriority="0"/>
    <w:lsdException w:name="Table Classic 1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5FB"/>
  </w:style>
  <w:style w:type="paragraph" w:styleId="Ttulo1">
    <w:name w:val="heading 1"/>
    <w:basedOn w:val="Normal"/>
    <w:next w:val="Normal"/>
    <w:link w:val="Ttulo1Char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uiPriority w:val="9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6">
    <w:name w:val="Tabela com grade6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7">
    <w:name w:val="Tabela com grade7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8">
    <w:name w:val="Tabela com grade8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9">
    <w:name w:val="Tabela com grade9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Address" w:uiPriority="0"/>
    <w:lsdException w:name="Table Classic 1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5FB"/>
  </w:style>
  <w:style w:type="paragraph" w:styleId="Ttulo1">
    <w:name w:val="heading 1"/>
    <w:basedOn w:val="Normal"/>
    <w:next w:val="Normal"/>
    <w:link w:val="Ttulo1Char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uiPriority w:val="9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6">
    <w:name w:val="Tabela com grade6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7">
    <w:name w:val="Tabela com grade7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8">
    <w:name w:val="Tabela com grade8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9">
    <w:name w:val="Tabela com grade9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ce.pi.gov.br/fiscalizado/pesquisa-de-processos/?n_tipo=0&amp;n_processo=004647%2F2016" TargetMode="External"/><Relationship Id="rId18" Type="http://schemas.openxmlformats.org/officeDocument/2006/relationships/hyperlink" Target="http://www.tce.pi.gov.br/download.php?type=publicacao&amp;id=2353" TargetMode="External"/><Relationship Id="rId26" Type="http://schemas.openxmlformats.org/officeDocument/2006/relationships/hyperlink" Target="http://www.tce.pi.gov.br/download.php?type=publicacao&amp;id=2349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tce.pi.gov.br/fiscalizado/pesquisa-de-processos/?n_tipo=0&amp;n_processo=018907%2F2017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tce.pi.gov.br/download.php?type=publicacao&amp;id=2348" TargetMode="External"/><Relationship Id="rId17" Type="http://schemas.openxmlformats.org/officeDocument/2006/relationships/hyperlink" Target="http://www.tce.pi.gov.br/fiscalizado/pesquisa-de-processos/?n_tipo=0&amp;n_processo=016662%2F2017" TargetMode="External"/><Relationship Id="rId25" Type="http://schemas.openxmlformats.org/officeDocument/2006/relationships/hyperlink" Target="http://www.tce.pi.gov.br/fiscalizado/pesquisa-de-processos/?n_tipo=0&amp;n_processo=015768%2F201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ce.pi.gov.br/download.php?type=publicacao&amp;id=2345" TargetMode="External"/><Relationship Id="rId20" Type="http://schemas.openxmlformats.org/officeDocument/2006/relationships/hyperlink" Target="http://www.tce.pi.gov.br/download.php?type=publicacao&amp;id=235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ce.pi.gov.br/fiscalizado/pesquisa-de-processos/?n_tipo=1&amp;n_processo=002885%2F2016" TargetMode="External"/><Relationship Id="rId24" Type="http://schemas.openxmlformats.org/officeDocument/2006/relationships/hyperlink" Target="http://www.tce.pi.gov.br/download.php?type=publicacao&amp;id=2361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tce.pi.gov.br/fiscalizado/pesquisa-de-processos/?n_tipo=0&amp;n_processo=009318%2F2017" TargetMode="External"/><Relationship Id="rId23" Type="http://schemas.openxmlformats.org/officeDocument/2006/relationships/hyperlink" Target="http://www.tce.pi.gov.br/fiscalizado/pesquisa-de-processos/?n_tipo=0&amp;n_processo=020110%2F2017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tce.pi.gov.br/fiscalizado/pesquisa-de-processos/?n_tipo=0&amp;n_processo=003112%2F2016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tce.pi.gov.br/download.php?type=publicacao&amp;id=2356" TargetMode="External"/><Relationship Id="rId22" Type="http://schemas.openxmlformats.org/officeDocument/2006/relationships/hyperlink" Target="http://www.tce.pi.gov.br/download.php?type=publicacao&amp;id=2345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Trata-se de boletim de jurisprudência elaborado pela Comissão de Regimento e Jurisprudência do TCE-PI com base nos entendimentos proferidos nas Câmaras e no Plenário do TCE-PI publicados no mês de abril de 2018. Este documento não substitui a publicação oficial das decisões e seus efeitos legais. </Abstract>
  <CompanyAddress>Comissão de Regimento e Jurisprudência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934F2-51AC-4C7F-A8BE-1722918F1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1529</Words>
  <Characters>8261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17</vt:i4>
      </vt:variant>
    </vt:vector>
  </HeadingPairs>
  <TitlesOfParts>
    <vt:vector size="18" baseType="lpstr">
      <vt:lpstr>Boletim de Jurisprudência</vt:lpstr>
      <vt:lpstr/>
      <vt:lpstr/>
      <vt:lpstr>CÂMARA MUNICIPAL</vt:lpstr>
      <vt:lpstr>    Câmara Municipal. Despesa acima do limite constitucional.</vt:lpstr>
      <vt:lpstr>CONTRATO</vt:lpstr>
      <vt:lpstr>Contrato. Prorrogação contratual. Controle de pragas.</vt:lpstr>
      <vt:lpstr>Contrato. Prorrogação contratual. Necessidade de comprovação de vantagem econômi</vt:lpstr>
      <vt:lpstr>LICITAÇÃO</vt:lpstr>
      <vt:lpstr>    Licitação. Inexigibilidade. Contratação de Profissionais do setor artístico. Imp</vt:lpstr>
      <vt:lpstr>    </vt:lpstr>
      <vt:lpstr>    Licitação. Parecer jurídico. Inexistência de assessoria jurídica no órgão.</vt:lpstr>
      <vt:lpstr>PESSOAL</vt:lpstr>
      <vt:lpstr>    Pessoal. Comprovação de criação de cargos.</vt:lpstr>
      <vt:lpstr>PREVIDÊNCIA</vt:lpstr>
      <vt:lpstr>    Previdência. Não parcelamento de dívidas pretéritas. Aplicação de multa ao gesto</vt:lpstr>
      <vt:lpstr>PROCESSUAL</vt:lpstr>
      <vt:lpstr>    Processual. Pedido de Revisão. Cabimento.</vt:lpstr>
    </vt:vector>
  </TitlesOfParts>
  <Company>Tribunal de Contas do Estado do Piauí</Company>
  <LinksUpToDate>false</LinksUpToDate>
  <CharactersWithSpaces>9771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de Jurisprudência</dc:title>
  <dc:creator>EDIÇÃO OFICIAL – ABRIL - 2018</dc:creator>
  <cp:lastModifiedBy>Daniel Douglas Seabra Leite</cp:lastModifiedBy>
  <cp:revision>11</cp:revision>
  <cp:lastPrinted>2018-01-18T17:26:00Z</cp:lastPrinted>
  <dcterms:created xsi:type="dcterms:W3CDTF">2018-05-04T11:19:00Z</dcterms:created>
  <dcterms:modified xsi:type="dcterms:W3CDTF">2018-05-04T12:57:00Z</dcterms:modified>
</cp:coreProperties>
</file>