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4144D6" w:rsidRDefault="004144D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4144D6" w:rsidRDefault="004144D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4144D6" w:rsidRDefault="004144D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4144D6" w:rsidRDefault="004144D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4144D6" w:rsidRDefault="004144D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4144D6" w:rsidRDefault="004144D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4144D6" w:rsidRDefault="004144D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4144D6" w:rsidRDefault="004144D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4144D6" w:rsidRDefault="004144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AGOSTO- 2019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4144D6" w:rsidRDefault="004144D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 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4144D6" w:rsidRDefault="004144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4144D6" w:rsidRDefault="004144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AGOSTO- 2019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4144D6" w:rsidRDefault="004144D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 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4144D6" w:rsidRDefault="004144D6"/>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723A08">
          <w:pPr>
            <w:pStyle w:val="CabealhodoSumrio"/>
            <w:tabs>
              <w:tab w:val="left" w:pos="5638"/>
            </w:tabs>
            <w:jc w:val="both"/>
          </w:pPr>
          <w:r w:rsidRPr="00A914C7">
            <w:t>Sumário</w:t>
          </w:r>
          <w:r w:rsidR="00723A08" w:rsidRPr="00A914C7">
            <w:tab/>
          </w:r>
        </w:p>
        <w:p w:rsidR="001E5E1E"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bookmarkStart w:id="0" w:name="_GoBack"/>
          <w:bookmarkEnd w:id="0"/>
          <w:r w:rsidR="001E5E1E" w:rsidRPr="002F7B72">
            <w:rPr>
              <w:rStyle w:val="Hyperlink"/>
              <w:noProof/>
            </w:rPr>
            <w:fldChar w:fldCharType="begin"/>
          </w:r>
          <w:r w:rsidR="001E5E1E" w:rsidRPr="002F7B72">
            <w:rPr>
              <w:rStyle w:val="Hyperlink"/>
              <w:noProof/>
            </w:rPr>
            <w:instrText xml:space="preserve"> </w:instrText>
          </w:r>
          <w:r w:rsidR="001E5E1E">
            <w:rPr>
              <w:noProof/>
            </w:rPr>
            <w:instrText>HYPERLINK \l "_Toc20214908"</w:instrText>
          </w:r>
          <w:r w:rsidR="001E5E1E" w:rsidRPr="002F7B72">
            <w:rPr>
              <w:rStyle w:val="Hyperlink"/>
              <w:noProof/>
            </w:rPr>
            <w:instrText xml:space="preserve"> </w:instrText>
          </w:r>
          <w:r w:rsidR="001E5E1E" w:rsidRPr="002F7B72">
            <w:rPr>
              <w:rStyle w:val="Hyperlink"/>
              <w:noProof/>
            </w:rPr>
          </w:r>
          <w:r w:rsidR="001E5E1E" w:rsidRPr="002F7B72">
            <w:rPr>
              <w:rStyle w:val="Hyperlink"/>
              <w:noProof/>
            </w:rPr>
            <w:fldChar w:fldCharType="separate"/>
          </w:r>
          <w:r w:rsidR="001E5E1E" w:rsidRPr="002F7B72">
            <w:rPr>
              <w:rStyle w:val="Hyperlink"/>
              <w:noProof/>
            </w:rPr>
            <w:t>CONTRATO</w:t>
          </w:r>
          <w:r w:rsidR="001E5E1E">
            <w:rPr>
              <w:noProof/>
              <w:webHidden/>
            </w:rPr>
            <w:tab/>
          </w:r>
          <w:r w:rsidR="001E5E1E">
            <w:rPr>
              <w:noProof/>
              <w:webHidden/>
            </w:rPr>
            <w:fldChar w:fldCharType="begin"/>
          </w:r>
          <w:r w:rsidR="001E5E1E">
            <w:rPr>
              <w:noProof/>
              <w:webHidden/>
            </w:rPr>
            <w:instrText xml:space="preserve"> PAGEREF _Toc20214908 \h </w:instrText>
          </w:r>
          <w:r w:rsidR="001E5E1E">
            <w:rPr>
              <w:noProof/>
              <w:webHidden/>
            </w:rPr>
          </w:r>
          <w:r w:rsidR="001E5E1E">
            <w:rPr>
              <w:noProof/>
              <w:webHidden/>
            </w:rPr>
            <w:fldChar w:fldCharType="separate"/>
          </w:r>
          <w:r w:rsidR="001E5E1E">
            <w:rPr>
              <w:noProof/>
              <w:webHidden/>
            </w:rPr>
            <w:t>2</w:t>
          </w:r>
          <w:r w:rsidR="001E5E1E">
            <w:rPr>
              <w:noProof/>
              <w:webHidden/>
            </w:rPr>
            <w:fldChar w:fldCharType="end"/>
          </w:r>
          <w:r w:rsidR="001E5E1E" w:rsidRPr="002F7B72">
            <w:rPr>
              <w:rStyle w:val="Hyperlink"/>
              <w:noProof/>
            </w:rPr>
            <w:fldChar w:fldCharType="end"/>
          </w:r>
        </w:p>
        <w:p w:rsidR="001E5E1E" w:rsidRDefault="001E5E1E">
          <w:pPr>
            <w:pStyle w:val="Sumrio1"/>
            <w:tabs>
              <w:tab w:val="right" w:leader="dot" w:pos="8494"/>
            </w:tabs>
            <w:rPr>
              <w:rFonts w:eastAsiaTheme="minorEastAsia"/>
              <w:noProof/>
              <w:lang w:eastAsia="pt-BR"/>
            </w:rPr>
          </w:pPr>
          <w:hyperlink w:anchor="_Toc20214909" w:history="1">
            <w:r w:rsidRPr="002F7B72">
              <w:rPr>
                <w:rStyle w:val="Hyperlink"/>
                <w:noProof/>
              </w:rPr>
              <w:t>Contrato. Contração de emprese fictícia. Constatação de incapacidade operacional necessária.</w:t>
            </w:r>
            <w:r>
              <w:rPr>
                <w:noProof/>
                <w:webHidden/>
              </w:rPr>
              <w:tab/>
            </w:r>
            <w:r>
              <w:rPr>
                <w:noProof/>
                <w:webHidden/>
              </w:rPr>
              <w:fldChar w:fldCharType="begin"/>
            </w:r>
            <w:r>
              <w:rPr>
                <w:noProof/>
                <w:webHidden/>
              </w:rPr>
              <w:instrText xml:space="preserve"> PAGEREF _Toc20214909 \h </w:instrText>
            </w:r>
            <w:r>
              <w:rPr>
                <w:noProof/>
                <w:webHidden/>
              </w:rPr>
            </w:r>
            <w:r>
              <w:rPr>
                <w:noProof/>
                <w:webHidden/>
              </w:rPr>
              <w:fldChar w:fldCharType="separate"/>
            </w:r>
            <w:r>
              <w:rPr>
                <w:noProof/>
                <w:webHidden/>
              </w:rPr>
              <w:t>2</w:t>
            </w:r>
            <w:r>
              <w:rPr>
                <w:noProof/>
                <w:webHidden/>
              </w:rPr>
              <w:fldChar w:fldCharType="end"/>
            </w:r>
          </w:hyperlink>
        </w:p>
        <w:p w:rsidR="001E5E1E" w:rsidRDefault="001E5E1E">
          <w:pPr>
            <w:pStyle w:val="Sumrio2"/>
            <w:tabs>
              <w:tab w:val="right" w:leader="dot" w:pos="8494"/>
            </w:tabs>
            <w:rPr>
              <w:noProof/>
            </w:rPr>
          </w:pPr>
          <w:hyperlink w:anchor="_Toc20214910" w:history="1">
            <w:r w:rsidRPr="002F7B72">
              <w:rPr>
                <w:rStyle w:val="Hyperlink"/>
                <w:noProof/>
              </w:rPr>
              <w:t>Contrato. Contratação de empresa com proprietários parente do prefeito. Violação dos princípios constitucionais da impessoalidade e isonomia.</w:t>
            </w:r>
            <w:r>
              <w:rPr>
                <w:noProof/>
                <w:webHidden/>
              </w:rPr>
              <w:tab/>
            </w:r>
            <w:r>
              <w:rPr>
                <w:noProof/>
                <w:webHidden/>
              </w:rPr>
              <w:fldChar w:fldCharType="begin"/>
            </w:r>
            <w:r>
              <w:rPr>
                <w:noProof/>
                <w:webHidden/>
              </w:rPr>
              <w:instrText xml:space="preserve"> PAGEREF _Toc20214910 \h </w:instrText>
            </w:r>
            <w:r>
              <w:rPr>
                <w:noProof/>
                <w:webHidden/>
              </w:rPr>
            </w:r>
            <w:r>
              <w:rPr>
                <w:noProof/>
                <w:webHidden/>
              </w:rPr>
              <w:fldChar w:fldCharType="separate"/>
            </w:r>
            <w:r>
              <w:rPr>
                <w:noProof/>
                <w:webHidden/>
              </w:rPr>
              <w:t>3</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11" w:history="1">
            <w:r w:rsidRPr="002F7B72">
              <w:rPr>
                <w:rStyle w:val="Hyperlink"/>
                <w:noProof/>
              </w:rPr>
              <w:t>DESPESA</w:t>
            </w:r>
            <w:r>
              <w:rPr>
                <w:noProof/>
                <w:webHidden/>
              </w:rPr>
              <w:tab/>
            </w:r>
            <w:r>
              <w:rPr>
                <w:noProof/>
                <w:webHidden/>
              </w:rPr>
              <w:fldChar w:fldCharType="begin"/>
            </w:r>
            <w:r>
              <w:rPr>
                <w:noProof/>
                <w:webHidden/>
              </w:rPr>
              <w:instrText xml:space="preserve"> PAGEREF _Toc20214911 \h </w:instrText>
            </w:r>
            <w:r>
              <w:rPr>
                <w:noProof/>
                <w:webHidden/>
              </w:rPr>
            </w:r>
            <w:r>
              <w:rPr>
                <w:noProof/>
                <w:webHidden/>
              </w:rPr>
              <w:fldChar w:fldCharType="separate"/>
            </w:r>
            <w:r>
              <w:rPr>
                <w:noProof/>
                <w:webHidden/>
              </w:rPr>
              <w:t>3</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12" w:history="1">
            <w:r w:rsidRPr="002F7B72">
              <w:rPr>
                <w:rStyle w:val="Hyperlink"/>
                <w:noProof/>
              </w:rPr>
              <w:t>Despesa. Legalidade do pagamento a prestadores de serviço por meio de débito automático.</w:t>
            </w:r>
            <w:r>
              <w:rPr>
                <w:noProof/>
                <w:webHidden/>
              </w:rPr>
              <w:tab/>
            </w:r>
            <w:r>
              <w:rPr>
                <w:noProof/>
                <w:webHidden/>
              </w:rPr>
              <w:fldChar w:fldCharType="begin"/>
            </w:r>
            <w:r>
              <w:rPr>
                <w:noProof/>
                <w:webHidden/>
              </w:rPr>
              <w:instrText xml:space="preserve"> PAGEREF _Toc20214912 \h </w:instrText>
            </w:r>
            <w:r>
              <w:rPr>
                <w:noProof/>
                <w:webHidden/>
              </w:rPr>
            </w:r>
            <w:r>
              <w:rPr>
                <w:noProof/>
                <w:webHidden/>
              </w:rPr>
              <w:fldChar w:fldCharType="separate"/>
            </w:r>
            <w:r>
              <w:rPr>
                <w:noProof/>
                <w:webHidden/>
              </w:rPr>
              <w:t>3</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13" w:history="1">
            <w:r w:rsidRPr="002F7B72">
              <w:rPr>
                <w:rStyle w:val="Hyperlink"/>
                <w:noProof/>
              </w:rPr>
              <w:t>PESSOAL</w:t>
            </w:r>
            <w:r>
              <w:rPr>
                <w:noProof/>
                <w:webHidden/>
              </w:rPr>
              <w:tab/>
            </w:r>
            <w:r>
              <w:rPr>
                <w:noProof/>
                <w:webHidden/>
              </w:rPr>
              <w:fldChar w:fldCharType="begin"/>
            </w:r>
            <w:r>
              <w:rPr>
                <w:noProof/>
                <w:webHidden/>
              </w:rPr>
              <w:instrText xml:space="preserve"> PAGEREF _Toc20214913 \h </w:instrText>
            </w:r>
            <w:r>
              <w:rPr>
                <w:noProof/>
                <w:webHidden/>
              </w:rPr>
            </w:r>
            <w:r>
              <w:rPr>
                <w:noProof/>
                <w:webHidden/>
              </w:rPr>
              <w:fldChar w:fldCharType="separate"/>
            </w:r>
            <w:r>
              <w:rPr>
                <w:noProof/>
                <w:webHidden/>
              </w:rPr>
              <w:t>4</w:t>
            </w:r>
            <w:r>
              <w:rPr>
                <w:noProof/>
                <w:webHidden/>
              </w:rPr>
              <w:fldChar w:fldCharType="end"/>
            </w:r>
          </w:hyperlink>
        </w:p>
        <w:p w:rsidR="001E5E1E" w:rsidRDefault="001E5E1E">
          <w:pPr>
            <w:pStyle w:val="Sumrio2"/>
            <w:tabs>
              <w:tab w:val="right" w:leader="dot" w:pos="8494"/>
            </w:tabs>
            <w:rPr>
              <w:noProof/>
            </w:rPr>
          </w:pPr>
          <w:hyperlink w:anchor="_Toc20214914" w:history="1">
            <w:r w:rsidRPr="002F7B72">
              <w:rPr>
                <w:rStyle w:val="Hyperlink"/>
                <w:noProof/>
              </w:rPr>
              <w:t>Pessoal. Criação de cargos sem concurso público. Afronta a Constituição Federal.</w:t>
            </w:r>
            <w:r>
              <w:rPr>
                <w:noProof/>
                <w:webHidden/>
              </w:rPr>
              <w:tab/>
            </w:r>
            <w:r>
              <w:rPr>
                <w:noProof/>
                <w:webHidden/>
              </w:rPr>
              <w:fldChar w:fldCharType="begin"/>
            </w:r>
            <w:r>
              <w:rPr>
                <w:noProof/>
                <w:webHidden/>
              </w:rPr>
              <w:instrText xml:space="preserve"> PAGEREF _Toc20214914 \h </w:instrText>
            </w:r>
            <w:r>
              <w:rPr>
                <w:noProof/>
                <w:webHidden/>
              </w:rPr>
            </w:r>
            <w:r>
              <w:rPr>
                <w:noProof/>
                <w:webHidden/>
              </w:rPr>
              <w:fldChar w:fldCharType="separate"/>
            </w:r>
            <w:r>
              <w:rPr>
                <w:noProof/>
                <w:webHidden/>
              </w:rPr>
              <w:t>4</w:t>
            </w:r>
            <w:r>
              <w:rPr>
                <w:noProof/>
                <w:webHidden/>
              </w:rPr>
              <w:fldChar w:fldCharType="end"/>
            </w:r>
          </w:hyperlink>
        </w:p>
        <w:p w:rsidR="001E5E1E" w:rsidRDefault="001E5E1E">
          <w:pPr>
            <w:pStyle w:val="Sumrio2"/>
            <w:tabs>
              <w:tab w:val="right" w:leader="dot" w:pos="8494"/>
            </w:tabs>
            <w:rPr>
              <w:noProof/>
            </w:rPr>
          </w:pPr>
          <w:hyperlink w:anchor="_Toc20214915" w:history="1">
            <w:r w:rsidRPr="002F7B72">
              <w:rPr>
                <w:rStyle w:val="Hyperlink"/>
                <w:noProof/>
              </w:rPr>
              <w:t>Pessoal. Aumento de subsídio dos Vereadores sem norma legal.</w:t>
            </w:r>
            <w:r>
              <w:rPr>
                <w:noProof/>
                <w:webHidden/>
              </w:rPr>
              <w:tab/>
            </w:r>
            <w:r>
              <w:rPr>
                <w:noProof/>
                <w:webHidden/>
              </w:rPr>
              <w:fldChar w:fldCharType="begin"/>
            </w:r>
            <w:r>
              <w:rPr>
                <w:noProof/>
                <w:webHidden/>
              </w:rPr>
              <w:instrText xml:space="preserve"> PAGEREF _Toc20214915 \h </w:instrText>
            </w:r>
            <w:r>
              <w:rPr>
                <w:noProof/>
                <w:webHidden/>
              </w:rPr>
            </w:r>
            <w:r>
              <w:rPr>
                <w:noProof/>
                <w:webHidden/>
              </w:rPr>
              <w:fldChar w:fldCharType="separate"/>
            </w:r>
            <w:r>
              <w:rPr>
                <w:noProof/>
                <w:webHidden/>
              </w:rPr>
              <w:t>4</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16" w:history="1">
            <w:r w:rsidRPr="002F7B72">
              <w:rPr>
                <w:rStyle w:val="Hyperlink"/>
                <w:noProof/>
              </w:rPr>
              <w:t>PRESTAÇÃO DE CONTAS</w:t>
            </w:r>
            <w:r>
              <w:rPr>
                <w:noProof/>
                <w:webHidden/>
              </w:rPr>
              <w:tab/>
            </w:r>
            <w:r>
              <w:rPr>
                <w:noProof/>
                <w:webHidden/>
              </w:rPr>
              <w:fldChar w:fldCharType="begin"/>
            </w:r>
            <w:r>
              <w:rPr>
                <w:noProof/>
                <w:webHidden/>
              </w:rPr>
              <w:instrText xml:space="preserve"> PAGEREF _Toc20214916 \h </w:instrText>
            </w:r>
            <w:r>
              <w:rPr>
                <w:noProof/>
                <w:webHidden/>
              </w:rPr>
            </w:r>
            <w:r>
              <w:rPr>
                <w:noProof/>
                <w:webHidden/>
              </w:rPr>
              <w:fldChar w:fldCharType="separate"/>
            </w:r>
            <w:r>
              <w:rPr>
                <w:noProof/>
                <w:webHidden/>
              </w:rPr>
              <w:t>5</w:t>
            </w:r>
            <w:r>
              <w:rPr>
                <w:noProof/>
                <w:webHidden/>
              </w:rPr>
              <w:fldChar w:fldCharType="end"/>
            </w:r>
          </w:hyperlink>
        </w:p>
        <w:p w:rsidR="001E5E1E" w:rsidRDefault="001E5E1E">
          <w:pPr>
            <w:pStyle w:val="Sumrio2"/>
            <w:tabs>
              <w:tab w:val="right" w:leader="dot" w:pos="8494"/>
            </w:tabs>
            <w:rPr>
              <w:noProof/>
            </w:rPr>
          </w:pPr>
          <w:hyperlink w:anchor="_Toc20214917" w:history="1">
            <w:r w:rsidRPr="002F7B72">
              <w:rPr>
                <w:rStyle w:val="Hyperlink"/>
                <w:noProof/>
              </w:rPr>
              <w:t>Prestação de Contas. Inscrição dos restos a pagar sem disponibilidade financeira.</w:t>
            </w:r>
            <w:r>
              <w:rPr>
                <w:noProof/>
                <w:webHidden/>
              </w:rPr>
              <w:tab/>
            </w:r>
            <w:r>
              <w:rPr>
                <w:noProof/>
                <w:webHidden/>
              </w:rPr>
              <w:fldChar w:fldCharType="begin"/>
            </w:r>
            <w:r>
              <w:rPr>
                <w:noProof/>
                <w:webHidden/>
              </w:rPr>
              <w:instrText xml:space="preserve"> PAGEREF _Toc20214917 \h </w:instrText>
            </w:r>
            <w:r>
              <w:rPr>
                <w:noProof/>
                <w:webHidden/>
              </w:rPr>
            </w:r>
            <w:r>
              <w:rPr>
                <w:noProof/>
                <w:webHidden/>
              </w:rPr>
              <w:fldChar w:fldCharType="separate"/>
            </w:r>
            <w:r>
              <w:rPr>
                <w:noProof/>
                <w:webHidden/>
              </w:rPr>
              <w:t>5</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18" w:history="1">
            <w:r w:rsidRPr="002F7B72">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_Toc20214918 \h </w:instrText>
            </w:r>
            <w:r>
              <w:rPr>
                <w:noProof/>
                <w:webHidden/>
              </w:rPr>
            </w:r>
            <w:r>
              <w:rPr>
                <w:noProof/>
                <w:webHidden/>
              </w:rPr>
              <w:fldChar w:fldCharType="separate"/>
            </w:r>
            <w:r>
              <w:rPr>
                <w:noProof/>
                <w:webHidden/>
              </w:rPr>
              <w:t>5</w:t>
            </w:r>
            <w:r>
              <w:rPr>
                <w:noProof/>
                <w:webHidden/>
              </w:rPr>
              <w:fldChar w:fldCharType="end"/>
            </w:r>
          </w:hyperlink>
        </w:p>
        <w:p w:rsidR="001E5E1E" w:rsidRDefault="001E5E1E">
          <w:pPr>
            <w:pStyle w:val="Sumrio2"/>
            <w:tabs>
              <w:tab w:val="right" w:leader="dot" w:pos="8494"/>
            </w:tabs>
            <w:rPr>
              <w:noProof/>
            </w:rPr>
          </w:pPr>
          <w:hyperlink w:anchor="_Toc20214919" w:history="1">
            <w:r w:rsidRPr="002F7B72">
              <w:rPr>
                <w:rStyle w:val="Hyperlink"/>
                <w:noProof/>
              </w:rPr>
              <w:t>Previdência. Enquadramento após a Súmula nº 5 do TCE/PI. Princípio da Segurança Jurídica.</w:t>
            </w:r>
            <w:r>
              <w:rPr>
                <w:noProof/>
                <w:webHidden/>
              </w:rPr>
              <w:tab/>
            </w:r>
            <w:r>
              <w:rPr>
                <w:noProof/>
                <w:webHidden/>
              </w:rPr>
              <w:fldChar w:fldCharType="begin"/>
            </w:r>
            <w:r>
              <w:rPr>
                <w:noProof/>
                <w:webHidden/>
              </w:rPr>
              <w:instrText xml:space="preserve"> PAGEREF _Toc20214919 \h </w:instrText>
            </w:r>
            <w:r>
              <w:rPr>
                <w:noProof/>
                <w:webHidden/>
              </w:rPr>
            </w:r>
            <w:r>
              <w:rPr>
                <w:noProof/>
                <w:webHidden/>
              </w:rPr>
              <w:fldChar w:fldCharType="separate"/>
            </w:r>
            <w:r>
              <w:rPr>
                <w:noProof/>
                <w:webHidden/>
              </w:rPr>
              <w:t>5</w:t>
            </w:r>
            <w:r>
              <w:rPr>
                <w:noProof/>
                <w:webHidden/>
              </w:rPr>
              <w:fldChar w:fldCharType="end"/>
            </w:r>
          </w:hyperlink>
        </w:p>
        <w:p w:rsidR="001E5E1E" w:rsidRDefault="001E5E1E">
          <w:pPr>
            <w:pStyle w:val="Sumrio2"/>
            <w:tabs>
              <w:tab w:val="right" w:leader="dot" w:pos="8494"/>
            </w:tabs>
            <w:rPr>
              <w:noProof/>
            </w:rPr>
          </w:pPr>
          <w:hyperlink w:anchor="_Toc20214920" w:history="1">
            <w:r w:rsidRPr="002F7B72">
              <w:rPr>
                <w:rStyle w:val="Hyperlink"/>
                <w:noProof/>
              </w:rPr>
              <w:t>Previdência. Repasse menor das contribuições previdenciárias.</w:t>
            </w:r>
            <w:r>
              <w:rPr>
                <w:noProof/>
                <w:webHidden/>
              </w:rPr>
              <w:tab/>
            </w:r>
            <w:r>
              <w:rPr>
                <w:noProof/>
                <w:webHidden/>
              </w:rPr>
              <w:fldChar w:fldCharType="begin"/>
            </w:r>
            <w:r>
              <w:rPr>
                <w:noProof/>
                <w:webHidden/>
              </w:rPr>
              <w:instrText xml:space="preserve"> PAGEREF _Toc20214920 \h </w:instrText>
            </w:r>
            <w:r>
              <w:rPr>
                <w:noProof/>
                <w:webHidden/>
              </w:rPr>
            </w:r>
            <w:r>
              <w:rPr>
                <w:noProof/>
                <w:webHidden/>
              </w:rPr>
              <w:fldChar w:fldCharType="separate"/>
            </w:r>
            <w:r>
              <w:rPr>
                <w:noProof/>
                <w:webHidden/>
              </w:rPr>
              <w:t>6</w:t>
            </w:r>
            <w:r>
              <w:rPr>
                <w:noProof/>
                <w:webHidden/>
              </w:rPr>
              <w:fldChar w:fldCharType="end"/>
            </w:r>
          </w:hyperlink>
        </w:p>
        <w:p w:rsidR="001E5E1E" w:rsidRDefault="001E5E1E">
          <w:pPr>
            <w:pStyle w:val="Sumrio2"/>
            <w:tabs>
              <w:tab w:val="right" w:leader="dot" w:pos="8494"/>
            </w:tabs>
            <w:rPr>
              <w:noProof/>
            </w:rPr>
          </w:pPr>
          <w:hyperlink w:anchor="_Toc20214921" w:history="1">
            <w:r w:rsidRPr="002F7B72">
              <w:rPr>
                <w:rStyle w:val="Hyperlink"/>
                <w:noProof/>
              </w:rPr>
              <w:t>Previdência. Enquadramento após a Súmula nº 5 do TCE/PI.</w:t>
            </w:r>
            <w:r>
              <w:rPr>
                <w:noProof/>
                <w:webHidden/>
              </w:rPr>
              <w:tab/>
            </w:r>
            <w:r>
              <w:rPr>
                <w:noProof/>
                <w:webHidden/>
              </w:rPr>
              <w:fldChar w:fldCharType="begin"/>
            </w:r>
            <w:r>
              <w:rPr>
                <w:noProof/>
                <w:webHidden/>
              </w:rPr>
              <w:instrText xml:space="preserve"> PAGEREF _Toc20214921 \h </w:instrText>
            </w:r>
            <w:r>
              <w:rPr>
                <w:noProof/>
                <w:webHidden/>
              </w:rPr>
            </w:r>
            <w:r>
              <w:rPr>
                <w:noProof/>
                <w:webHidden/>
              </w:rPr>
              <w:fldChar w:fldCharType="separate"/>
            </w:r>
            <w:r>
              <w:rPr>
                <w:noProof/>
                <w:webHidden/>
              </w:rPr>
              <w:t>6</w:t>
            </w:r>
            <w:r>
              <w:rPr>
                <w:noProof/>
                <w:webHidden/>
              </w:rPr>
              <w:fldChar w:fldCharType="end"/>
            </w:r>
          </w:hyperlink>
        </w:p>
        <w:p w:rsidR="001E5E1E" w:rsidRDefault="001E5E1E">
          <w:pPr>
            <w:pStyle w:val="Sumrio1"/>
            <w:tabs>
              <w:tab w:val="right" w:leader="dot" w:pos="8494"/>
            </w:tabs>
            <w:rPr>
              <w:rFonts w:eastAsiaTheme="minorEastAsia"/>
              <w:noProof/>
              <w:lang w:eastAsia="pt-BR"/>
            </w:rPr>
          </w:pPr>
          <w:hyperlink w:anchor="_Toc20214922" w:history="1">
            <w:r w:rsidRPr="002F7B72">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_Toc20214922 \h </w:instrText>
            </w:r>
            <w:r>
              <w:rPr>
                <w:noProof/>
                <w:webHidden/>
              </w:rPr>
            </w:r>
            <w:r>
              <w:rPr>
                <w:noProof/>
                <w:webHidden/>
              </w:rPr>
              <w:fldChar w:fldCharType="separate"/>
            </w:r>
            <w:r>
              <w:rPr>
                <w:noProof/>
                <w:webHidden/>
              </w:rPr>
              <w:t>7</w:t>
            </w:r>
            <w:r>
              <w:rPr>
                <w:noProof/>
                <w:webHidden/>
              </w:rPr>
              <w:fldChar w:fldCharType="end"/>
            </w:r>
          </w:hyperlink>
        </w:p>
        <w:p w:rsidR="001E5E1E" w:rsidRDefault="001E5E1E">
          <w:pPr>
            <w:pStyle w:val="Sumrio2"/>
            <w:tabs>
              <w:tab w:val="right" w:leader="dot" w:pos="8494"/>
            </w:tabs>
            <w:rPr>
              <w:noProof/>
            </w:rPr>
          </w:pPr>
          <w:hyperlink w:anchor="_Toc20214923" w:history="1">
            <w:r w:rsidRPr="002F7B72">
              <w:rPr>
                <w:rStyle w:val="Hyperlink"/>
                <w:noProof/>
              </w:rPr>
              <w:t>Responsabilidade. Necessidade de instalar controle interno.</w:t>
            </w:r>
            <w:r>
              <w:rPr>
                <w:noProof/>
                <w:webHidden/>
              </w:rPr>
              <w:tab/>
            </w:r>
            <w:r>
              <w:rPr>
                <w:noProof/>
                <w:webHidden/>
              </w:rPr>
              <w:fldChar w:fldCharType="begin"/>
            </w:r>
            <w:r>
              <w:rPr>
                <w:noProof/>
                <w:webHidden/>
              </w:rPr>
              <w:instrText xml:space="preserve"> PAGEREF _Toc20214923 \h </w:instrText>
            </w:r>
            <w:r>
              <w:rPr>
                <w:noProof/>
                <w:webHidden/>
              </w:rPr>
            </w:r>
            <w:r>
              <w:rPr>
                <w:noProof/>
                <w:webHidden/>
              </w:rPr>
              <w:fldChar w:fldCharType="separate"/>
            </w:r>
            <w:r>
              <w:rPr>
                <w:noProof/>
                <w:webHidden/>
              </w:rPr>
              <w:t>7</w:t>
            </w:r>
            <w:r>
              <w:rPr>
                <w:noProof/>
                <w:webHidden/>
              </w:rPr>
              <w:fldChar w:fldCharType="end"/>
            </w:r>
          </w:hyperlink>
        </w:p>
        <w:p w:rsidR="001E5E1E" w:rsidRDefault="001E5E1E">
          <w:pPr>
            <w:pStyle w:val="Sumrio2"/>
            <w:tabs>
              <w:tab w:val="right" w:leader="dot" w:pos="8494"/>
            </w:tabs>
            <w:rPr>
              <w:noProof/>
            </w:rPr>
          </w:pPr>
          <w:hyperlink w:anchor="_Toc20214924" w:history="1">
            <w:r w:rsidRPr="002F7B72">
              <w:rPr>
                <w:rStyle w:val="Hyperlink"/>
                <w:noProof/>
              </w:rPr>
              <w:t>Responsabilidade. Inobservância do chefe do executivo ao dever de prestar contas</w:t>
            </w:r>
            <w:r>
              <w:rPr>
                <w:noProof/>
                <w:webHidden/>
              </w:rPr>
              <w:tab/>
            </w:r>
            <w:r>
              <w:rPr>
                <w:noProof/>
                <w:webHidden/>
              </w:rPr>
              <w:fldChar w:fldCharType="begin"/>
            </w:r>
            <w:r>
              <w:rPr>
                <w:noProof/>
                <w:webHidden/>
              </w:rPr>
              <w:instrText xml:space="preserve"> PAGEREF _Toc20214924 \h </w:instrText>
            </w:r>
            <w:r>
              <w:rPr>
                <w:noProof/>
                <w:webHidden/>
              </w:rPr>
            </w:r>
            <w:r>
              <w:rPr>
                <w:noProof/>
                <w:webHidden/>
              </w:rPr>
              <w:fldChar w:fldCharType="separate"/>
            </w:r>
            <w:r>
              <w:rPr>
                <w:noProof/>
                <w:webHidden/>
              </w:rPr>
              <w:t>8</w:t>
            </w:r>
            <w:r>
              <w:rPr>
                <w:noProof/>
                <w:webHidden/>
              </w:rPr>
              <w:fldChar w:fldCharType="end"/>
            </w:r>
          </w:hyperlink>
        </w:p>
        <w:p w:rsidR="001E5E1E" w:rsidRDefault="001E5E1E">
          <w:pPr>
            <w:pStyle w:val="Sumrio2"/>
            <w:tabs>
              <w:tab w:val="right" w:leader="dot" w:pos="8494"/>
            </w:tabs>
            <w:rPr>
              <w:noProof/>
            </w:rPr>
          </w:pPr>
          <w:hyperlink w:anchor="_Toc20214925" w:history="1">
            <w:r w:rsidRPr="002F7B72">
              <w:rPr>
                <w:rStyle w:val="Hyperlink"/>
                <w:noProof/>
              </w:rPr>
              <w:t>Responsabilidade. Gestor não comprovou o cumprimento das determinações do TCE/PI.</w:t>
            </w:r>
            <w:r>
              <w:rPr>
                <w:noProof/>
                <w:webHidden/>
              </w:rPr>
              <w:tab/>
            </w:r>
            <w:r>
              <w:rPr>
                <w:noProof/>
                <w:webHidden/>
              </w:rPr>
              <w:fldChar w:fldCharType="begin"/>
            </w:r>
            <w:r>
              <w:rPr>
                <w:noProof/>
                <w:webHidden/>
              </w:rPr>
              <w:instrText xml:space="preserve"> PAGEREF _Toc20214925 \h </w:instrText>
            </w:r>
            <w:r>
              <w:rPr>
                <w:noProof/>
                <w:webHidden/>
              </w:rPr>
            </w:r>
            <w:r>
              <w:rPr>
                <w:noProof/>
                <w:webHidden/>
              </w:rPr>
              <w:fldChar w:fldCharType="separate"/>
            </w:r>
            <w:r>
              <w:rPr>
                <w:noProof/>
                <w:webHidden/>
              </w:rPr>
              <w:t>8</w:t>
            </w:r>
            <w:r>
              <w:rPr>
                <w:noProof/>
                <w:webHidden/>
              </w:rPr>
              <w:fldChar w:fldCharType="end"/>
            </w:r>
          </w:hyperlink>
        </w:p>
        <w:p w:rsidR="001E5E1E" w:rsidRDefault="001E5E1E">
          <w:pPr>
            <w:pStyle w:val="Sumrio2"/>
            <w:tabs>
              <w:tab w:val="right" w:leader="dot" w:pos="8494"/>
            </w:tabs>
            <w:rPr>
              <w:noProof/>
            </w:rPr>
          </w:pPr>
          <w:hyperlink w:anchor="_Toc20214926" w:history="1">
            <w:r w:rsidRPr="002F7B72">
              <w:rPr>
                <w:rStyle w:val="Hyperlink"/>
                <w:noProof/>
              </w:rPr>
              <w:t>Responsabilidade. Gestor tem que comprovar a boa e regular aplicação dos recursos públicos.</w:t>
            </w:r>
            <w:r>
              <w:rPr>
                <w:noProof/>
                <w:webHidden/>
              </w:rPr>
              <w:tab/>
            </w:r>
            <w:r>
              <w:rPr>
                <w:noProof/>
                <w:webHidden/>
              </w:rPr>
              <w:fldChar w:fldCharType="begin"/>
            </w:r>
            <w:r>
              <w:rPr>
                <w:noProof/>
                <w:webHidden/>
              </w:rPr>
              <w:instrText xml:space="preserve"> PAGEREF _Toc20214926 \h </w:instrText>
            </w:r>
            <w:r>
              <w:rPr>
                <w:noProof/>
                <w:webHidden/>
              </w:rPr>
            </w:r>
            <w:r>
              <w:rPr>
                <w:noProof/>
                <w:webHidden/>
              </w:rPr>
              <w:fldChar w:fldCharType="separate"/>
            </w:r>
            <w:r>
              <w:rPr>
                <w:noProof/>
                <w:webHidden/>
              </w:rPr>
              <w:t>9</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4A296A" w:rsidRPr="001E5E1E" w:rsidRDefault="0064685C" w:rsidP="00ED6196">
      <w:pPr>
        <w:pStyle w:val="Ttulo1"/>
        <w:jc w:val="both"/>
      </w:pPr>
      <w:bookmarkStart w:id="1" w:name="_Toc20214908"/>
      <w:r w:rsidRPr="001E5E1E">
        <w:lastRenderedPageBreak/>
        <w:t>CONT</w:t>
      </w:r>
      <w:r w:rsidR="0007785F" w:rsidRPr="001E5E1E">
        <w:t>RATO</w:t>
      </w:r>
      <w:bookmarkEnd w:id="1"/>
    </w:p>
    <w:p w:rsidR="00ED6196" w:rsidRPr="001E5E1E" w:rsidRDefault="00ED6196" w:rsidP="00ED6196">
      <w:pPr>
        <w:pStyle w:val="Ttulo1"/>
        <w:jc w:val="both"/>
      </w:pPr>
      <w:bookmarkStart w:id="2" w:name="_Toc20214909"/>
      <w:r w:rsidRPr="001E5E1E">
        <w:t xml:space="preserve">Contrato. </w:t>
      </w:r>
      <w:r w:rsidR="00E760E0" w:rsidRPr="001E5E1E">
        <w:t>Contração de emprese fictícia</w:t>
      </w:r>
      <w:r w:rsidRPr="001E5E1E">
        <w:t>.</w:t>
      </w:r>
      <w:r w:rsidR="00E760E0" w:rsidRPr="001E5E1E">
        <w:t xml:space="preserve"> Constatação de incapacidade operacional necessária.</w:t>
      </w:r>
      <w:bookmarkEnd w:id="2"/>
      <w:r w:rsidR="00E760E0" w:rsidRPr="001E5E1E">
        <w:t xml:space="preserve"> </w:t>
      </w:r>
    </w:p>
    <w:p w:rsidR="00ED6196" w:rsidRPr="001E5E1E" w:rsidRDefault="00ED6196" w:rsidP="00ED6196">
      <w:pPr>
        <w:tabs>
          <w:tab w:val="left" w:pos="3750"/>
        </w:tabs>
        <w:jc w:val="both"/>
      </w:pPr>
      <w:r w:rsidRPr="001E5E1E">
        <w:tab/>
      </w:r>
    </w:p>
    <w:p w:rsidR="00E760E0" w:rsidRPr="001E5E1E" w:rsidRDefault="00992E94" w:rsidP="00ED6196">
      <w:pPr>
        <w:ind w:left="2268"/>
        <w:jc w:val="both"/>
      </w:pPr>
      <w:r w:rsidRPr="001E5E1E">
        <w:t xml:space="preserve">INSPEÇÃO NA PREFEITURA MUNICIPAL DE PALMEIRAIS. IRREGULARIDADES EM PROCEDIMENTOS DE LICITAÇÃO – EXERCÍCIO 2016. CONTRATAÇÃO E EXECUÇÃO DE DESPESAS POR EMPRESA FICTÍCIA. CONSTATAÇÃO DE INCAPACIDADE OPERACIONAL NECESSÁRIA A PARA REALIZAR OS SERVIÇOS PARA AS QUAIS FOI CONTRATADA. ABUSO DA PERSONALIDADE JURÍDICA. FRAUDES EM PROCESSOS LICITATÓRIOS. CONVERSÃO EM PROCESSO DE TOMADA DE CONTAS ESPECIAL. PROCEDÊNCIA. MANUTENÇAÕ DA CAUTELAR DE SUSPENSÃO DO DIREITO DE CONTRATAR E/OU RECEBER RECURSOS DE QUALQUER ÓRGÃO </w:t>
      </w:r>
      <w:proofErr w:type="gramStart"/>
      <w:r w:rsidRPr="001E5E1E">
        <w:t>SOB JURISDIÇÃO</w:t>
      </w:r>
      <w:proofErr w:type="gramEnd"/>
      <w:r w:rsidRPr="001E5E1E">
        <w:t xml:space="preserve"> DESTA CORTE. ACATAMENTO DAS RECOMENDAÇÕES PROPOSTAS PELA UNIDADE TÉCNICA.</w:t>
      </w:r>
    </w:p>
    <w:p w:rsidR="00E760E0" w:rsidRPr="001E5E1E" w:rsidRDefault="00E760E0" w:rsidP="00ED6196">
      <w:pPr>
        <w:ind w:left="2268"/>
        <w:jc w:val="both"/>
        <w:rPr>
          <w:u w:val="single"/>
        </w:rPr>
      </w:pPr>
      <w:r w:rsidRPr="001E5E1E">
        <w:rPr>
          <w:u w:val="single"/>
        </w:rPr>
        <w:t xml:space="preserve">1. Quanto à contratação e execução de despesas por empresa fictícia, a análise </w:t>
      </w:r>
      <w:proofErr w:type="gramStart"/>
      <w:r w:rsidRPr="001E5E1E">
        <w:rPr>
          <w:u w:val="single"/>
        </w:rPr>
        <w:t>implementada</w:t>
      </w:r>
      <w:proofErr w:type="gramEnd"/>
      <w:r w:rsidRPr="001E5E1E">
        <w:rPr>
          <w:u w:val="single"/>
        </w:rPr>
        <w:t xml:space="preserve"> comprovou, através de documentos, que a empresa Construtora Crescer Ltda., não obstante ter recebido vultosos recursos oriundos dos cofres públicos, não possuía a capacidade operacional necessária a para realizar os serviços para as quais foi contratada. </w:t>
      </w:r>
    </w:p>
    <w:p w:rsidR="00E760E0" w:rsidRPr="001E5E1E" w:rsidRDefault="00E760E0" w:rsidP="00ED6196">
      <w:pPr>
        <w:ind w:left="2268"/>
        <w:jc w:val="both"/>
      </w:pPr>
      <w:r w:rsidRPr="001E5E1E">
        <w:t>2. No que diz respeito às irregularidades detectadas nos processos licitatórios Cartas Convites nº. 01/2016, 02/2016 e 03/2016 e Tomada de Preços nº. 01/2016</w:t>
      </w:r>
      <w:proofErr w:type="gramStart"/>
      <w:r w:rsidRPr="001E5E1E">
        <w:t>, ficou</w:t>
      </w:r>
      <w:proofErr w:type="gramEnd"/>
      <w:r w:rsidRPr="001E5E1E">
        <w:t xml:space="preserve"> evidenciado que houve irregularidade caracterizada pela divisão da despesa com o objetivo de utilizar modalidade de licitação inferior à recomendada à totalidade do objeto (Fracionamento de Licitação).</w:t>
      </w:r>
    </w:p>
    <w:p w:rsidR="00E760E0" w:rsidRPr="001E5E1E" w:rsidRDefault="00E760E0" w:rsidP="00ED6196">
      <w:pPr>
        <w:ind w:left="2268"/>
        <w:jc w:val="both"/>
      </w:pPr>
      <w:r w:rsidRPr="001E5E1E">
        <w:t xml:space="preserve"> 3. Acatamento das recomendações propostas pela unidade técnica (Peça 73. fls. 36 a 39), EXCETO aquelas relacionadas à imputação de débito à empresa, a inabilitação para o exercício de cargo em comissão ou função de confiança na administração pública </w:t>
      </w:r>
      <w:proofErr w:type="gramStart"/>
      <w:r w:rsidRPr="001E5E1E">
        <w:t>ao membros</w:t>
      </w:r>
      <w:proofErr w:type="gramEnd"/>
      <w:r w:rsidRPr="001E5E1E">
        <w:t xml:space="preserve"> da comissão de licitação e ao prefeito, a declaração de inidoneidade por parte da empresa e a desconsideração da personalidade jurídica, que serão melhores aplicadas quando do resultado do processo de tomada de contas especial</w:t>
      </w:r>
    </w:p>
    <w:p w:rsidR="00ED6196" w:rsidRPr="001E5E1E" w:rsidRDefault="00ED6196" w:rsidP="00ED6196">
      <w:pPr>
        <w:ind w:left="2268"/>
        <w:jc w:val="both"/>
      </w:pPr>
      <w:r w:rsidRPr="001E5E1E">
        <w:lastRenderedPageBreak/>
        <w:t>(</w:t>
      </w:r>
      <w:r w:rsidR="00E760E0" w:rsidRPr="001E5E1E">
        <w:t>Inspeção</w:t>
      </w:r>
      <w:r w:rsidRPr="001E5E1E">
        <w:t xml:space="preserve">. Processo </w:t>
      </w:r>
      <w:hyperlink r:id="rId11" w:history="1">
        <w:r w:rsidRPr="001E5E1E">
          <w:rPr>
            <w:rStyle w:val="Hyperlink"/>
            <w:color w:val="auto"/>
          </w:rPr>
          <w:t>TC/</w:t>
        </w:r>
        <w:r w:rsidRPr="001E5E1E">
          <w:rPr>
            <w:rStyle w:val="Hyperlink"/>
            <w:bCs/>
            <w:color w:val="auto"/>
          </w:rPr>
          <w:t>0</w:t>
        </w:r>
        <w:r w:rsidR="00E760E0" w:rsidRPr="001E5E1E">
          <w:rPr>
            <w:rStyle w:val="Hyperlink"/>
            <w:bCs/>
            <w:color w:val="auto"/>
          </w:rPr>
          <w:t>18499</w:t>
        </w:r>
        <w:r w:rsidRPr="001E5E1E">
          <w:rPr>
            <w:rStyle w:val="Hyperlink"/>
            <w:bCs/>
            <w:color w:val="auto"/>
          </w:rPr>
          <w:t>/2018</w:t>
        </w:r>
      </w:hyperlink>
      <w:r w:rsidRPr="001E5E1E">
        <w:t xml:space="preserve"> – Relator</w:t>
      </w:r>
      <w:r w:rsidR="00E760E0" w:rsidRPr="001E5E1E">
        <w:t>a</w:t>
      </w:r>
      <w:r w:rsidRPr="001E5E1E">
        <w:t xml:space="preserve">: </w:t>
      </w:r>
      <w:proofErr w:type="spellStart"/>
      <w:r w:rsidRPr="001E5E1E">
        <w:t>Cons</w:t>
      </w:r>
      <w:r w:rsidR="00E760E0" w:rsidRPr="001E5E1E">
        <w:t>ª</w:t>
      </w:r>
      <w:proofErr w:type="spellEnd"/>
      <w:r w:rsidRPr="001E5E1E">
        <w:t>.</w:t>
      </w:r>
      <w:r w:rsidRPr="001E5E1E">
        <w:rPr>
          <w:rFonts w:ascii="Times New Roman" w:hAnsi="Times New Roman" w:cs="Times New Roman"/>
          <w:sz w:val="18"/>
          <w:szCs w:val="18"/>
        </w:rPr>
        <w:t xml:space="preserve"> </w:t>
      </w:r>
      <w:r w:rsidR="00E760E0" w:rsidRPr="001E5E1E">
        <w:t>Lilian de Almeida Veloso Nunes Martins</w:t>
      </w:r>
      <w:r w:rsidRPr="001E5E1E">
        <w:t xml:space="preserve">. Plenário. Decisão Unânime. Acórdão nº </w:t>
      </w:r>
      <w:r w:rsidR="00E760E0" w:rsidRPr="001E5E1E">
        <w:t>1.204</w:t>
      </w:r>
      <w:r w:rsidRPr="001E5E1E">
        <w:t>/1</w:t>
      </w:r>
      <w:r w:rsidR="00E760E0" w:rsidRPr="001E5E1E">
        <w:t>9</w:t>
      </w:r>
      <w:r w:rsidRPr="001E5E1E">
        <w:t xml:space="preserve"> publicado no </w:t>
      </w:r>
      <w:hyperlink r:id="rId12" w:history="1">
        <w:r w:rsidR="00E760E0" w:rsidRPr="001E5E1E">
          <w:rPr>
            <w:rStyle w:val="Hyperlink"/>
            <w:color w:val="auto"/>
          </w:rPr>
          <w:t>DOE/TCE-PI º 150</w:t>
        </w:r>
        <w:r w:rsidRPr="001E5E1E">
          <w:rPr>
            <w:rStyle w:val="Hyperlink"/>
            <w:color w:val="auto"/>
          </w:rPr>
          <w:t>/1</w:t>
        </w:r>
        <w:r w:rsidR="00E760E0" w:rsidRPr="001E5E1E">
          <w:rPr>
            <w:rStyle w:val="Hyperlink"/>
            <w:color w:val="auto"/>
          </w:rPr>
          <w:t>9</w:t>
        </w:r>
      </w:hyperlink>
      <w:proofErr w:type="gramStart"/>
      <w:r w:rsidRPr="001E5E1E">
        <w:t>)</w:t>
      </w:r>
      <w:proofErr w:type="gramEnd"/>
    </w:p>
    <w:p w:rsidR="00650581" w:rsidRPr="001E5E1E" w:rsidRDefault="00650581" w:rsidP="00650581">
      <w:pPr>
        <w:pStyle w:val="Ttulo2"/>
        <w:jc w:val="both"/>
      </w:pPr>
      <w:bookmarkStart w:id="3" w:name="_Toc20214910"/>
      <w:r w:rsidRPr="001E5E1E">
        <w:t xml:space="preserve">Contrato. </w:t>
      </w:r>
      <w:r w:rsidR="0043427E" w:rsidRPr="001E5E1E">
        <w:t>Contratação de empresa com proprietários</w:t>
      </w:r>
      <w:r w:rsidR="00E57B84" w:rsidRPr="001E5E1E">
        <w:t xml:space="preserve"> parente do prefeito</w:t>
      </w:r>
      <w:r w:rsidRPr="001E5E1E">
        <w:t>.</w:t>
      </w:r>
      <w:r w:rsidR="00E57B84" w:rsidRPr="001E5E1E">
        <w:t xml:space="preserve"> Violação dos princípios constitucionais da impessoalidade e isonomia.</w:t>
      </w:r>
      <w:bookmarkEnd w:id="3"/>
      <w:r w:rsidR="00E57B84" w:rsidRPr="001E5E1E">
        <w:t xml:space="preserve"> </w:t>
      </w:r>
    </w:p>
    <w:p w:rsidR="00650581" w:rsidRPr="001E5E1E" w:rsidRDefault="00650581" w:rsidP="00650581">
      <w:pPr>
        <w:tabs>
          <w:tab w:val="left" w:pos="3750"/>
          <w:tab w:val="right" w:pos="8504"/>
        </w:tabs>
        <w:jc w:val="both"/>
      </w:pPr>
      <w:r w:rsidRPr="001E5E1E">
        <w:tab/>
      </w:r>
      <w:r w:rsidRPr="001E5E1E">
        <w:tab/>
      </w:r>
    </w:p>
    <w:p w:rsidR="0043427E" w:rsidRPr="001E5E1E" w:rsidRDefault="0043427E" w:rsidP="00650581">
      <w:pPr>
        <w:ind w:left="2268"/>
        <w:jc w:val="both"/>
      </w:pPr>
      <w:r w:rsidRPr="001E5E1E">
        <w:t xml:space="preserve">DENÚNCIA. IRREGULARIDADES NA CONTRATAÇÃO DE EMPRESA DE MATERIAL DE CONSTRUÇÃO CUJOS PROPRIETÁRIOS POSSUEM LAÇOS DE PARENTESCO COM O PREFEITO. VIOLAÇÃO AOS PRINCÍPIOS CONSTITUCIONAIS DA IMPESSOALIDADE E DA ISONOMIA. COMPROVAÇÃO DO ALEGADO. </w:t>
      </w:r>
    </w:p>
    <w:p w:rsidR="0043427E" w:rsidRPr="001E5E1E" w:rsidRDefault="0043427E" w:rsidP="00650581">
      <w:pPr>
        <w:ind w:left="2268"/>
        <w:jc w:val="both"/>
      </w:pPr>
      <w:r w:rsidRPr="001E5E1E">
        <w:t>Tendo em vista a confirmação da relação de parentesco entre o gestor denunciado e o vencedor do certame, na forma do art. 1592 do Código Civil, e acolhendo o entendimento da Divisão Técnica, do TCU e do Parquet de Contas, entende-se que sua contratação contém elevada probabilidade de resultar</w:t>
      </w:r>
      <w:r w:rsidRPr="001E5E1E">
        <w:t xml:space="preserve"> </w:t>
      </w:r>
      <w:r w:rsidRPr="001E5E1E">
        <w:t>em privilégios e favorecimentos, o que colide com os princípios constitucionais da impessoalidade e da isonomia</w:t>
      </w:r>
      <w:r w:rsidRPr="001E5E1E">
        <w:t>.</w:t>
      </w:r>
      <w:r w:rsidRPr="001E5E1E">
        <w:t xml:space="preserve"> </w:t>
      </w:r>
    </w:p>
    <w:p w:rsidR="00650581" w:rsidRPr="001E5E1E" w:rsidRDefault="00650581" w:rsidP="00650581">
      <w:pPr>
        <w:ind w:left="2268"/>
        <w:jc w:val="both"/>
      </w:pPr>
      <w:r w:rsidRPr="001E5E1E">
        <w:t>(</w:t>
      </w:r>
      <w:r w:rsidR="00E57B84" w:rsidRPr="001E5E1E">
        <w:t>Denúncia</w:t>
      </w:r>
      <w:r w:rsidRPr="001E5E1E">
        <w:t xml:space="preserve">. Processo </w:t>
      </w:r>
      <w:hyperlink r:id="rId13" w:history="1">
        <w:r w:rsidRPr="001E5E1E">
          <w:rPr>
            <w:rStyle w:val="Hyperlink"/>
          </w:rPr>
          <w:t>TC/</w:t>
        </w:r>
        <w:r w:rsidRPr="001E5E1E">
          <w:rPr>
            <w:rStyle w:val="Hyperlink"/>
            <w:bCs/>
          </w:rPr>
          <w:t>0</w:t>
        </w:r>
        <w:r w:rsidR="00E57B84" w:rsidRPr="001E5E1E">
          <w:rPr>
            <w:rStyle w:val="Hyperlink"/>
            <w:bCs/>
          </w:rPr>
          <w:t>16082</w:t>
        </w:r>
        <w:r w:rsidRPr="001E5E1E">
          <w:rPr>
            <w:rStyle w:val="Hyperlink"/>
            <w:bCs/>
          </w:rPr>
          <w:t>/201</w:t>
        </w:r>
        <w:r w:rsidR="00E57B84" w:rsidRPr="001E5E1E">
          <w:rPr>
            <w:rStyle w:val="Hyperlink"/>
            <w:bCs/>
          </w:rPr>
          <w:t>8</w:t>
        </w:r>
      </w:hyperlink>
      <w:r w:rsidRPr="001E5E1E">
        <w:t xml:space="preserve"> – Relator: Cons.</w:t>
      </w:r>
      <w:r w:rsidRPr="001E5E1E">
        <w:rPr>
          <w:rFonts w:ascii="Times New Roman" w:hAnsi="Times New Roman" w:cs="Times New Roman"/>
          <w:sz w:val="18"/>
          <w:szCs w:val="18"/>
        </w:rPr>
        <w:t xml:space="preserve"> </w:t>
      </w:r>
      <w:r w:rsidR="00E57B84" w:rsidRPr="001E5E1E">
        <w:t>Joaquim Kennedy Nogueira Barros</w:t>
      </w:r>
      <w:r w:rsidRPr="001E5E1E">
        <w:t xml:space="preserve">. </w:t>
      </w:r>
      <w:r w:rsidR="00E57B84" w:rsidRPr="001E5E1E">
        <w:t>Segunda</w:t>
      </w:r>
      <w:r w:rsidRPr="001E5E1E">
        <w:t xml:space="preserve"> Câmara. Decisão Unânime. Acórdão nº 1.</w:t>
      </w:r>
      <w:r w:rsidR="00E57B84" w:rsidRPr="001E5E1E">
        <w:t>278</w:t>
      </w:r>
      <w:r w:rsidRPr="001E5E1E">
        <w:t>/1</w:t>
      </w:r>
      <w:r w:rsidR="00E57B84" w:rsidRPr="001E5E1E">
        <w:t>9</w:t>
      </w:r>
      <w:r w:rsidRPr="001E5E1E">
        <w:t xml:space="preserve"> publicado no </w:t>
      </w:r>
      <w:hyperlink r:id="rId14" w:history="1">
        <w:r w:rsidRPr="001E5E1E">
          <w:rPr>
            <w:rStyle w:val="Hyperlink"/>
            <w:color w:val="auto"/>
          </w:rPr>
          <w:t xml:space="preserve">DOE/TCE-PI º </w:t>
        </w:r>
        <w:r w:rsidR="00E57B84" w:rsidRPr="001E5E1E">
          <w:rPr>
            <w:rStyle w:val="Hyperlink"/>
            <w:color w:val="auto"/>
          </w:rPr>
          <w:t>164</w:t>
        </w:r>
        <w:r w:rsidRPr="001E5E1E">
          <w:rPr>
            <w:rStyle w:val="Hyperlink"/>
            <w:color w:val="auto"/>
          </w:rPr>
          <w:t>/1</w:t>
        </w:r>
        <w:r w:rsidR="00E57B84" w:rsidRPr="001E5E1E">
          <w:rPr>
            <w:rStyle w:val="Hyperlink"/>
            <w:color w:val="auto"/>
          </w:rPr>
          <w:t>9</w:t>
        </w:r>
      </w:hyperlink>
      <w:proofErr w:type="gramStart"/>
      <w:r w:rsidRPr="001E5E1E">
        <w:t>)</w:t>
      </w:r>
      <w:proofErr w:type="gramEnd"/>
    </w:p>
    <w:p w:rsidR="00C92A9A" w:rsidRPr="001E5E1E" w:rsidRDefault="00C92A9A" w:rsidP="00C92A9A">
      <w:pPr>
        <w:pStyle w:val="Ttulo1"/>
        <w:jc w:val="both"/>
      </w:pPr>
      <w:bookmarkStart w:id="4" w:name="_Toc20214911"/>
      <w:r w:rsidRPr="001E5E1E">
        <w:t>DESPESA</w:t>
      </w:r>
      <w:bookmarkEnd w:id="4"/>
    </w:p>
    <w:p w:rsidR="00C92A9A" w:rsidRPr="001E5E1E" w:rsidRDefault="00C92A9A" w:rsidP="00C92A9A">
      <w:pPr>
        <w:pStyle w:val="Ttulo1"/>
        <w:jc w:val="both"/>
        <w:rPr>
          <w:color w:val="4F81BD" w:themeColor="accent1"/>
          <w:sz w:val="26"/>
          <w:szCs w:val="26"/>
        </w:rPr>
      </w:pPr>
      <w:bookmarkStart w:id="5" w:name="_Toc20214912"/>
      <w:r w:rsidRPr="001E5E1E">
        <w:rPr>
          <w:color w:val="4F81BD" w:themeColor="accent1"/>
          <w:sz w:val="26"/>
          <w:szCs w:val="26"/>
        </w:rPr>
        <w:t xml:space="preserve">Despesa. </w:t>
      </w:r>
      <w:r w:rsidR="00377815" w:rsidRPr="001E5E1E">
        <w:rPr>
          <w:color w:val="4F81BD" w:themeColor="accent1"/>
          <w:sz w:val="26"/>
          <w:szCs w:val="26"/>
        </w:rPr>
        <w:t xml:space="preserve">Legalidade do pagamento </w:t>
      </w:r>
      <w:r w:rsidR="00EB4227" w:rsidRPr="001E5E1E">
        <w:rPr>
          <w:color w:val="4F81BD" w:themeColor="accent1"/>
          <w:sz w:val="26"/>
          <w:szCs w:val="26"/>
        </w:rPr>
        <w:t>a prestadores de serviço por meio de débito automático</w:t>
      </w:r>
      <w:r w:rsidR="00961DCB" w:rsidRPr="001E5E1E">
        <w:rPr>
          <w:color w:val="4F81BD" w:themeColor="accent1"/>
          <w:sz w:val="26"/>
          <w:szCs w:val="26"/>
        </w:rPr>
        <w:t>.</w:t>
      </w:r>
      <w:bookmarkEnd w:id="5"/>
      <w:r w:rsidR="00961DCB" w:rsidRPr="001E5E1E">
        <w:rPr>
          <w:color w:val="4F81BD" w:themeColor="accent1"/>
          <w:sz w:val="26"/>
          <w:szCs w:val="26"/>
        </w:rPr>
        <w:t xml:space="preserve"> </w:t>
      </w:r>
    </w:p>
    <w:p w:rsidR="00EB4227" w:rsidRPr="001E5E1E" w:rsidRDefault="00EB4227" w:rsidP="00EB4227"/>
    <w:p w:rsidR="00EB4227" w:rsidRPr="001E5E1E" w:rsidRDefault="00EB4227" w:rsidP="00C92A9A">
      <w:pPr>
        <w:tabs>
          <w:tab w:val="left" w:pos="1032"/>
        </w:tabs>
        <w:ind w:left="2268"/>
        <w:jc w:val="both"/>
      </w:pPr>
      <w:r w:rsidRPr="001E5E1E">
        <w:t>CONSULTA. INDAGAÇÃO ACERCA DA POSSIBILIDADE DE PAGAMENTOS A PRESTADORES DE SERVIÇO POR MEIO DE DÉBITO AUTOMÁTICO.</w:t>
      </w:r>
    </w:p>
    <w:p w:rsidR="00EB4227" w:rsidRPr="001E5E1E" w:rsidRDefault="00EB4227" w:rsidP="00C92A9A">
      <w:pPr>
        <w:tabs>
          <w:tab w:val="left" w:pos="1032"/>
        </w:tabs>
        <w:ind w:left="2268"/>
        <w:jc w:val="both"/>
      </w:pPr>
      <w:r w:rsidRPr="001E5E1E">
        <w:t>Há possibilidade de pagamento de despesa pública por débito automático desde que a despesa possua regularidade na cobrança, a exemplo dos serviços prestados por concessionárias de serviço público.</w:t>
      </w:r>
      <w:r w:rsidRPr="001E5E1E">
        <w:t xml:space="preserve"> </w:t>
      </w:r>
    </w:p>
    <w:p w:rsidR="00C92A9A" w:rsidRPr="001E5E1E" w:rsidRDefault="00C92A9A" w:rsidP="00C92A9A">
      <w:pPr>
        <w:tabs>
          <w:tab w:val="left" w:pos="1032"/>
        </w:tabs>
        <w:ind w:left="2268"/>
        <w:jc w:val="both"/>
      </w:pPr>
      <w:r w:rsidRPr="001E5E1E">
        <w:lastRenderedPageBreak/>
        <w:t>(</w:t>
      </w:r>
      <w:r w:rsidR="00D220CD" w:rsidRPr="001E5E1E">
        <w:t>Consulta</w:t>
      </w:r>
      <w:r w:rsidRPr="001E5E1E">
        <w:t xml:space="preserve">. Processo </w:t>
      </w:r>
      <w:hyperlink r:id="rId15" w:history="1">
        <w:r w:rsidR="00D97288" w:rsidRPr="001E5E1E">
          <w:rPr>
            <w:rStyle w:val="Hyperlink"/>
          </w:rPr>
          <w:t>TC/0</w:t>
        </w:r>
        <w:r w:rsidR="00EB4227" w:rsidRPr="001E5E1E">
          <w:rPr>
            <w:rStyle w:val="Hyperlink"/>
          </w:rPr>
          <w:t>05132</w:t>
        </w:r>
        <w:r w:rsidR="00D97288" w:rsidRPr="001E5E1E">
          <w:rPr>
            <w:rStyle w:val="Hyperlink"/>
          </w:rPr>
          <w:t>/201</w:t>
        </w:r>
        <w:r w:rsidR="00EB4227" w:rsidRPr="001E5E1E">
          <w:rPr>
            <w:rStyle w:val="Hyperlink"/>
          </w:rPr>
          <w:t>9</w:t>
        </w:r>
      </w:hyperlink>
      <w:r w:rsidRPr="001E5E1E">
        <w:t xml:space="preserve"> –</w:t>
      </w:r>
      <w:r w:rsidR="00EC4491" w:rsidRPr="001E5E1E">
        <w:t xml:space="preserve"> </w:t>
      </w:r>
      <w:r w:rsidR="00D220CD" w:rsidRPr="001E5E1E">
        <w:t>Relator</w:t>
      </w:r>
      <w:r w:rsidR="00EB4227" w:rsidRPr="001E5E1E">
        <w:t>a</w:t>
      </w:r>
      <w:r w:rsidR="00384D82" w:rsidRPr="001E5E1E">
        <w:t xml:space="preserve">: </w:t>
      </w:r>
      <w:proofErr w:type="spellStart"/>
      <w:r w:rsidR="00384D82" w:rsidRPr="001E5E1E">
        <w:t>Cons</w:t>
      </w:r>
      <w:r w:rsidR="00EB4227" w:rsidRPr="001E5E1E">
        <w:t>ª</w:t>
      </w:r>
      <w:proofErr w:type="spellEnd"/>
      <w:r w:rsidR="00384D82" w:rsidRPr="001E5E1E">
        <w:t xml:space="preserve">. </w:t>
      </w:r>
      <w:proofErr w:type="spellStart"/>
      <w:r w:rsidR="00EB4227" w:rsidRPr="001E5E1E">
        <w:t>Waltânia</w:t>
      </w:r>
      <w:proofErr w:type="spellEnd"/>
      <w:r w:rsidR="00EB4227" w:rsidRPr="001E5E1E">
        <w:t xml:space="preserve"> Maria Nogueira de Sousa Leal Alvarenga</w:t>
      </w:r>
      <w:r w:rsidR="00384D82" w:rsidRPr="001E5E1E">
        <w:t xml:space="preserve">. </w:t>
      </w:r>
      <w:r w:rsidR="00D220CD" w:rsidRPr="001E5E1E">
        <w:t>Plenário</w:t>
      </w:r>
      <w:r w:rsidR="00EC4491" w:rsidRPr="001E5E1E">
        <w:t xml:space="preserve">. Decisão </w:t>
      </w:r>
      <w:r w:rsidR="00D220CD" w:rsidRPr="001E5E1E">
        <w:t>por maioria</w:t>
      </w:r>
      <w:r w:rsidR="00EC4491" w:rsidRPr="001E5E1E">
        <w:t xml:space="preserve">. </w:t>
      </w:r>
      <w:r w:rsidRPr="001E5E1E">
        <w:t>Acórdão nº 1</w:t>
      </w:r>
      <w:r w:rsidR="00384D82" w:rsidRPr="001E5E1E">
        <w:t>.</w:t>
      </w:r>
      <w:r w:rsidR="00EB4227" w:rsidRPr="001E5E1E">
        <w:t>176</w:t>
      </w:r>
      <w:r w:rsidRPr="001E5E1E">
        <w:t>/1</w:t>
      </w:r>
      <w:r w:rsidR="00EB4227" w:rsidRPr="001E5E1E">
        <w:t>9</w:t>
      </w:r>
      <w:r w:rsidRPr="001E5E1E">
        <w:t xml:space="preserve"> publicado no </w:t>
      </w:r>
      <w:hyperlink r:id="rId16" w:history="1">
        <w:r w:rsidR="008815F4" w:rsidRPr="001E5E1E">
          <w:rPr>
            <w:rStyle w:val="Hyperlink"/>
          </w:rPr>
          <w:t xml:space="preserve">DOE/TCE-PI º </w:t>
        </w:r>
        <w:r w:rsidR="00EB4227" w:rsidRPr="001E5E1E">
          <w:rPr>
            <w:rStyle w:val="Hyperlink"/>
          </w:rPr>
          <w:t>160</w:t>
        </w:r>
        <w:r w:rsidR="008815F4" w:rsidRPr="001E5E1E">
          <w:rPr>
            <w:rStyle w:val="Hyperlink"/>
          </w:rPr>
          <w:t>/1</w:t>
        </w:r>
        <w:r w:rsidR="00EB4227" w:rsidRPr="001E5E1E">
          <w:rPr>
            <w:rStyle w:val="Hyperlink"/>
          </w:rPr>
          <w:t>9</w:t>
        </w:r>
      </w:hyperlink>
      <w:proofErr w:type="gramStart"/>
      <w:r w:rsidRPr="001E5E1E">
        <w:t>)</w:t>
      </w:r>
      <w:proofErr w:type="gramEnd"/>
    </w:p>
    <w:p w:rsidR="00BB38F8" w:rsidRPr="001E5E1E" w:rsidRDefault="00BB38F8" w:rsidP="00BB38F8">
      <w:pPr>
        <w:pStyle w:val="Ttulo1"/>
        <w:jc w:val="both"/>
      </w:pPr>
      <w:bookmarkStart w:id="6" w:name="_Toc20214913"/>
      <w:r w:rsidRPr="001E5E1E">
        <w:t>PESSOAL</w:t>
      </w:r>
      <w:bookmarkEnd w:id="6"/>
    </w:p>
    <w:p w:rsidR="0043427E" w:rsidRPr="001E5E1E" w:rsidRDefault="002B36F5" w:rsidP="0043427E">
      <w:pPr>
        <w:pStyle w:val="Ttulo2"/>
        <w:jc w:val="both"/>
      </w:pPr>
      <w:bookmarkStart w:id="7" w:name="_Toc20214914"/>
      <w:r w:rsidRPr="001E5E1E">
        <w:t xml:space="preserve">Pessoal. </w:t>
      </w:r>
      <w:r w:rsidR="0043427E" w:rsidRPr="001E5E1E">
        <w:t>Criação de cargos sem concurso público. Afronta a Constituição Federal.</w:t>
      </w:r>
      <w:bookmarkEnd w:id="7"/>
      <w:r w:rsidR="0043427E" w:rsidRPr="001E5E1E">
        <w:t xml:space="preserve"> </w:t>
      </w:r>
    </w:p>
    <w:p w:rsidR="0043427E" w:rsidRPr="001E5E1E" w:rsidRDefault="0043427E" w:rsidP="0043427E">
      <w:pPr>
        <w:tabs>
          <w:tab w:val="left" w:pos="2730"/>
        </w:tabs>
        <w:ind w:left="2268"/>
        <w:jc w:val="both"/>
      </w:pPr>
      <w:r w:rsidRPr="001E5E1E">
        <w:tab/>
      </w:r>
    </w:p>
    <w:p w:rsidR="0043427E" w:rsidRPr="001E5E1E" w:rsidRDefault="0043427E" w:rsidP="0043427E">
      <w:pPr>
        <w:ind w:left="2268"/>
        <w:jc w:val="both"/>
      </w:pPr>
      <w:r w:rsidRPr="001E5E1E">
        <w:t>PESSOAL. CRIAÇÃO DE CARGOS SEM CONCURSO PÚBLICO. PROCEDÊNCIA PARCIAL</w:t>
      </w:r>
    </w:p>
    <w:p w:rsidR="0043427E" w:rsidRPr="001E5E1E" w:rsidRDefault="0043427E" w:rsidP="0043427E">
      <w:pPr>
        <w:ind w:left="2268"/>
        <w:jc w:val="both"/>
      </w:pPr>
      <w:r w:rsidRPr="001E5E1E">
        <w:t xml:space="preserve"> 1. A Constituição Federal, no inciso II do seu artigo 37, dispôs que a investidura em cargo ou emprego público depende de aprovação prévia em concurso público de provas ou de provas e títulos, de acordo com a natureza e a complexidade do cargo ou emprego, na forma </w:t>
      </w:r>
      <w:proofErr w:type="gramStart"/>
      <w:r w:rsidRPr="001E5E1E">
        <w:t>prevista em lei, ressalvadas</w:t>
      </w:r>
      <w:proofErr w:type="gramEnd"/>
      <w:r w:rsidRPr="001E5E1E">
        <w:t xml:space="preserve"> as nomeações para cargo em comissão declarado em lei de livre nomeação e exoneração; </w:t>
      </w:r>
    </w:p>
    <w:p w:rsidR="0043427E" w:rsidRPr="001E5E1E" w:rsidRDefault="0043427E" w:rsidP="0043427E">
      <w:pPr>
        <w:ind w:left="2268"/>
        <w:jc w:val="both"/>
      </w:pPr>
      <w:r w:rsidRPr="001E5E1E">
        <w:t>2. Logo, a lei que cria os cargos em comissão tem que definir suas atribuições, as quais devem, necessariamente, ser compatíveis com as funções de direção, chefia ou assessoramento. Não se atendendo tal especificidade, de matriz constitucional, resulta patente a inconstitucionalidade da regra.</w:t>
      </w:r>
    </w:p>
    <w:p w:rsidR="0043427E" w:rsidRPr="001E5E1E" w:rsidRDefault="0043427E" w:rsidP="0043427E">
      <w:pPr>
        <w:ind w:left="2268"/>
        <w:jc w:val="both"/>
      </w:pPr>
      <w:r w:rsidRPr="001E5E1E">
        <w:t xml:space="preserve">(Denúncia. Processo </w:t>
      </w:r>
      <w:hyperlink r:id="rId17" w:history="1">
        <w:r w:rsidRPr="001E5E1E">
          <w:rPr>
            <w:rStyle w:val="Hyperlink"/>
          </w:rPr>
          <w:t>TC/</w:t>
        </w:r>
        <w:r w:rsidRPr="001E5E1E">
          <w:rPr>
            <w:rStyle w:val="Hyperlink"/>
            <w:bCs/>
          </w:rPr>
          <w:t>012891/2017</w:t>
        </w:r>
      </w:hyperlink>
      <w:r w:rsidRPr="001E5E1E">
        <w:t xml:space="preserve"> – Relator: Cons. Kleber Dantas Eulálio. Primeira Câmara. Decisão Unânime. Acórdão nº 1.221/19 publicado no </w:t>
      </w:r>
      <w:hyperlink r:id="rId18" w:history="1">
        <w:r w:rsidRPr="001E5E1E">
          <w:rPr>
            <w:rStyle w:val="Hyperlink"/>
          </w:rPr>
          <w:t>DOE/TCE-PI º 155/19</w:t>
        </w:r>
      </w:hyperlink>
      <w:proofErr w:type="gramStart"/>
      <w:r w:rsidRPr="001E5E1E">
        <w:t>)</w:t>
      </w:r>
      <w:proofErr w:type="gramEnd"/>
    </w:p>
    <w:p w:rsidR="009B20CD" w:rsidRPr="001E5E1E" w:rsidRDefault="009B20CD" w:rsidP="0043427E">
      <w:pPr>
        <w:pStyle w:val="Ttulo2"/>
        <w:jc w:val="both"/>
      </w:pPr>
      <w:bookmarkStart w:id="8" w:name="_Toc20214915"/>
      <w:r w:rsidRPr="001E5E1E">
        <w:t>Pessoal.</w:t>
      </w:r>
      <w:r w:rsidR="00363C9C" w:rsidRPr="001E5E1E">
        <w:t xml:space="preserve"> </w:t>
      </w:r>
      <w:r w:rsidR="00EB4227" w:rsidRPr="001E5E1E">
        <w:t>Aumento de subsídio dos Vereadores sem norma legal.</w:t>
      </w:r>
      <w:bookmarkEnd w:id="8"/>
    </w:p>
    <w:p w:rsidR="009B20CD" w:rsidRPr="001E5E1E" w:rsidRDefault="009B20CD" w:rsidP="009B20CD">
      <w:pPr>
        <w:tabs>
          <w:tab w:val="left" w:pos="3360"/>
        </w:tabs>
        <w:ind w:left="2268"/>
        <w:jc w:val="both"/>
      </w:pPr>
      <w:r w:rsidRPr="001E5E1E">
        <w:tab/>
      </w:r>
    </w:p>
    <w:p w:rsidR="00EB4227" w:rsidRPr="001E5E1E" w:rsidRDefault="00EB4227" w:rsidP="00363C9C">
      <w:pPr>
        <w:ind w:left="2268"/>
        <w:jc w:val="both"/>
      </w:pPr>
      <w:r w:rsidRPr="001E5E1E">
        <w:t xml:space="preserve">CÂMARA MUNICIPAL. AUMENTO NO SUBSIDIO DOS VEREADORES SEM NORMA LEGAL. IRREGULARIDADE. </w:t>
      </w:r>
    </w:p>
    <w:p w:rsidR="00EB4227" w:rsidRPr="001E5E1E" w:rsidRDefault="00EB4227" w:rsidP="00363C9C">
      <w:pPr>
        <w:ind w:left="2268"/>
        <w:jc w:val="both"/>
      </w:pPr>
      <w:r w:rsidRPr="001E5E1E">
        <w:t xml:space="preserve">1. Em conformidade com o artigo 29, inciso VI e artigo 37, inciso X da CF/88, o valor do subsídio deve ser estabelecido para a legislatura, no ano anterior, cabendo apenas </w:t>
      </w:r>
      <w:proofErr w:type="gramStart"/>
      <w:r w:rsidRPr="001E5E1E">
        <w:t>a</w:t>
      </w:r>
      <w:proofErr w:type="gramEnd"/>
      <w:r w:rsidRPr="001E5E1E">
        <w:t xml:space="preserve"> realização de revisão geral anual, juntamente com os servidores públicos, acompanhando os índices inflacionários.</w:t>
      </w:r>
      <w:r w:rsidRPr="001E5E1E">
        <w:t xml:space="preserve"> </w:t>
      </w:r>
    </w:p>
    <w:p w:rsidR="009B20CD" w:rsidRPr="001E5E1E" w:rsidRDefault="009B20CD" w:rsidP="00363C9C">
      <w:pPr>
        <w:ind w:left="2268"/>
        <w:jc w:val="both"/>
      </w:pPr>
      <w:r w:rsidRPr="001E5E1E">
        <w:lastRenderedPageBreak/>
        <w:t>(</w:t>
      </w:r>
      <w:r w:rsidR="00EB4227" w:rsidRPr="001E5E1E">
        <w:t>Prestação de Contas</w:t>
      </w:r>
      <w:r w:rsidRPr="001E5E1E">
        <w:t xml:space="preserve">. Processo </w:t>
      </w:r>
      <w:hyperlink r:id="rId19" w:history="1">
        <w:r w:rsidRPr="001E5E1E">
          <w:rPr>
            <w:rStyle w:val="Hyperlink"/>
          </w:rPr>
          <w:t>TC/</w:t>
        </w:r>
        <w:r w:rsidR="009306FE" w:rsidRPr="001E5E1E">
          <w:rPr>
            <w:rStyle w:val="Hyperlink"/>
          </w:rPr>
          <w:t>0</w:t>
        </w:r>
        <w:r w:rsidR="00EB4227" w:rsidRPr="001E5E1E">
          <w:rPr>
            <w:rStyle w:val="Hyperlink"/>
          </w:rPr>
          <w:t>05315</w:t>
        </w:r>
        <w:r w:rsidRPr="001E5E1E">
          <w:rPr>
            <w:rStyle w:val="Hyperlink"/>
          </w:rPr>
          <w:t>/1</w:t>
        </w:r>
        <w:r w:rsidR="00EB4227" w:rsidRPr="001E5E1E">
          <w:rPr>
            <w:rStyle w:val="Hyperlink"/>
          </w:rPr>
          <w:t>5</w:t>
        </w:r>
      </w:hyperlink>
      <w:r w:rsidRPr="001E5E1E">
        <w:t xml:space="preserve"> – Relator: </w:t>
      </w:r>
      <w:proofErr w:type="spellStart"/>
      <w:r w:rsidRPr="001E5E1E">
        <w:t>Cons</w:t>
      </w:r>
      <w:proofErr w:type="spellEnd"/>
      <w:r w:rsidR="00EB4227" w:rsidRPr="001E5E1E">
        <w:t xml:space="preserve"> Kleber Dantas Eulálio</w:t>
      </w:r>
      <w:r w:rsidRPr="001E5E1E">
        <w:t xml:space="preserve">. </w:t>
      </w:r>
      <w:r w:rsidR="00EB4227" w:rsidRPr="001E5E1E">
        <w:t>Primeira Câmara</w:t>
      </w:r>
      <w:r w:rsidRPr="001E5E1E">
        <w:t>. Decisão Unânime. Acórdão nº 1.</w:t>
      </w:r>
      <w:r w:rsidR="00EB4227" w:rsidRPr="001E5E1E">
        <w:t>346</w:t>
      </w:r>
      <w:r w:rsidRPr="001E5E1E">
        <w:t>/</w:t>
      </w:r>
      <w:r w:rsidR="00EB4227" w:rsidRPr="001E5E1E">
        <w:t>19</w:t>
      </w:r>
      <w:r w:rsidRPr="001E5E1E">
        <w:t xml:space="preserve"> publicado no </w:t>
      </w:r>
      <w:hyperlink r:id="rId20" w:history="1">
        <w:r w:rsidRPr="001E5E1E">
          <w:rPr>
            <w:rStyle w:val="Hyperlink"/>
          </w:rPr>
          <w:t xml:space="preserve">DOE/TCE-PI º </w:t>
        </w:r>
        <w:r w:rsidR="00EB4227" w:rsidRPr="001E5E1E">
          <w:rPr>
            <w:rStyle w:val="Hyperlink"/>
          </w:rPr>
          <w:t>160</w:t>
        </w:r>
        <w:r w:rsidRPr="001E5E1E">
          <w:rPr>
            <w:rStyle w:val="Hyperlink"/>
          </w:rPr>
          <w:t>/1</w:t>
        </w:r>
        <w:r w:rsidR="00EB4227" w:rsidRPr="001E5E1E">
          <w:rPr>
            <w:rStyle w:val="Hyperlink"/>
          </w:rPr>
          <w:t>9</w:t>
        </w:r>
      </w:hyperlink>
      <w:proofErr w:type="gramStart"/>
      <w:r w:rsidRPr="001E5E1E">
        <w:t>)</w:t>
      </w:r>
      <w:proofErr w:type="gramEnd"/>
    </w:p>
    <w:p w:rsidR="00ED3FA9" w:rsidRPr="001E5E1E" w:rsidRDefault="00ED3FA9" w:rsidP="00363C9C">
      <w:pPr>
        <w:ind w:left="2268"/>
        <w:jc w:val="both"/>
      </w:pPr>
    </w:p>
    <w:p w:rsidR="00BB38F8" w:rsidRPr="001E5E1E" w:rsidRDefault="00BB38F8" w:rsidP="00BB38F8">
      <w:pPr>
        <w:pStyle w:val="Ttulo1"/>
        <w:jc w:val="both"/>
      </w:pPr>
      <w:bookmarkStart w:id="9" w:name="_Toc20214916"/>
      <w:r w:rsidRPr="001E5E1E">
        <w:t>PR</w:t>
      </w:r>
      <w:r w:rsidR="002B702E" w:rsidRPr="001E5E1E">
        <w:t>ESTAÇÃO DE CONTAS</w:t>
      </w:r>
      <w:bookmarkEnd w:id="9"/>
    </w:p>
    <w:p w:rsidR="00AF0890" w:rsidRPr="001E5E1E" w:rsidRDefault="00AF0890" w:rsidP="00AF0890">
      <w:pPr>
        <w:tabs>
          <w:tab w:val="left" w:pos="2410"/>
          <w:tab w:val="center" w:pos="4536"/>
          <w:tab w:val="left" w:pos="7770"/>
        </w:tabs>
        <w:rPr>
          <w:color w:val="000000" w:themeColor="text1"/>
          <w:sz w:val="18"/>
          <w:szCs w:val="18"/>
        </w:rPr>
      </w:pPr>
      <w:r w:rsidRPr="001E5E1E">
        <w:rPr>
          <w:b/>
          <w:color w:val="FF0000"/>
          <w:sz w:val="18"/>
          <w:szCs w:val="18"/>
        </w:rPr>
        <w:tab/>
      </w:r>
      <w:r w:rsidRPr="001E5E1E">
        <w:rPr>
          <w:bCs/>
          <w:i/>
          <w:color w:val="000000" w:themeColor="text1"/>
          <w:sz w:val="18"/>
          <w:szCs w:val="18"/>
        </w:rPr>
        <w:t xml:space="preserve"> </w:t>
      </w:r>
    </w:p>
    <w:p w:rsidR="000D2EA4" w:rsidRPr="001E5E1E" w:rsidRDefault="000D2EA4" w:rsidP="000D2EA4">
      <w:pPr>
        <w:pStyle w:val="Ttulo2"/>
        <w:jc w:val="both"/>
      </w:pPr>
      <w:bookmarkStart w:id="10" w:name="_Toc20214917"/>
      <w:r w:rsidRPr="001E5E1E">
        <w:t xml:space="preserve">Prestação de Contas. </w:t>
      </w:r>
      <w:r w:rsidR="0043427E" w:rsidRPr="001E5E1E">
        <w:t>Inscrição dos restos a pagar sem disponibilidade financeira.</w:t>
      </w:r>
      <w:bookmarkEnd w:id="10"/>
      <w:r w:rsidR="004144D6" w:rsidRPr="001E5E1E">
        <w:t xml:space="preserve"> </w:t>
      </w:r>
    </w:p>
    <w:p w:rsidR="000D2EA4" w:rsidRPr="001E5E1E" w:rsidRDefault="000D2EA4" w:rsidP="000D2EA4">
      <w:pPr>
        <w:tabs>
          <w:tab w:val="left" w:pos="2730"/>
        </w:tabs>
        <w:ind w:left="2268"/>
        <w:jc w:val="both"/>
      </w:pPr>
      <w:r w:rsidRPr="001E5E1E">
        <w:tab/>
      </w:r>
    </w:p>
    <w:p w:rsidR="0043427E" w:rsidRPr="001E5E1E" w:rsidRDefault="0043427E" w:rsidP="0043427E">
      <w:pPr>
        <w:ind w:left="2268"/>
        <w:jc w:val="both"/>
      </w:pPr>
      <w:r w:rsidRPr="001E5E1E">
        <w:t>PRESTAÇÃO DE CONTAS. INSCRIÇÃO DE RESTOS A PAGAR SEM DISPONIBILIDADE FINANCEIRA.</w:t>
      </w:r>
    </w:p>
    <w:p w:rsidR="0043427E" w:rsidRPr="001E5E1E" w:rsidRDefault="0043427E" w:rsidP="0043427E">
      <w:pPr>
        <w:ind w:left="2268"/>
        <w:jc w:val="both"/>
      </w:pPr>
      <w:r w:rsidRPr="001E5E1E">
        <w:t xml:space="preserve"> A principal ocorrência presente nos autos diz respeito à inscrição em restos a pagar sem disponibilidade financeira que apresentou um valor bastante expressivo, mais de um milhão de reais inscritos em restos a pagar sem saldo financeiro para dar suporte a essas obrigações contraídas. Verificou-se que isso ocorreu em praticamente todas as unidades, tendo restos a pagar sem cobertura financeira nas contas da Prefeitura, do FMS e nas contas do FUNDEB, então, todas as unidades concorreram para esse quadro adverso evidenciado no balanço geral do município</w:t>
      </w:r>
      <w:r w:rsidRPr="001E5E1E">
        <w:t>.</w:t>
      </w:r>
    </w:p>
    <w:p w:rsidR="000D2EA4" w:rsidRPr="001E5E1E" w:rsidRDefault="0043427E" w:rsidP="0043427E">
      <w:pPr>
        <w:ind w:left="2268"/>
        <w:jc w:val="both"/>
      </w:pPr>
      <w:r w:rsidRPr="001E5E1E">
        <w:t xml:space="preserve"> </w:t>
      </w:r>
      <w:r w:rsidR="000D2EA4" w:rsidRPr="001E5E1E">
        <w:t>(</w:t>
      </w:r>
      <w:r w:rsidRPr="001E5E1E">
        <w:t>Prestação de Contas</w:t>
      </w:r>
      <w:r w:rsidR="000D2EA4" w:rsidRPr="001E5E1E">
        <w:t xml:space="preserve">. Processo </w:t>
      </w:r>
      <w:hyperlink r:id="rId21" w:history="1">
        <w:r w:rsidR="000D2EA4" w:rsidRPr="001E5E1E">
          <w:rPr>
            <w:rStyle w:val="Hyperlink"/>
          </w:rPr>
          <w:t>TC/</w:t>
        </w:r>
        <w:r w:rsidR="000D2EA4" w:rsidRPr="001E5E1E">
          <w:rPr>
            <w:rStyle w:val="Hyperlink"/>
            <w:bCs/>
          </w:rPr>
          <w:t>0</w:t>
        </w:r>
        <w:r w:rsidRPr="001E5E1E">
          <w:rPr>
            <w:rStyle w:val="Hyperlink"/>
            <w:bCs/>
          </w:rPr>
          <w:t>05169</w:t>
        </w:r>
        <w:r w:rsidR="000D2EA4" w:rsidRPr="001E5E1E">
          <w:rPr>
            <w:rStyle w:val="Hyperlink"/>
            <w:bCs/>
          </w:rPr>
          <w:t>/201</w:t>
        </w:r>
        <w:r w:rsidRPr="001E5E1E">
          <w:rPr>
            <w:rStyle w:val="Hyperlink"/>
            <w:bCs/>
          </w:rPr>
          <w:t>5</w:t>
        </w:r>
      </w:hyperlink>
      <w:r w:rsidR="000D2EA4" w:rsidRPr="001E5E1E">
        <w:t xml:space="preserve"> – Relator: Cons. </w:t>
      </w:r>
      <w:r w:rsidRPr="001E5E1E">
        <w:t>Subst. Alisson Felipe de Araújo</w:t>
      </w:r>
      <w:r w:rsidR="000D2EA4" w:rsidRPr="001E5E1E">
        <w:t xml:space="preserve">. Primeira Câmara. Decisão Unânime. </w:t>
      </w:r>
      <w:r w:rsidRPr="001E5E1E">
        <w:t>Parecer Prévio</w:t>
      </w:r>
      <w:r w:rsidR="000D2EA4" w:rsidRPr="001E5E1E">
        <w:t xml:space="preserve"> nº </w:t>
      </w:r>
      <w:r w:rsidRPr="001E5E1E">
        <w:t>84</w:t>
      </w:r>
      <w:r w:rsidR="000D2EA4" w:rsidRPr="001E5E1E">
        <w:t>/1</w:t>
      </w:r>
      <w:r w:rsidR="004144D6" w:rsidRPr="001E5E1E">
        <w:t>9</w:t>
      </w:r>
      <w:r w:rsidR="000D2EA4" w:rsidRPr="001E5E1E">
        <w:t xml:space="preserve"> publicado no </w:t>
      </w:r>
      <w:hyperlink r:id="rId22" w:history="1">
        <w:r w:rsidR="000D2EA4" w:rsidRPr="001E5E1E">
          <w:rPr>
            <w:rStyle w:val="Hyperlink"/>
          </w:rPr>
          <w:t xml:space="preserve">DOE/TCE-PI º </w:t>
        </w:r>
        <w:r w:rsidR="004144D6" w:rsidRPr="001E5E1E">
          <w:rPr>
            <w:rStyle w:val="Hyperlink"/>
          </w:rPr>
          <w:t>155</w:t>
        </w:r>
        <w:r w:rsidR="000D2EA4" w:rsidRPr="001E5E1E">
          <w:rPr>
            <w:rStyle w:val="Hyperlink"/>
          </w:rPr>
          <w:t>/1</w:t>
        </w:r>
        <w:r w:rsidR="004144D6" w:rsidRPr="001E5E1E">
          <w:rPr>
            <w:rStyle w:val="Hyperlink"/>
          </w:rPr>
          <w:t>9</w:t>
        </w:r>
      </w:hyperlink>
      <w:proofErr w:type="gramStart"/>
      <w:r w:rsidR="000D2EA4" w:rsidRPr="001E5E1E">
        <w:t>)</w:t>
      </w:r>
      <w:proofErr w:type="gramEnd"/>
    </w:p>
    <w:p w:rsidR="00815DFB" w:rsidRPr="001E5E1E" w:rsidRDefault="00815DFB" w:rsidP="009B50CE">
      <w:pPr>
        <w:keepNext/>
        <w:keepLines/>
        <w:tabs>
          <w:tab w:val="right" w:pos="8504"/>
        </w:tabs>
        <w:spacing w:before="480" w:after="0"/>
        <w:jc w:val="both"/>
        <w:outlineLvl w:val="0"/>
        <w:rPr>
          <w:color w:val="000000" w:themeColor="text1"/>
          <w:sz w:val="18"/>
          <w:szCs w:val="18"/>
        </w:rPr>
      </w:pPr>
      <w:bookmarkStart w:id="11" w:name="_Toc20214918"/>
      <w:r w:rsidRPr="001E5E1E">
        <w:rPr>
          <w:rFonts w:asciiTheme="majorHAnsi" w:eastAsiaTheme="majorEastAsia" w:hAnsiTheme="majorHAnsi" w:cstheme="majorBidi"/>
          <w:b/>
          <w:bCs/>
          <w:color w:val="365F91" w:themeColor="accent1" w:themeShade="BF"/>
          <w:sz w:val="28"/>
          <w:szCs w:val="28"/>
        </w:rPr>
        <w:t>PREVIDÊNCIA</w:t>
      </w:r>
      <w:bookmarkEnd w:id="11"/>
      <w:r w:rsidRPr="001E5E1E">
        <w:rPr>
          <w:b/>
          <w:color w:val="FF0000"/>
          <w:sz w:val="18"/>
          <w:szCs w:val="18"/>
        </w:rPr>
        <w:tab/>
      </w:r>
      <w:r w:rsidRPr="001E5E1E">
        <w:rPr>
          <w:bCs/>
          <w:i/>
          <w:color w:val="000000" w:themeColor="text1"/>
          <w:sz w:val="18"/>
          <w:szCs w:val="18"/>
        </w:rPr>
        <w:t xml:space="preserve"> </w:t>
      </w:r>
    </w:p>
    <w:p w:rsidR="002B5F91" w:rsidRPr="001E5E1E" w:rsidRDefault="002B5F91" w:rsidP="002B5F91">
      <w:pPr>
        <w:pStyle w:val="Ttulo2"/>
        <w:jc w:val="both"/>
      </w:pPr>
      <w:bookmarkStart w:id="12" w:name="_Toc20214919"/>
      <w:r w:rsidRPr="001E5E1E">
        <w:t xml:space="preserve">Previdência. </w:t>
      </w:r>
      <w:r w:rsidR="00E760E0" w:rsidRPr="001E5E1E">
        <w:t>Enquadramento após a Súmula nº 5 do TCE/PI. Princípio da Segurança Jurídica.</w:t>
      </w:r>
      <w:bookmarkEnd w:id="12"/>
      <w:r w:rsidR="00E760E0" w:rsidRPr="001E5E1E">
        <w:t xml:space="preserve"> </w:t>
      </w:r>
    </w:p>
    <w:p w:rsidR="002B5F91" w:rsidRPr="001E5E1E" w:rsidRDefault="002B5F91" w:rsidP="002B5F91">
      <w:pPr>
        <w:ind w:left="2268"/>
        <w:jc w:val="both"/>
      </w:pPr>
    </w:p>
    <w:p w:rsidR="00E760E0" w:rsidRPr="001E5E1E" w:rsidRDefault="00E760E0" w:rsidP="00E760E0">
      <w:pPr>
        <w:ind w:left="2268"/>
        <w:jc w:val="both"/>
      </w:pPr>
      <w:r w:rsidRPr="001E5E1E">
        <w:t xml:space="preserve">PREVIDÊNCIA. ENQUADRAMENTO EFETIVO APÓS O PRAZO PREVISTO NA SÚMULA TCE N° 5. LEGALIDADE NA CONCESSÃO DA APOSENTADORIA À SERVIDORA. CONHECIMENTO E PROVIMENTO DO PEDIDO DE REEXAME. </w:t>
      </w:r>
    </w:p>
    <w:p w:rsidR="00E760E0" w:rsidRPr="001E5E1E" w:rsidRDefault="00E760E0" w:rsidP="00E760E0">
      <w:pPr>
        <w:ind w:left="2268"/>
        <w:jc w:val="both"/>
        <w:rPr>
          <w:bCs/>
        </w:rPr>
      </w:pPr>
      <w:r w:rsidRPr="001E5E1E">
        <w:lastRenderedPageBreak/>
        <w:t>O Princípio Constitucional da Segurança Jurídica impede que após muitos anos trabalhando e contribuindo para o Regime Próprio de Previdência com a justa expectativa de ser inativada no seu cargo, a Administração anule um ato emitido por ela mesma, e que possuía a época de sua edição toda a aparência de legalidade e legitimidade, retirando da servidora, já idosa, a possibilidade de se aposentar no cargo em que laborou a maior parte de sua vida funcional e em que tinha a expectativa pacífica de se aposentar.</w:t>
      </w:r>
    </w:p>
    <w:p w:rsidR="00E760E0" w:rsidRPr="001E5E1E" w:rsidRDefault="00E760E0" w:rsidP="00E760E0">
      <w:pPr>
        <w:ind w:left="2268"/>
        <w:jc w:val="both"/>
      </w:pPr>
      <w:r w:rsidRPr="001E5E1E">
        <w:t xml:space="preserve">(Pedido de Reexame. Processo </w:t>
      </w:r>
      <w:hyperlink r:id="rId23" w:history="1">
        <w:r w:rsidRPr="001E5E1E">
          <w:rPr>
            <w:rStyle w:val="Hyperlink"/>
            <w:color w:val="auto"/>
          </w:rPr>
          <w:t>TC/</w:t>
        </w:r>
        <w:r w:rsidRPr="001E5E1E">
          <w:rPr>
            <w:rStyle w:val="Hyperlink"/>
            <w:bCs/>
            <w:color w:val="auto"/>
          </w:rPr>
          <w:t>011323/2018</w:t>
        </w:r>
      </w:hyperlink>
      <w:r w:rsidRPr="001E5E1E">
        <w:t xml:space="preserve"> – Relator: Cons. Subst</w:t>
      </w:r>
      <w:r w:rsidRPr="001E5E1E">
        <w:rPr>
          <w:rFonts w:ascii="Times New Roman" w:hAnsi="Times New Roman" w:cs="Times New Roman"/>
          <w:sz w:val="18"/>
          <w:szCs w:val="18"/>
        </w:rPr>
        <w:t xml:space="preserve">. </w:t>
      </w:r>
      <w:r w:rsidRPr="001E5E1E">
        <w:t xml:space="preserve">Jacson Nobre Veras. Plenário. Decisão Unânime. Acórdão nº 1.116/19 publicado no </w:t>
      </w:r>
      <w:hyperlink r:id="rId24" w:history="1">
        <w:r w:rsidRPr="001E5E1E">
          <w:rPr>
            <w:rStyle w:val="Hyperlink"/>
            <w:color w:val="auto"/>
          </w:rPr>
          <w:t>DOE/TCE-PI º 150/19</w:t>
        </w:r>
      </w:hyperlink>
      <w:proofErr w:type="gramStart"/>
      <w:r w:rsidRPr="001E5E1E">
        <w:t>)</w:t>
      </w:r>
      <w:proofErr w:type="gramEnd"/>
    </w:p>
    <w:p w:rsidR="004144D6" w:rsidRPr="001E5E1E" w:rsidRDefault="004144D6" w:rsidP="004144D6">
      <w:pPr>
        <w:pStyle w:val="Ttulo2"/>
        <w:jc w:val="both"/>
      </w:pPr>
      <w:bookmarkStart w:id="13" w:name="_Toc20214920"/>
      <w:r w:rsidRPr="001E5E1E">
        <w:t>Previdência. Repasse menor das contribuições previdenciárias.</w:t>
      </w:r>
      <w:bookmarkEnd w:id="13"/>
      <w:r w:rsidRPr="001E5E1E">
        <w:t xml:space="preserve"> </w:t>
      </w:r>
    </w:p>
    <w:p w:rsidR="004144D6" w:rsidRPr="001E5E1E" w:rsidRDefault="004144D6" w:rsidP="00E760E0">
      <w:pPr>
        <w:ind w:left="2268"/>
        <w:jc w:val="both"/>
      </w:pPr>
    </w:p>
    <w:p w:rsidR="004144D6" w:rsidRPr="001E5E1E" w:rsidRDefault="004144D6" w:rsidP="004144D6">
      <w:pPr>
        <w:ind w:left="2268"/>
        <w:jc w:val="both"/>
      </w:pPr>
      <w:r w:rsidRPr="001E5E1E">
        <w:t xml:space="preserve">PREVIDÊNCIA. REPASSE A MENOR AO INSS DAS CONTRIBUIÇÕES PREVIDENCIÁRIAS DEVIDAS. IRREGULARIDADE. </w:t>
      </w:r>
    </w:p>
    <w:p w:rsidR="004144D6" w:rsidRPr="001E5E1E" w:rsidRDefault="004144D6" w:rsidP="004144D6">
      <w:pPr>
        <w:ind w:left="2268"/>
        <w:jc w:val="both"/>
      </w:pPr>
      <w:r w:rsidRPr="001E5E1E">
        <w:t>1. O pagamento das contribuições previdenciárias é dever legal do gestor, não cabendo discricionariedade. Assim, o não recolhimento dos encargos previdenciários constitui falha grave, pois ocasiona prejuízo aos servidores, gera dívida previdenciária e distorce o percentual de gastos com pessoal.</w:t>
      </w:r>
    </w:p>
    <w:p w:rsidR="004144D6" w:rsidRPr="001E5E1E" w:rsidRDefault="004144D6" w:rsidP="004144D6">
      <w:pPr>
        <w:ind w:left="2268"/>
        <w:jc w:val="both"/>
      </w:pPr>
      <w:r w:rsidRPr="001E5E1E">
        <w:t xml:space="preserve">(Denúncia. Processo </w:t>
      </w:r>
      <w:hyperlink r:id="rId25" w:history="1">
        <w:r w:rsidRPr="001E5E1E">
          <w:rPr>
            <w:rStyle w:val="Hyperlink"/>
          </w:rPr>
          <w:t>TC/</w:t>
        </w:r>
        <w:r w:rsidRPr="001E5E1E">
          <w:rPr>
            <w:rStyle w:val="Hyperlink"/>
            <w:bCs/>
          </w:rPr>
          <w:t>012104/2018</w:t>
        </w:r>
      </w:hyperlink>
      <w:r w:rsidRPr="001E5E1E">
        <w:t xml:space="preserve"> – Relator: Cons. Subst. </w:t>
      </w:r>
      <w:proofErr w:type="spellStart"/>
      <w:r w:rsidRPr="001E5E1E">
        <w:t>Jaylson</w:t>
      </w:r>
      <w:proofErr w:type="spellEnd"/>
      <w:r w:rsidRPr="001E5E1E">
        <w:t xml:space="preserve"> </w:t>
      </w:r>
      <w:proofErr w:type="spellStart"/>
      <w:r w:rsidRPr="001E5E1E">
        <w:t>Fabianh</w:t>
      </w:r>
      <w:proofErr w:type="spellEnd"/>
      <w:r w:rsidRPr="001E5E1E">
        <w:t xml:space="preserve"> Lopes Campelo. Primeira Câmara. Decisão Unânime. Acórdão nº 1.276/19 publicado no </w:t>
      </w:r>
      <w:hyperlink r:id="rId26" w:history="1">
        <w:r w:rsidRPr="001E5E1E">
          <w:rPr>
            <w:rStyle w:val="Hyperlink"/>
          </w:rPr>
          <w:t>DOE/TCE-PI º 155/19</w:t>
        </w:r>
      </w:hyperlink>
      <w:proofErr w:type="gramStart"/>
      <w:r w:rsidRPr="001E5E1E">
        <w:t>)</w:t>
      </w:r>
      <w:proofErr w:type="gramEnd"/>
    </w:p>
    <w:p w:rsidR="00ED3FA9" w:rsidRPr="001E5E1E" w:rsidRDefault="00ED3FA9" w:rsidP="00ED3FA9">
      <w:pPr>
        <w:pStyle w:val="Ttulo2"/>
        <w:jc w:val="both"/>
      </w:pPr>
      <w:bookmarkStart w:id="14" w:name="_Toc20214921"/>
      <w:r w:rsidRPr="001E5E1E">
        <w:t>Previdência. Enquadramento após a Súmula nº 5 do TCE/PI.</w:t>
      </w:r>
      <w:bookmarkEnd w:id="14"/>
      <w:r w:rsidRPr="001E5E1E">
        <w:t xml:space="preserve"> </w:t>
      </w:r>
    </w:p>
    <w:p w:rsidR="00ED3FA9" w:rsidRPr="001E5E1E" w:rsidRDefault="00ED3FA9" w:rsidP="004144D6">
      <w:pPr>
        <w:ind w:left="2268"/>
        <w:jc w:val="both"/>
      </w:pPr>
    </w:p>
    <w:p w:rsidR="00F6183D" w:rsidRPr="001E5E1E" w:rsidRDefault="00ED3FA9" w:rsidP="00ED3FA9">
      <w:pPr>
        <w:ind w:left="2268"/>
        <w:jc w:val="both"/>
      </w:pPr>
      <w:r w:rsidRPr="001E5E1E">
        <w:t xml:space="preserve">PREVIDÊNCIA. APOSENTADORIA VOLUNTÁRIA POR IDADE E TEMPO DE CONTRIBUIÇÃO COM PROVENTOS INTEGRAIS. INGRESSO NO SERVIÇO PÚBLICO ANTES DE 1988. MUDANÇA NO REGIME JURÍDICO ANTES DE OUTUBRO DE 1993. INCIDÊNCIA DA SÚMULA TCE Nº5/10. </w:t>
      </w:r>
    </w:p>
    <w:p w:rsidR="00ED3FA9" w:rsidRPr="001E5E1E" w:rsidRDefault="00ED3FA9" w:rsidP="00ED3FA9">
      <w:pPr>
        <w:ind w:left="2268"/>
        <w:jc w:val="both"/>
      </w:pPr>
      <w:r w:rsidRPr="001E5E1E">
        <w:t xml:space="preserve">Dessa forma, em razão de haver sido submetida à mudança de regime jurídico, passando do celetista para o estatutário, a DFAP entende que a interessada pode inativar-se pelo RPPS do Estado do Piauí, no cargo que ocupava </w:t>
      </w:r>
      <w:proofErr w:type="gramStart"/>
      <w:r w:rsidRPr="001E5E1E">
        <w:t>à</w:t>
      </w:r>
      <w:proofErr w:type="gramEnd"/>
      <w:r w:rsidRPr="001E5E1E">
        <w:t xml:space="preserve"> época do requerimento do benefício. A servidora foi enquadrada no Regime Jurídico Estatutário Estado do Piauí em 01/03/93, se enquadrando na situação prevista pela Súmula TCE n° 05/10 de 19/04/10.</w:t>
      </w:r>
    </w:p>
    <w:p w:rsidR="00ED3FA9" w:rsidRPr="001E5E1E" w:rsidRDefault="00ED3FA9" w:rsidP="00ED3FA9">
      <w:pPr>
        <w:ind w:left="2268"/>
        <w:jc w:val="both"/>
      </w:pPr>
      <w:r w:rsidRPr="001E5E1E">
        <w:lastRenderedPageBreak/>
        <w:t>(</w:t>
      </w:r>
      <w:r w:rsidRPr="001E5E1E">
        <w:t>Aposentadoria</w:t>
      </w:r>
      <w:r w:rsidRPr="001E5E1E">
        <w:t xml:space="preserve">. Processo </w:t>
      </w:r>
      <w:hyperlink r:id="rId27" w:history="1">
        <w:r w:rsidRPr="001E5E1E">
          <w:rPr>
            <w:rStyle w:val="Hyperlink"/>
          </w:rPr>
          <w:t>TC/</w:t>
        </w:r>
        <w:r w:rsidRPr="001E5E1E">
          <w:rPr>
            <w:rStyle w:val="Hyperlink"/>
            <w:bCs/>
          </w:rPr>
          <w:t>0</w:t>
        </w:r>
        <w:r w:rsidRPr="001E5E1E">
          <w:rPr>
            <w:rStyle w:val="Hyperlink"/>
            <w:bCs/>
          </w:rPr>
          <w:t>08483</w:t>
        </w:r>
        <w:r w:rsidRPr="001E5E1E">
          <w:rPr>
            <w:rStyle w:val="Hyperlink"/>
            <w:bCs/>
          </w:rPr>
          <w:t>/201</w:t>
        </w:r>
        <w:r w:rsidRPr="001E5E1E">
          <w:rPr>
            <w:rStyle w:val="Hyperlink"/>
            <w:bCs/>
          </w:rPr>
          <w:t>9</w:t>
        </w:r>
      </w:hyperlink>
      <w:r w:rsidRPr="001E5E1E">
        <w:t xml:space="preserve"> – Relator: Cons. </w:t>
      </w:r>
      <w:r w:rsidRPr="001E5E1E">
        <w:t>Luciano Nunes Santos</w:t>
      </w:r>
      <w:r w:rsidRPr="001E5E1E">
        <w:t>. Primeira Câmara. Decisão Unânime. Acórdão nº 1.</w:t>
      </w:r>
      <w:r w:rsidRPr="001E5E1E">
        <w:t>343</w:t>
      </w:r>
      <w:r w:rsidRPr="001E5E1E">
        <w:t xml:space="preserve">/19 publicado no </w:t>
      </w:r>
      <w:hyperlink r:id="rId28" w:history="1">
        <w:r w:rsidRPr="001E5E1E">
          <w:rPr>
            <w:rStyle w:val="Hyperlink"/>
          </w:rPr>
          <w:t xml:space="preserve">DOE/TCE-PI º </w:t>
        </w:r>
        <w:r w:rsidRPr="001E5E1E">
          <w:rPr>
            <w:rStyle w:val="Hyperlink"/>
          </w:rPr>
          <w:t>160</w:t>
        </w:r>
        <w:r w:rsidRPr="001E5E1E">
          <w:rPr>
            <w:rStyle w:val="Hyperlink"/>
          </w:rPr>
          <w:t>/19</w:t>
        </w:r>
      </w:hyperlink>
      <w:proofErr w:type="gramStart"/>
      <w:r w:rsidRPr="001E5E1E">
        <w:t>)</w:t>
      </w:r>
      <w:proofErr w:type="gramEnd"/>
    </w:p>
    <w:p w:rsidR="00377815" w:rsidRPr="001E5E1E"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15" w:name="_Toc20214922"/>
      <w:r w:rsidRPr="001E5E1E">
        <w:rPr>
          <w:rFonts w:asciiTheme="majorHAnsi" w:eastAsiaTheme="majorEastAsia" w:hAnsiTheme="majorHAnsi" w:cstheme="majorBidi"/>
          <w:b/>
          <w:bCs/>
          <w:color w:val="365F91" w:themeColor="accent1" w:themeShade="BF"/>
          <w:sz w:val="28"/>
          <w:szCs w:val="28"/>
        </w:rPr>
        <w:t>RESPONSABILIDADE</w:t>
      </w:r>
      <w:bookmarkEnd w:id="15"/>
    </w:p>
    <w:p w:rsidR="009A2847" w:rsidRPr="001E5E1E" w:rsidRDefault="004E57C5" w:rsidP="009A2847">
      <w:pPr>
        <w:pStyle w:val="Ttulo2"/>
        <w:jc w:val="both"/>
      </w:pPr>
      <w:bookmarkStart w:id="16" w:name="_Toc20214923"/>
      <w:r w:rsidRPr="001E5E1E">
        <w:t>Responsabilidade</w:t>
      </w:r>
      <w:r w:rsidR="009A2847" w:rsidRPr="001E5E1E">
        <w:t>.</w:t>
      </w:r>
      <w:r w:rsidR="006C2C55" w:rsidRPr="001E5E1E">
        <w:t xml:space="preserve"> </w:t>
      </w:r>
      <w:r w:rsidR="00992E94" w:rsidRPr="001E5E1E">
        <w:t>Necessidade de instalar controle interno</w:t>
      </w:r>
      <w:r w:rsidR="009A2847" w:rsidRPr="001E5E1E">
        <w:t>.</w:t>
      </w:r>
      <w:bookmarkEnd w:id="16"/>
      <w:r w:rsidR="00992E94" w:rsidRPr="001E5E1E">
        <w:t xml:space="preserve"> </w:t>
      </w:r>
    </w:p>
    <w:p w:rsidR="009A2847" w:rsidRPr="001E5E1E" w:rsidRDefault="004E57C5" w:rsidP="004E57C5">
      <w:pPr>
        <w:tabs>
          <w:tab w:val="left" w:pos="4500"/>
        </w:tabs>
        <w:ind w:left="2268"/>
        <w:jc w:val="both"/>
      </w:pPr>
      <w:r w:rsidRPr="001E5E1E">
        <w:tab/>
      </w:r>
    </w:p>
    <w:p w:rsidR="00992E94" w:rsidRPr="001E5E1E" w:rsidRDefault="00992E94" w:rsidP="00992E94">
      <w:pPr>
        <w:pStyle w:val="PargrafodaLista"/>
        <w:ind w:left="2268"/>
        <w:jc w:val="both"/>
      </w:pPr>
      <w:r w:rsidRPr="001E5E1E">
        <w:t xml:space="preserve">EMENTA. PRESTAÇÃO DE CONTAS DA COORDENADORIA REGIONAL DA SAÚDE XIII – BOM JESUS/PI. EXERCÍCIO 2017. IRREGULARIDADES NA FORMALIZAÇÃO DOS CONTRATOS. IRREGULARIDADE EM PROCEDIMENTO DE INEXIGIBILIDADE DE LICITAÇÃO NA CONTRATAÇÃO DE ASSESSORIA CONTÁBIL. AUSÊNCIA DE CÓPIAS DOS CONTRATOS FIRMADOS COM O FORNECEDOR DOS SERVIÇOS. AUSÊNCIA DO NÚCLEO DE CONTROLE INTERNO </w:t>
      </w:r>
    </w:p>
    <w:p w:rsidR="00992E94" w:rsidRPr="001E5E1E" w:rsidRDefault="00992E94" w:rsidP="00992E94">
      <w:pPr>
        <w:pStyle w:val="PargrafodaLista"/>
        <w:ind w:left="2268"/>
        <w:jc w:val="both"/>
      </w:pPr>
    </w:p>
    <w:p w:rsidR="00992E94" w:rsidRPr="001E5E1E" w:rsidRDefault="00992E94" w:rsidP="00992E94">
      <w:pPr>
        <w:pStyle w:val="PargrafodaLista"/>
        <w:ind w:left="2268"/>
        <w:jc w:val="both"/>
      </w:pPr>
      <w:r w:rsidRPr="001E5E1E">
        <w:t xml:space="preserve">1. A ausência de publicação do contrato no diário oficial não é motivo para a nulidade de todos os atos praticados, no entanto, faz-se imprescindível seja determinado ao gestor que proceda imediatamente à publicação do ajuste; </w:t>
      </w:r>
    </w:p>
    <w:p w:rsidR="00992E94" w:rsidRPr="001E5E1E" w:rsidRDefault="00992E94" w:rsidP="00992E94">
      <w:pPr>
        <w:pStyle w:val="PargrafodaLista"/>
        <w:ind w:left="2268"/>
        <w:jc w:val="both"/>
      </w:pPr>
    </w:p>
    <w:p w:rsidR="00992E94" w:rsidRPr="001E5E1E" w:rsidRDefault="00992E94" w:rsidP="00992E94">
      <w:pPr>
        <w:pStyle w:val="PargrafodaLista"/>
        <w:ind w:left="2268"/>
        <w:jc w:val="both"/>
      </w:pPr>
      <w:r w:rsidRPr="001E5E1E">
        <w:t xml:space="preserve">2. Não é pelo simples fato de ser </w:t>
      </w:r>
      <w:proofErr w:type="gramStart"/>
      <w:r w:rsidRPr="001E5E1E">
        <w:t>uma atividade técnico profissional especializada</w:t>
      </w:r>
      <w:proofErr w:type="gramEnd"/>
      <w:r w:rsidRPr="001E5E1E">
        <w:t>, como é o caso da assessoria técnico-contábil, que a tornaria um serviço singular. A singularidade do serviço será aferida em cada caso concreto;</w:t>
      </w:r>
    </w:p>
    <w:p w:rsidR="00992E94" w:rsidRPr="001E5E1E" w:rsidRDefault="00992E94" w:rsidP="00992E94">
      <w:pPr>
        <w:pStyle w:val="PargrafodaLista"/>
        <w:ind w:left="2268"/>
        <w:jc w:val="both"/>
      </w:pPr>
    </w:p>
    <w:p w:rsidR="00992E94" w:rsidRPr="001E5E1E" w:rsidRDefault="00992E94" w:rsidP="00992E94">
      <w:pPr>
        <w:pStyle w:val="PargrafodaLista"/>
        <w:ind w:left="2268"/>
        <w:jc w:val="both"/>
      </w:pPr>
      <w:r w:rsidRPr="001E5E1E">
        <w:t xml:space="preserve">3. Infringindo o art. 38, inciso X, da Lei n° 8.666/93, Encaminhamento de documentos somente por oportunidade da Defesa não tem o condão de desconstituir a falha, uma vez que retira a possibilidade desta Corte, tempestivamente, analisar o contrato. </w:t>
      </w:r>
    </w:p>
    <w:p w:rsidR="00992E94" w:rsidRPr="001E5E1E" w:rsidRDefault="00992E94" w:rsidP="00992E94">
      <w:pPr>
        <w:pStyle w:val="PargrafodaLista"/>
        <w:ind w:left="2268"/>
        <w:jc w:val="both"/>
      </w:pPr>
    </w:p>
    <w:p w:rsidR="009A2847" w:rsidRPr="001E5E1E" w:rsidRDefault="00992E94" w:rsidP="00992E94">
      <w:pPr>
        <w:pStyle w:val="PargrafodaLista"/>
        <w:ind w:left="2268"/>
        <w:jc w:val="both"/>
        <w:rPr>
          <w:u w:val="single"/>
        </w:rPr>
      </w:pPr>
      <w:r w:rsidRPr="001E5E1E">
        <w:rPr>
          <w:u w:val="single"/>
        </w:rPr>
        <w:t xml:space="preserve">4. Contrariando o art. 74 da CF/88, art. 90 da CE, Decreto Estadual n° 11.434/2004, o Decreto n° 17.526/17, e Instrução Normativa TCE/PI n° 05/17, de 16/10/17. </w:t>
      </w:r>
      <w:proofErr w:type="gramStart"/>
      <w:r w:rsidRPr="001E5E1E">
        <w:rPr>
          <w:u w:val="single"/>
        </w:rPr>
        <w:t>limitações</w:t>
      </w:r>
      <w:proofErr w:type="gramEnd"/>
      <w:r w:rsidRPr="001E5E1E">
        <w:rPr>
          <w:u w:val="single"/>
        </w:rPr>
        <w:t xml:space="preserve"> financeiras ou de pessoal não eximes o gestor do dever constitucional de instalar o controle interno</w:t>
      </w:r>
    </w:p>
    <w:p w:rsidR="00992E94" w:rsidRPr="001E5E1E" w:rsidRDefault="00992E94" w:rsidP="00992E94">
      <w:pPr>
        <w:pStyle w:val="PargrafodaLista"/>
        <w:ind w:left="2268"/>
        <w:jc w:val="both"/>
      </w:pPr>
    </w:p>
    <w:p w:rsidR="009A2847" w:rsidRPr="001E5E1E" w:rsidRDefault="009A2847" w:rsidP="009A2847">
      <w:pPr>
        <w:pStyle w:val="PargrafodaLista"/>
        <w:ind w:left="2268"/>
        <w:jc w:val="both"/>
      </w:pPr>
      <w:r w:rsidRPr="001E5E1E">
        <w:t xml:space="preserve">(Prestação de Contas. Processo </w:t>
      </w:r>
      <w:hyperlink r:id="rId29" w:history="1">
        <w:r w:rsidRPr="001E5E1E">
          <w:rPr>
            <w:rStyle w:val="Hyperlink"/>
          </w:rPr>
          <w:t>TC/</w:t>
        </w:r>
        <w:r w:rsidR="00C71836" w:rsidRPr="001E5E1E">
          <w:rPr>
            <w:rStyle w:val="Hyperlink"/>
          </w:rPr>
          <w:t>00</w:t>
        </w:r>
        <w:r w:rsidR="00992E94" w:rsidRPr="001E5E1E">
          <w:rPr>
            <w:rStyle w:val="Hyperlink"/>
          </w:rPr>
          <w:t>6161</w:t>
        </w:r>
        <w:r w:rsidRPr="001E5E1E">
          <w:rPr>
            <w:rStyle w:val="Hyperlink"/>
          </w:rPr>
          <w:t>/201</w:t>
        </w:r>
        <w:r w:rsidR="00992E94" w:rsidRPr="001E5E1E">
          <w:rPr>
            <w:rStyle w:val="Hyperlink"/>
          </w:rPr>
          <w:t>7</w:t>
        </w:r>
      </w:hyperlink>
      <w:r w:rsidRPr="001E5E1E">
        <w:t xml:space="preserve"> – Relatora: </w:t>
      </w:r>
      <w:proofErr w:type="spellStart"/>
      <w:r w:rsidRPr="001E5E1E">
        <w:t>Cons</w:t>
      </w:r>
      <w:r w:rsidR="00992E94" w:rsidRPr="001E5E1E">
        <w:t>ª</w:t>
      </w:r>
      <w:proofErr w:type="spellEnd"/>
      <w:r w:rsidRPr="001E5E1E">
        <w:t xml:space="preserve">. </w:t>
      </w:r>
      <w:r w:rsidR="00992E94" w:rsidRPr="001E5E1E">
        <w:t>Lilian de Almeida Veloso Nunes Martins</w:t>
      </w:r>
      <w:r w:rsidRPr="001E5E1E">
        <w:t xml:space="preserve">. Segunda Câmara. Decisão Unânime. </w:t>
      </w:r>
      <w:r w:rsidR="00C71836" w:rsidRPr="001E5E1E">
        <w:t>Acórdão</w:t>
      </w:r>
      <w:r w:rsidRPr="001E5E1E">
        <w:t xml:space="preserve"> nº </w:t>
      </w:r>
      <w:r w:rsidR="00992E94" w:rsidRPr="001E5E1E">
        <w:t>1.158/19</w:t>
      </w:r>
      <w:r w:rsidRPr="001E5E1E">
        <w:t xml:space="preserve"> publicado no </w:t>
      </w:r>
      <w:hyperlink r:id="rId30" w:history="1">
        <w:r w:rsidRPr="001E5E1E">
          <w:rPr>
            <w:rStyle w:val="Hyperlink"/>
          </w:rPr>
          <w:t xml:space="preserve">DOE/TCE-PI º </w:t>
        </w:r>
        <w:r w:rsidR="00992E94" w:rsidRPr="001E5E1E">
          <w:rPr>
            <w:rStyle w:val="Hyperlink"/>
          </w:rPr>
          <w:t>144</w:t>
        </w:r>
        <w:r w:rsidRPr="001E5E1E">
          <w:rPr>
            <w:rStyle w:val="Hyperlink"/>
          </w:rPr>
          <w:t>/1</w:t>
        </w:r>
        <w:r w:rsidR="00992E94" w:rsidRPr="001E5E1E">
          <w:rPr>
            <w:rStyle w:val="Hyperlink"/>
          </w:rPr>
          <w:t>9</w:t>
        </w:r>
      </w:hyperlink>
      <w:proofErr w:type="gramStart"/>
      <w:r w:rsidRPr="001E5E1E">
        <w:t>)</w:t>
      </w:r>
      <w:proofErr w:type="gramEnd"/>
    </w:p>
    <w:p w:rsidR="004E57C5" w:rsidRPr="001E5E1E" w:rsidRDefault="004E57C5" w:rsidP="004E57C5">
      <w:pPr>
        <w:pStyle w:val="Ttulo2"/>
        <w:jc w:val="both"/>
      </w:pPr>
    </w:p>
    <w:p w:rsidR="004E57C5" w:rsidRPr="001E5E1E" w:rsidRDefault="004E57C5" w:rsidP="004E57C5">
      <w:pPr>
        <w:pStyle w:val="Ttulo2"/>
        <w:jc w:val="both"/>
      </w:pPr>
      <w:bookmarkStart w:id="17" w:name="_Toc20214924"/>
      <w:r w:rsidRPr="001E5E1E">
        <w:t>Responsabilidade.</w:t>
      </w:r>
      <w:r w:rsidR="003001D4" w:rsidRPr="001E5E1E">
        <w:t xml:space="preserve"> </w:t>
      </w:r>
      <w:r w:rsidR="00E57B84" w:rsidRPr="001E5E1E">
        <w:t>Inobservância do chefe do executivo ao dever de prestar contas</w:t>
      </w:r>
      <w:bookmarkEnd w:id="17"/>
    </w:p>
    <w:p w:rsidR="004E57C5" w:rsidRPr="001E5E1E" w:rsidRDefault="004E57C5" w:rsidP="004E57C5">
      <w:pPr>
        <w:tabs>
          <w:tab w:val="left" w:pos="4500"/>
        </w:tabs>
        <w:ind w:left="2268"/>
        <w:jc w:val="both"/>
      </w:pPr>
      <w:r w:rsidRPr="001E5E1E">
        <w:tab/>
      </w:r>
    </w:p>
    <w:p w:rsidR="00E57B84" w:rsidRPr="001E5E1E" w:rsidRDefault="00E57B84" w:rsidP="004E57C5">
      <w:pPr>
        <w:pStyle w:val="PargrafodaLista"/>
        <w:ind w:left="2268"/>
        <w:jc w:val="both"/>
      </w:pPr>
      <w:r w:rsidRPr="001E5E1E">
        <w:t xml:space="preserve">REPRESENTAÇÃO. INADIMPLÊNCIA COM AS DOCUMENTAÇÕES COMPONENTES DAS PRESTAÇÕES DE CONTAS. AFRONTA AO COMANDO CONSTITUCIONAL QUE IMPÕE O DEVER DE PRESTAR CONTAS. RELACIONAMENTO DOS AUTOS AO PROCESSO DAS CONTAS DE GOVERNO DO CHEFE DO EXECUTIVO MUNICIPAL. </w:t>
      </w:r>
    </w:p>
    <w:p w:rsidR="00515533" w:rsidRPr="001E5E1E" w:rsidRDefault="00E57B84" w:rsidP="004E57C5">
      <w:pPr>
        <w:pStyle w:val="PargrafodaLista"/>
        <w:ind w:left="2268"/>
        <w:jc w:val="both"/>
        <w:rPr>
          <w:u w:val="single"/>
        </w:rPr>
      </w:pPr>
      <w:r w:rsidRPr="001E5E1E">
        <w:t xml:space="preserve">5 - A Representação constitui um tipo Processo de Fiscalização, previsto regimentalmente (art. 239), na qual poderão ser utilizados os Instrumentos de Fiscalização constantes no art. 177, do mesmo Diploma Legal. </w:t>
      </w:r>
      <w:proofErr w:type="gramStart"/>
      <w:r w:rsidRPr="001E5E1E">
        <w:t>Isto posto</w:t>
      </w:r>
      <w:proofErr w:type="gramEnd"/>
      <w:r w:rsidRPr="001E5E1E">
        <w:t xml:space="preserve">, com autorização do art. 185, II, b, poderá o Relator proceder com o apensamento do Processo às respectivas Contas. </w:t>
      </w:r>
      <w:r w:rsidRPr="001E5E1E">
        <w:rPr>
          <w:u w:val="single"/>
        </w:rPr>
        <w:t>Portanto, julga</w:t>
      </w:r>
      <w:r w:rsidRPr="001E5E1E">
        <w:rPr>
          <w:u w:val="single"/>
        </w:rPr>
        <w:t>-</w:t>
      </w:r>
      <w:r w:rsidRPr="001E5E1E">
        <w:rPr>
          <w:u w:val="single"/>
        </w:rPr>
        <w:t>se procedente a presente Representação, aplica-se a multa devido à inobservância quanto ao dever de prestar contas de forma consentânea e, por fim, relaciona-se às contas de governo do chefe do executivo municipal.</w:t>
      </w:r>
    </w:p>
    <w:p w:rsidR="00E57B84" w:rsidRPr="001E5E1E" w:rsidRDefault="00E57B84" w:rsidP="00E57B84">
      <w:pPr>
        <w:ind w:left="2268"/>
        <w:jc w:val="both"/>
      </w:pPr>
      <w:r w:rsidRPr="001E5E1E">
        <w:t>(</w:t>
      </w:r>
      <w:r w:rsidRPr="001E5E1E">
        <w:t>Representação</w:t>
      </w:r>
      <w:r w:rsidRPr="001E5E1E">
        <w:t xml:space="preserve">. Processo </w:t>
      </w:r>
      <w:hyperlink r:id="rId31" w:history="1">
        <w:r w:rsidRPr="001E5E1E">
          <w:rPr>
            <w:rStyle w:val="Hyperlink"/>
          </w:rPr>
          <w:t>TC/</w:t>
        </w:r>
        <w:r w:rsidRPr="001E5E1E">
          <w:rPr>
            <w:rStyle w:val="Hyperlink"/>
            <w:bCs/>
          </w:rPr>
          <w:t>0</w:t>
        </w:r>
        <w:r w:rsidRPr="001E5E1E">
          <w:rPr>
            <w:rStyle w:val="Hyperlink"/>
            <w:bCs/>
          </w:rPr>
          <w:t>08081</w:t>
        </w:r>
        <w:r w:rsidRPr="001E5E1E">
          <w:rPr>
            <w:rStyle w:val="Hyperlink"/>
            <w:bCs/>
          </w:rPr>
          <w:t>/201</w:t>
        </w:r>
        <w:r w:rsidRPr="001E5E1E">
          <w:rPr>
            <w:rStyle w:val="Hyperlink"/>
            <w:bCs/>
          </w:rPr>
          <w:t>9</w:t>
        </w:r>
      </w:hyperlink>
      <w:r w:rsidRPr="001E5E1E">
        <w:t xml:space="preserve"> – Relator: Cons.</w:t>
      </w:r>
      <w:r w:rsidRPr="001E5E1E">
        <w:rPr>
          <w:rFonts w:ascii="Times New Roman" w:hAnsi="Times New Roman" w:cs="Times New Roman"/>
          <w:sz w:val="18"/>
          <w:szCs w:val="18"/>
        </w:rPr>
        <w:t xml:space="preserve"> </w:t>
      </w:r>
      <w:r w:rsidRPr="001E5E1E">
        <w:t>Luciano Nunes Santos</w:t>
      </w:r>
      <w:r w:rsidRPr="001E5E1E">
        <w:t xml:space="preserve">. </w:t>
      </w:r>
      <w:r w:rsidRPr="001E5E1E">
        <w:t>Plenário</w:t>
      </w:r>
      <w:r w:rsidRPr="001E5E1E">
        <w:t>. Decisão Unânime. Acórdão nº 1</w:t>
      </w:r>
      <w:r w:rsidRPr="001E5E1E">
        <w:t>.395</w:t>
      </w:r>
      <w:r w:rsidRPr="001E5E1E">
        <w:t xml:space="preserve">/19 publicado no </w:t>
      </w:r>
      <w:hyperlink r:id="rId32" w:history="1">
        <w:r w:rsidRPr="001E5E1E">
          <w:rPr>
            <w:rStyle w:val="Hyperlink"/>
            <w:color w:val="auto"/>
          </w:rPr>
          <w:t>DOE/TCE-PI º 164/19</w:t>
        </w:r>
      </w:hyperlink>
      <w:proofErr w:type="gramStart"/>
      <w:r w:rsidRPr="001E5E1E">
        <w:t>)</w:t>
      </w:r>
      <w:proofErr w:type="gramEnd"/>
    </w:p>
    <w:p w:rsidR="00024142" w:rsidRPr="001E5E1E" w:rsidRDefault="00024142" w:rsidP="00024142">
      <w:pPr>
        <w:pStyle w:val="Ttulo2"/>
        <w:jc w:val="both"/>
      </w:pPr>
    </w:p>
    <w:p w:rsidR="00716779" w:rsidRPr="001E5E1E" w:rsidRDefault="00024142" w:rsidP="00716779">
      <w:pPr>
        <w:pStyle w:val="Ttulo2"/>
        <w:jc w:val="both"/>
      </w:pPr>
      <w:bookmarkStart w:id="18" w:name="_Toc20214925"/>
      <w:r w:rsidRPr="001E5E1E">
        <w:t xml:space="preserve">Responsabilidade. </w:t>
      </w:r>
      <w:r w:rsidR="00716779" w:rsidRPr="001E5E1E">
        <w:t>Gestor não comprovou o cumprimento das determinações do TCE/PI.</w:t>
      </w:r>
      <w:bookmarkEnd w:id="18"/>
      <w:r w:rsidR="00716779" w:rsidRPr="001E5E1E">
        <w:t xml:space="preserve"> </w:t>
      </w:r>
    </w:p>
    <w:p w:rsidR="00024142" w:rsidRPr="001E5E1E" w:rsidRDefault="00024142" w:rsidP="00716779">
      <w:pPr>
        <w:pStyle w:val="Ttulo2"/>
        <w:jc w:val="both"/>
      </w:pPr>
      <w:r w:rsidRPr="001E5E1E">
        <w:tab/>
      </w:r>
      <w:r w:rsidR="004A78AF" w:rsidRPr="001E5E1E">
        <w:tab/>
      </w:r>
    </w:p>
    <w:p w:rsidR="00E57B84" w:rsidRPr="001E5E1E" w:rsidRDefault="00E57B84" w:rsidP="00024142">
      <w:pPr>
        <w:pStyle w:val="PargrafodaLista"/>
        <w:ind w:left="2268"/>
        <w:jc w:val="both"/>
      </w:pPr>
      <w:r w:rsidRPr="001E5E1E">
        <w:t>DENÚNCIA. DESCUMPRIMENTO A DETERMINAÇÃO DO TRIBUNAL. IRREGULARIDADE EM PROCEDIMENTO LICITATÓRIO. INFRINGÊNCIA AOS PRINCÍPIOS CONSTITUCIONAIS DA ADMINISTRAÇÃO PÚBLICA. PRINCÍPIOS DA MORALIDADE E PUBLICIDADE NÃO FORAM OBSERVADOS E OBEDECIDOS.</w:t>
      </w:r>
    </w:p>
    <w:p w:rsidR="00E57B84" w:rsidRPr="001E5E1E" w:rsidRDefault="00E57B84" w:rsidP="00024142">
      <w:pPr>
        <w:pStyle w:val="PargrafodaLista"/>
        <w:ind w:left="2268"/>
        <w:jc w:val="both"/>
      </w:pPr>
    </w:p>
    <w:p w:rsidR="00024142" w:rsidRPr="001E5E1E" w:rsidRDefault="00E57B84" w:rsidP="00024142">
      <w:pPr>
        <w:pStyle w:val="PargrafodaLista"/>
        <w:ind w:left="2268"/>
        <w:jc w:val="both"/>
      </w:pPr>
      <w:r w:rsidRPr="001E5E1E">
        <w:t xml:space="preserve"> 2 - Não foi publicado o procedimento licitatório correto. O Tribunal determinou uma série de medidas, dentre elas a manutenção da suspensão de contratos, a sustação de emissão de empenhos e pagamentos decorrentes do contrato, comunicação à Câmara Municipal, dentre outras. O gestor, contudo, não apresentou </w:t>
      </w:r>
      <w:r w:rsidRPr="001E5E1E">
        <w:lastRenderedPageBreak/>
        <w:t>qualquer comprovação de cumprimento das determinações contidas no Acórdão. O gestor incorreu em manifesto descumprimento de determinação deste tribunal. A omissão do gestor em atender à determinação deste TCE demonstra pouco zelo com o Tribunal de Contas, merecendo, destarte, reprimenda. Impende destacar que o art. 79, III, da Lei 5.888/2009 prescreve que o Tribunal deverá aplicar multa ao responsável por “não atendimento, no prazo fixado, a diligência ou determinação do Tribunal”. Ademais, o relacionamento dos presentes autos ao processo de prestação de contas da Prefeitura Municipal de Pimenteiras, para que a ocorrência ora tratada repercuta negativamente, exercício de 2017</w:t>
      </w:r>
      <w:r w:rsidRPr="001E5E1E">
        <w:t>.</w:t>
      </w:r>
    </w:p>
    <w:p w:rsidR="00E57B84" w:rsidRPr="001E5E1E" w:rsidRDefault="00E57B84" w:rsidP="00E57B84">
      <w:pPr>
        <w:ind w:left="2268"/>
        <w:jc w:val="both"/>
      </w:pPr>
      <w:r w:rsidRPr="001E5E1E">
        <w:t>(</w:t>
      </w:r>
      <w:r w:rsidR="00716779" w:rsidRPr="001E5E1E">
        <w:t>Denúncia</w:t>
      </w:r>
      <w:r w:rsidRPr="001E5E1E">
        <w:t xml:space="preserve">. Processo </w:t>
      </w:r>
      <w:hyperlink r:id="rId33" w:history="1">
        <w:r w:rsidRPr="001E5E1E">
          <w:rPr>
            <w:rStyle w:val="Hyperlink"/>
          </w:rPr>
          <w:t>TC/</w:t>
        </w:r>
        <w:r w:rsidRPr="001E5E1E">
          <w:rPr>
            <w:rStyle w:val="Hyperlink"/>
            <w:bCs/>
          </w:rPr>
          <w:t>0</w:t>
        </w:r>
        <w:r w:rsidR="00716779" w:rsidRPr="001E5E1E">
          <w:rPr>
            <w:rStyle w:val="Hyperlink"/>
            <w:bCs/>
          </w:rPr>
          <w:t>11851</w:t>
        </w:r>
        <w:r w:rsidRPr="001E5E1E">
          <w:rPr>
            <w:rStyle w:val="Hyperlink"/>
            <w:bCs/>
          </w:rPr>
          <w:t>/201</w:t>
        </w:r>
        <w:r w:rsidR="00716779" w:rsidRPr="001E5E1E">
          <w:rPr>
            <w:rStyle w:val="Hyperlink"/>
            <w:bCs/>
          </w:rPr>
          <w:t>7</w:t>
        </w:r>
      </w:hyperlink>
      <w:r w:rsidRPr="001E5E1E">
        <w:t xml:space="preserve"> – Relator: Cons.</w:t>
      </w:r>
      <w:r w:rsidRPr="001E5E1E">
        <w:rPr>
          <w:rFonts w:ascii="Times New Roman" w:hAnsi="Times New Roman" w:cs="Times New Roman"/>
          <w:sz w:val="18"/>
          <w:szCs w:val="18"/>
        </w:rPr>
        <w:t xml:space="preserve"> </w:t>
      </w:r>
      <w:r w:rsidRPr="001E5E1E">
        <w:t xml:space="preserve">Luciano Nunes Santos. Plenário. Decisão </w:t>
      </w:r>
      <w:r w:rsidR="00716779" w:rsidRPr="001E5E1E">
        <w:t>por maioria</w:t>
      </w:r>
      <w:r w:rsidRPr="001E5E1E">
        <w:t>. Acórdão nº 1.3</w:t>
      </w:r>
      <w:r w:rsidR="00716779" w:rsidRPr="001E5E1E">
        <w:t>15</w:t>
      </w:r>
      <w:r w:rsidRPr="001E5E1E">
        <w:t xml:space="preserve">/19 publicado no </w:t>
      </w:r>
      <w:hyperlink r:id="rId34" w:history="1">
        <w:r w:rsidRPr="001E5E1E">
          <w:rPr>
            <w:rStyle w:val="Hyperlink"/>
            <w:color w:val="auto"/>
          </w:rPr>
          <w:t>DOE/TCE-PI º 164/19</w:t>
        </w:r>
      </w:hyperlink>
      <w:proofErr w:type="gramStart"/>
      <w:r w:rsidRPr="001E5E1E">
        <w:t>)</w:t>
      </w:r>
      <w:proofErr w:type="gramEnd"/>
    </w:p>
    <w:p w:rsidR="00CF2F65" w:rsidRPr="001E5E1E" w:rsidRDefault="00CF2F65" w:rsidP="00CF2F65">
      <w:pPr>
        <w:pStyle w:val="Ttulo2"/>
        <w:jc w:val="both"/>
      </w:pPr>
      <w:bookmarkStart w:id="19" w:name="_Toc20214926"/>
      <w:r w:rsidRPr="001E5E1E">
        <w:t xml:space="preserve">Responsabilidade. </w:t>
      </w:r>
      <w:r w:rsidR="00716779" w:rsidRPr="001E5E1E">
        <w:t>Gestor tem que comprovar a boa e regular aplicação dos recursos públicos.</w:t>
      </w:r>
      <w:bookmarkEnd w:id="19"/>
    </w:p>
    <w:p w:rsidR="00CF2F65" w:rsidRPr="001E5E1E" w:rsidRDefault="00CF2F65" w:rsidP="00CF2F65">
      <w:pPr>
        <w:tabs>
          <w:tab w:val="left" w:pos="4500"/>
        </w:tabs>
        <w:ind w:left="2268"/>
        <w:jc w:val="both"/>
      </w:pPr>
      <w:r w:rsidRPr="001E5E1E">
        <w:tab/>
      </w:r>
    </w:p>
    <w:p w:rsidR="00716779" w:rsidRPr="001E5E1E" w:rsidRDefault="00716779" w:rsidP="00CF2F65">
      <w:pPr>
        <w:pStyle w:val="PargrafodaLista"/>
        <w:ind w:left="2268"/>
        <w:jc w:val="both"/>
      </w:pPr>
      <w:r w:rsidRPr="001E5E1E">
        <w:t xml:space="preserve">INTEMPESTIVIDADE NO ENVIO DAS PRESTAÇÕES DE CONTAS MENSAIS (RESOLUÇÃO TCE Nº 09/2014); AUSÊNCIA DE PEÇAS COMPONENTES DAS PRESTAÇÕES DE CONTAS MENSAIS (RESOLUÇÃO TCE Nº 09/2014); AUSÊNCIA DO ENVIO DE DADOS POR MEIO ELETRÔNICO A ESTA CORTE (RESOLUÇÃO TCE Nº 09/2014); IRREGULARIDADE EM PROCEDIMENTO DE DISPENSA DE LICITAÇÃO (ART. 24, I DA LEI Nº 8.666/93). </w:t>
      </w:r>
    </w:p>
    <w:p w:rsidR="00CF2F65" w:rsidRPr="001E5E1E" w:rsidRDefault="00716779" w:rsidP="00CF2F65">
      <w:pPr>
        <w:pStyle w:val="PargrafodaLista"/>
        <w:ind w:left="2268"/>
        <w:jc w:val="both"/>
      </w:pPr>
      <w:r w:rsidRPr="001E5E1E">
        <w:t>Compete ao gestor comprovar a boa e regular aplicação dos recursos públicos, consoante disposição do art. 70, parágrafo único, da CRFB/1988 e art. 93 do Decreto-lei n.200/67. As falhas apuradas, portanto, sujeitam o gestor às sanções legais decorrentes.</w:t>
      </w:r>
    </w:p>
    <w:p w:rsidR="00716779" w:rsidRPr="001E5E1E" w:rsidRDefault="00716779" w:rsidP="00CF2F65">
      <w:pPr>
        <w:pStyle w:val="PargrafodaLista"/>
        <w:ind w:left="2268"/>
        <w:jc w:val="both"/>
      </w:pPr>
    </w:p>
    <w:p w:rsidR="00CF2F65" w:rsidRDefault="00CF2F65" w:rsidP="00CF2F65">
      <w:pPr>
        <w:pStyle w:val="PargrafodaLista"/>
        <w:ind w:left="2268"/>
        <w:jc w:val="both"/>
      </w:pPr>
      <w:r w:rsidRPr="001E5E1E">
        <w:t>(</w:t>
      </w:r>
      <w:r w:rsidR="00716779" w:rsidRPr="001E5E1E">
        <w:t xml:space="preserve">Prestação de </w:t>
      </w:r>
      <w:proofErr w:type="gramStart"/>
      <w:r w:rsidR="00716779" w:rsidRPr="001E5E1E">
        <w:t xml:space="preserve">Contas </w:t>
      </w:r>
      <w:r w:rsidRPr="001E5E1E">
        <w:t>.</w:t>
      </w:r>
      <w:proofErr w:type="gramEnd"/>
      <w:r w:rsidRPr="001E5E1E">
        <w:t xml:space="preserve"> Processo </w:t>
      </w:r>
      <w:hyperlink r:id="rId35" w:history="1">
        <w:r w:rsidRPr="001E5E1E">
          <w:rPr>
            <w:rStyle w:val="Hyperlink"/>
          </w:rPr>
          <w:t>TC/</w:t>
        </w:r>
        <w:r w:rsidR="0040433C" w:rsidRPr="001E5E1E">
          <w:rPr>
            <w:rStyle w:val="Hyperlink"/>
          </w:rPr>
          <w:t>0</w:t>
        </w:r>
        <w:r w:rsidR="00716779" w:rsidRPr="001E5E1E">
          <w:rPr>
            <w:rStyle w:val="Hyperlink"/>
          </w:rPr>
          <w:t>05382</w:t>
        </w:r>
        <w:r w:rsidRPr="001E5E1E">
          <w:rPr>
            <w:rStyle w:val="Hyperlink"/>
          </w:rPr>
          <w:t>/201</w:t>
        </w:r>
      </w:hyperlink>
      <w:r w:rsidR="00716779" w:rsidRPr="001E5E1E">
        <w:rPr>
          <w:rStyle w:val="Hyperlink"/>
        </w:rPr>
        <w:t>5</w:t>
      </w:r>
      <w:r w:rsidRPr="001E5E1E">
        <w:t xml:space="preserve"> – Relator Cons. Luciano Nunes Santos. P</w:t>
      </w:r>
      <w:r w:rsidR="00716779" w:rsidRPr="001E5E1E">
        <w:t>rimeira Câmara</w:t>
      </w:r>
      <w:r w:rsidRPr="001E5E1E">
        <w:t xml:space="preserve">. Decisão </w:t>
      </w:r>
      <w:r w:rsidR="00716779" w:rsidRPr="001E5E1E">
        <w:t>unânime</w:t>
      </w:r>
      <w:r w:rsidRPr="001E5E1E">
        <w:t>. Acórdão nº 1.</w:t>
      </w:r>
      <w:r w:rsidR="00716779" w:rsidRPr="001E5E1E">
        <w:t>336</w:t>
      </w:r>
      <w:r w:rsidRPr="001E5E1E">
        <w:t>/1</w:t>
      </w:r>
      <w:r w:rsidR="00716779" w:rsidRPr="001E5E1E">
        <w:t>6</w:t>
      </w:r>
      <w:r w:rsidRPr="001E5E1E">
        <w:t xml:space="preserve"> publicado no </w:t>
      </w:r>
      <w:hyperlink r:id="rId36" w:history="1">
        <w:r w:rsidRPr="001E5E1E">
          <w:rPr>
            <w:rStyle w:val="Hyperlink"/>
          </w:rPr>
          <w:t xml:space="preserve">DOE/TCE-PI º </w:t>
        </w:r>
        <w:r w:rsidR="00716779" w:rsidRPr="001E5E1E">
          <w:rPr>
            <w:rStyle w:val="Hyperlink"/>
          </w:rPr>
          <w:t>161</w:t>
        </w:r>
        <w:r w:rsidRPr="001E5E1E">
          <w:rPr>
            <w:rStyle w:val="Hyperlink"/>
          </w:rPr>
          <w:t>/1</w:t>
        </w:r>
        <w:r w:rsidR="00716779" w:rsidRPr="001E5E1E">
          <w:rPr>
            <w:rStyle w:val="Hyperlink"/>
          </w:rPr>
          <w:t>9</w:t>
        </w:r>
      </w:hyperlink>
      <w:r w:rsidRPr="001E5E1E">
        <w:t>)</w:t>
      </w:r>
    </w:p>
    <w:p w:rsidR="009F2038" w:rsidRPr="00A914C7" w:rsidRDefault="009F2038" w:rsidP="00854BE8">
      <w:pPr>
        <w:ind w:left="2268"/>
        <w:jc w:val="both"/>
      </w:pPr>
    </w:p>
    <w:sectPr w:rsidR="009F2038" w:rsidRPr="00A914C7" w:rsidSect="002820DA">
      <w:head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4D6" w:rsidRDefault="004144D6" w:rsidP="002820DA">
      <w:pPr>
        <w:spacing w:after="0" w:line="240" w:lineRule="auto"/>
      </w:pPr>
      <w:r>
        <w:separator/>
      </w:r>
    </w:p>
  </w:endnote>
  <w:endnote w:type="continuationSeparator" w:id="0">
    <w:p w:rsidR="004144D6" w:rsidRDefault="004144D6"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4D6" w:rsidRDefault="004144D6" w:rsidP="002820DA">
      <w:pPr>
        <w:spacing w:after="0" w:line="240" w:lineRule="auto"/>
      </w:pPr>
      <w:r>
        <w:separator/>
      </w:r>
    </w:p>
  </w:footnote>
  <w:footnote w:type="continuationSeparator" w:id="0">
    <w:p w:rsidR="004144D6" w:rsidRDefault="004144D6"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4144D6" w:rsidTr="00B97A73">
      <w:trPr>
        <w:trHeight w:val="908"/>
        <w:jc w:val="center"/>
      </w:trPr>
      <w:tc>
        <w:tcPr>
          <w:tcW w:w="1560" w:type="dxa"/>
        </w:tcPr>
        <w:p w:rsidR="004144D6" w:rsidRDefault="004144D6"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4144D6" w:rsidRDefault="004144D6" w:rsidP="00B97A73">
          <w:pPr>
            <w:rPr>
              <w:rFonts w:ascii="Arial" w:hAnsi="Arial"/>
              <w:sz w:val="48"/>
            </w:rPr>
          </w:pPr>
          <w:r>
            <w:rPr>
              <w:rFonts w:ascii="Arial" w:hAnsi="Arial"/>
              <w:sz w:val="48"/>
            </w:rPr>
            <w:t>Estado do Piauí</w:t>
          </w:r>
        </w:p>
        <w:p w:rsidR="004144D6" w:rsidRDefault="004144D6" w:rsidP="00B97A73">
          <w:r>
            <w:rPr>
              <w:rFonts w:ascii="Arial" w:hAnsi="Arial"/>
              <w:sz w:val="48"/>
            </w:rPr>
            <w:t>Tribunal de Contas</w:t>
          </w:r>
        </w:p>
      </w:tc>
      <w:tc>
        <w:tcPr>
          <w:tcW w:w="1559" w:type="dxa"/>
          <w:vAlign w:val="center"/>
        </w:tcPr>
        <w:p w:rsidR="004144D6" w:rsidRDefault="004144D6"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4144D6" w:rsidRDefault="00414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7"/>
  </w:num>
  <w:num w:numId="3">
    <w:abstractNumId w:val="18"/>
  </w:num>
  <w:num w:numId="4">
    <w:abstractNumId w:val="10"/>
  </w:num>
  <w:num w:numId="5">
    <w:abstractNumId w:val="9"/>
  </w:num>
  <w:num w:numId="6">
    <w:abstractNumId w:val="5"/>
  </w:num>
  <w:num w:numId="7">
    <w:abstractNumId w:val="12"/>
  </w:num>
  <w:num w:numId="8">
    <w:abstractNumId w:val="1"/>
  </w:num>
  <w:num w:numId="9">
    <w:abstractNumId w:val="8"/>
  </w:num>
  <w:num w:numId="10">
    <w:abstractNumId w:val="23"/>
  </w:num>
  <w:num w:numId="11">
    <w:abstractNumId w:val="21"/>
  </w:num>
  <w:num w:numId="12">
    <w:abstractNumId w:val="19"/>
  </w:num>
  <w:num w:numId="13">
    <w:abstractNumId w:val="15"/>
  </w:num>
  <w:num w:numId="14">
    <w:abstractNumId w:val="20"/>
  </w:num>
  <w:num w:numId="15">
    <w:abstractNumId w:val="13"/>
  </w:num>
  <w:num w:numId="16">
    <w:abstractNumId w:val="6"/>
  </w:num>
  <w:num w:numId="17">
    <w:abstractNumId w:val="29"/>
  </w:num>
  <w:num w:numId="18">
    <w:abstractNumId w:val="14"/>
  </w:num>
  <w:num w:numId="19">
    <w:abstractNumId w:val="11"/>
  </w:num>
  <w:num w:numId="20">
    <w:abstractNumId w:val="24"/>
  </w:num>
  <w:num w:numId="21">
    <w:abstractNumId w:val="3"/>
  </w:num>
  <w:num w:numId="22">
    <w:abstractNumId w:val="17"/>
  </w:num>
  <w:num w:numId="23">
    <w:abstractNumId w:val="16"/>
  </w:num>
  <w:num w:numId="24">
    <w:abstractNumId w:val="28"/>
  </w:num>
  <w:num w:numId="25">
    <w:abstractNumId w:val="26"/>
  </w:num>
  <w:num w:numId="26">
    <w:abstractNumId w:val="2"/>
  </w:num>
  <w:num w:numId="27">
    <w:abstractNumId w:val="25"/>
  </w:num>
  <w:num w:numId="28">
    <w:abstractNumId w:val="4"/>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6775"/>
    <w:rsid w:val="0007785F"/>
    <w:rsid w:val="00080353"/>
    <w:rsid w:val="0008778A"/>
    <w:rsid w:val="000942DD"/>
    <w:rsid w:val="00094E6D"/>
    <w:rsid w:val="000979EE"/>
    <w:rsid w:val="00097C4D"/>
    <w:rsid w:val="000A1BB6"/>
    <w:rsid w:val="000A5BED"/>
    <w:rsid w:val="000A663B"/>
    <w:rsid w:val="000A6F36"/>
    <w:rsid w:val="000A7909"/>
    <w:rsid w:val="000B369B"/>
    <w:rsid w:val="000B36F9"/>
    <w:rsid w:val="000B4599"/>
    <w:rsid w:val="000C539D"/>
    <w:rsid w:val="000D0D20"/>
    <w:rsid w:val="000D2EA4"/>
    <w:rsid w:val="000D667D"/>
    <w:rsid w:val="000E12AE"/>
    <w:rsid w:val="000E55AC"/>
    <w:rsid w:val="000E6166"/>
    <w:rsid w:val="000E7AEF"/>
    <w:rsid w:val="000F27DB"/>
    <w:rsid w:val="001059D3"/>
    <w:rsid w:val="001126AE"/>
    <w:rsid w:val="00112ADF"/>
    <w:rsid w:val="0011418C"/>
    <w:rsid w:val="00120B62"/>
    <w:rsid w:val="00130956"/>
    <w:rsid w:val="0013406D"/>
    <w:rsid w:val="00136668"/>
    <w:rsid w:val="0013746C"/>
    <w:rsid w:val="00137B51"/>
    <w:rsid w:val="00137FF9"/>
    <w:rsid w:val="00142989"/>
    <w:rsid w:val="00145768"/>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5E1E"/>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8070B"/>
    <w:rsid w:val="002820DA"/>
    <w:rsid w:val="0028376F"/>
    <w:rsid w:val="00286C02"/>
    <w:rsid w:val="00293C66"/>
    <w:rsid w:val="00293EE7"/>
    <w:rsid w:val="002953A3"/>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41A3"/>
    <w:rsid w:val="00397B61"/>
    <w:rsid w:val="003A59D9"/>
    <w:rsid w:val="003B1AB5"/>
    <w:rsid w:val="003B2A4B"/>
    <w:rsid w:val="003B46E4"/>
    <w:rsid w:val="003B5863"/>
    <w:rsid w:val="003C4435"/>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44D6"/>
    <w:rsid w:val="004161E1"/>
    <w:rsid w:val="00422D7C"/>
    <w:rsid w:val="004251CB"/>
    <w:rsid w:val="00427798"/>
    <w:rsid w:val="0043427E"/>
    <w:rsid w:val="0043606E"/>
    <w:rsid w:val="004401B6"/>
    <w:rsid w:val="004414FB"/>
    <w:rsid w:val="00444661"/>
    <w:rsid w:val="00450F95"/>
    <w:rsid w:val="00455BDA"/>
    <w:rsid w:val="00471A8A"/>
    <w:rsid w:val="00474577"/>
    <w:rsid w:val="00475C01"/>
    <w:rsid w:val="00475E4B"/>
    <w:rsid w:val="0047687F"/>
    <w:rsid w:val="00487735"/>
    <w:rsid w:val="0049051D"/>
    <w:rsid w:val="004A296A"/>
    <w:rsid w:val="004A537E"/>
    <w:rsid w:val="004A78AF"/>
    <w:rsid w:val="004B0EE1"/>
    <w:rsid w:val="004B1FBA"/>
    <w:rsid w:val="004B5422"/>
    <w:rsid w:val="004B6731"/>
    <w:rsid w:val="004C0AD8"/>
    <w:rsid w:val="004C1D9E"/>
    <w:rsid w:val="004C4B65"/>
    <w:rsid w:val="004D1E4B"/>
    <w:rsid w:val="004D3F4A"/>
    <w:rsid w:val="004D5B0F"/>
    <w:rsid w:val="004D63D3"/>
    <w:rsid w:val="004D7E67"/>
    <w:rsid w:val="004E399C"/>
    <w:rsid w:val="004E3A87"/>
    <w:rsid w:val="004E57C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16779"/>
    <w:rsid w:val="00723A08"/>
    <w:rsid w:val="007253BF"/>
    <w:rsid w:val="00726343"/>
    <w:rsid w:val="00730FD0"/>
    <w:rsid w:val="0073650F"/>
    <w:rsid w:val="0074402D"/>
    <w:rsid w:val="00756D3A"/>
    <w:rsid w:val="007865AD"/>
    <w:rsid w:val="007906CB"/>
    <w:rsid w:val="0079346F"/>
    <w:rsid w:val="00794393"/>
    <w:rsid w:val="007A05F2"/>
    <w:rsid w:val="007A570E"/>
    <w:rsid w:val="007A61BF"/>
    <w:rsid w:val="007B0B9E"/>
    <w:rsid w:val="007B0F32"/>
    <w:rsid w:val="007B245F"/>
    <w:rsid w:val="007B48AA"/>
    <w:rsid w:val="007B6713"/>
    <w:rsid w:val="007C3C68"/>
    <w:rsid w:val="007C4C26"/>
    <w:rsid w:val="007D20AB"/>
    <w:rsid w:val="007D4E84"/>
    <w:rsid w:val="007E1758"/>
    <w:rsid w:val="007E2FC6"/>
    <w:rsid w:val="007E331E"/>
    <w:rsid w:val="007F0B28"/>
    <w:rsid w:val="007F0DA0"/>
    <w:rsid w:val="008070E9"/>
    <w:rsid w:val="00810BC9"/>
    <w:rsid w:val="00811E4F"/>
    <w:rsid w:val="0081374B"/>
    <w:rsid w:val="008157AE"/>
    <w:rsid w:val="00815DFB"/>
    <w:rsid w:val="008168E3"/>
    <w:rsid w:val="00817E56"/>
    <w:rsid w:val="0083112F"/>
    <w:rsid w:val="00833531"/>
    <w:rsid w:val="00833E9C"/>
    <w:rsid w:val="00843D16"/>
    <w:rsid w:val="00845B4F"/>
    <w:rsid w:val="00846356"/>
    <w:rsid w:val="00847444"/>
    <w:rsid w:val="00847EC1"/>
    <w:rsid w:val="0085007A"/>
    <w:rsid w:val="008527CF"/>
    <w:rsid w:val="00854BE8"/>
    <w:rsid w:val="00865A98"/>
    <w:rsid w:val="008703E0"/>
    <w:rsid w:val="008815F4"/>
    <w:rsid w:val="008836C1"/>
    <w:rsid w:val="00884539"/>
    <w:rsid w:val="00890B6A"/>
    <w:rsid w:val="008946C7"/>
    <w:rsid w:val="008A3EC2"/>
    <w:rsid w:val="008A5DE5"/>
    <w:rsid w:val="008B0197"/>
    <w:rsid w:val="008B5427"/>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61DCB"/>
    <w:rsid w:val="00963342"/>
    <w:rsid w:val="00970E3F"/>
    <w:rsid w:val="00975E4A"/>
    <w:rsid w:val="00976252"/>
    <w:rsid w:val="00984809"/>
    <w:rsid w:val="00987B9D"/>
    <w:rsid w:val="00991BC6"/>
    <w:rsid w:val="00992E94"/>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122E"/>
    <w:rsid w:val="00A265A6"/>
    <w:rsid w:val="00A278A0"/>
    <w:rsid w:val="00A30082"/>
    <w:rsid w:val="00A3072E"/>
    <w:rsid w:val="00A31D38"/>
    <w:rsid w:val="00A33AA4"/>
    <w:rsid w:val="00A3780F"/>
    <w:rsid w:val="00A412CD"/>
    <w:rsid w:val="00A41BA0"/>
    <w:rsid w:val="00A474B8"/>
    <w:rsid w:val="00A50921"/>
    <w:rsid w:val="00A523A9"/>
    <w:rsid w:val="00A643BA"/>
    <w:rsid w:val="00A67185"/>
    <w:rsid w:val="00A7650F"/>
    <w:rsid w:val="00A864FE"/>
    <w:rsid w:val="00A914C7"/>
    <w:rsid w:val="00AA3821"/>
    <w:rsid w:val="00AA4615"/>
    <w:rsid w:val="00AB318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41F13"/>
    <w:rsid w:val="00B42FF2"/>
    <w:rsid w:val="00B43DA2"/>
    <w:rsid w:val="00B4429A"/>
    <w:rsid w:val="00B57222"/>
    <w:rsid w:val="00B578B6"/>
    <w:rsid w:val="00B613E9"/>
    <w:rsid w:val="00B675FB"/>
    <w:rsid w:val="00B830F8"/>
    <w:rsid w:val="00B851C8"/>
    <w:rsid w:val="00B86D83"/>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75F2"/>
    <w:rsid w:val="00C378FD"/>
    <w:rsid w:val="00C4031B"/>
    <w:rsid w:val="00C40F58"/>
    <w:rsid w:val="00C41DFD"/>
    <w:rsid w:val="00C42000"/>
    <w:rsid w:val="00C43545"/>
    <w:rsid w:val="00C502A6"/>
    <w:rsid w:val="00C52F07"/>
    <w:rsid w:val="00C544E0"/>
    <w:rsid w:val="00C619A4"/>
    <w:rsid w:val="00C62523"/>
    <w:rsid w:val="00C653C9"/>
    <w:rsid w:val="00C71836"/>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47FD"/>
    <w:rsid w:val="00D94E5E"/>
    <w:rsid w:val="00D97288"/>
    <w:rsid w:val="00DA2C80"/>
    <w:rsid w:val="00DA3643"/>
    <w:rsid w:val="00DB6663"/>
    <w:rsid w:val="00DC3925"/>
    <w:rsid w:val="00DD1CDE"/>
    <w:rsid w:val="00DD241A"/>
    <w:rsid w:val="00DD2E5E"/>
    <w:rsid w:val="00DE07AF"/>
    <w:rsid w:val="00DE15A3"/>
    <w:rsid w:val="00DE2870"/>
    <w:rsid w:val="00DE3047"/>
    <w:rsid w:val="00DE6C44"/>
    <w:rsid w:val="00DF0767"/>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B84"/>
    <w:rsid w:val="00E57C6A"/>
    <w:rsid w:val="00E6542E"/>
    <w:rsid w:val="00E65759"/>
    <w:rsid w:val="00E7304F"/>
    <w:rsid w:val="00E760E0"/>
    <w:rsid w:val="00E767F4"/>
    <w:rsid w:val="00E81C3B"/>
    <w:rsid w:val="00E81D41"/>
    <w:rsid w:val="00E831B4"/>
    <w:rsid w:val="00E8436B"/>
    <w:rsid w:val="00E8659B"/>
    <w:rsid w:val="00E873BF"/>
    <w:rsid w:val="00E94F81"/>
    <w:rsid w:val="00E95200"/>
    <w:rsid w:val="00E95772"/>
    <w:rsid w:val="00EA2C61"/>
    <w:rsid w:val="00EA2E20"/>
    <w:rsid w:val="00EA5CB4"/>
    <w:rsid w:val="00EA7DC0"/>
    <w:rsid w:val="00EB4227"/>
    <w:rsid w:val="00EB50E5"/>
    <w:rsid w:val="00EC085B"/>
    <w:rsid w:val="00EC13AF"/>
    <w:rsid w:val="00EC4491"/>
    <w:rsid w:val="00EC6AEE"/>
    <w:rsid w:val="00EC6BC4"/>
    <w:rsid w:val="00ED1D40"/>
    <w:rsid w:val="00ED32F7"/>
    <w:rsid w:val="00ED3FA9"/>
    <w:rsid w:val="00ED6196"/>
    <w:rsid w:val="00ED69DD"/>
    <w:rsid w:val="00EE15E8"/>
    <w:rsid w:val="00EE22D5"/>
    <w:rsid w:val="00EE33FD"/>
    <w:rsid w:val="00EE6FFA"/>
    <w:rsid w:val="00EF072E"/>
    <w:rsid w:val="00EF1B64"/>
    <w:rsid w:val="00EF1E04"/>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183D"/>
    <w:rsid w:val="00F63422"/>
    <w:rsid w:val="00F638D2"/>
    <w:rsid w:val="00F7028D"/>
    <w:rsid w:val="00F807FE"/>
    <w:rsid w:val="00F87453"/>
    <w:rsid w:val="00F95F71"/>
    <w:rsid w:val="00FA463A"/>
    <w:rsid w:val="00FA4B14"/>
    <w:rsid w:val="00FB0A9F"/>
    <w:rsid w:val="00FB1B09"/>
    <w:rsid w:val="00FB49CB"/>
    <w:rsid w:val="00FC0380"/>
    <w:rsid w:val="00FC0BC5"/>
    <w:rsid w:val="00FC5B61"/>
    <w:rsid w:val="00FD075E"/>
    <w:rsid w:val="00FD0A48"/>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16082%2F2018" TargetMode="External"/><Relationship Id="rId18" Type="http://schemas.openxmlformats.org/officeDocument/2006/relationships/hyperlink" Target="http://www.tce.pi.gov.br/download.php?type=publicacao&amp;id=12689" TargetMode="External"/><Relationship Id="rId26" Type="http://schemas.openxmlformats.org/officeDocument/2006/relationships/hyperlink" Target="http://www.tce.pi.gov.br/download.php?type=publicacao&amp;id=12689"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ce.pi.gov.br/fiscalizado/pesquisa-de-processos/?n_tipo=1&amp;n_processo=005169%2F2015" TargetMode="External"/><Relationship Id="rId34" Type="http://schemas.openxmlformats.org/officeDocument/2006/relationships/hyperlink" Target="http://www.tce.pi.gov.br/download.php?type=publicacao&amp;id=12698"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12684" TargetMode="External"/><Relationship Id="rId17" Type="http://schemas.openxmlformats.org/officeDocument/2006/relationships/hyperlink" Target="http://www.tce.pi.gov.br/fiscalizado/pesquisa-de-processos/?n_tipo=1&amp;n_processo=003296%2F2016" TargetMode="External"/><Relationship Id="rId25" Type="http://schemas.openxmlformats.org/officeDocument/2006/relationships/hyperlink" Target="https://www.tce.pi.gov.br/fiscalizado/pesquisa-de-processos/?n_tipo=1&amp;n_processo=012104%2F2018" TargetMode="External"/><Relationship Id="rId33" Type="http://schemas.openxmlformats.org/officeDocument/2006/relationships/hyperlink" Target="https://www.tce.pi.gov.br/fiscalizado/pesquisa-de-processos/?n_tipo=1&amp;n_processo=011851%2F201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ce.pi.gov.br/download.php?type=publicacao&amp;id=12694" TargetMode="External"/><Relationship Id="rId20" Type="http://schemas.openxmlformats.org/officeDocument/2006/relationships/hyperlink" Target="http://www.tce.pi.gov.br/download.php?type=publicacao&amp;id=12694" TargetMode="External"/><Relationship Id="rId29" Type="http://schemas.openxmlformats.org/officeDocument/2006/relationships/hyperlink" Target="https://www.tce.pi.gov.br/fiscalizado/pesquisa-de-processos/?n_tipo=1&amp;n_processo=006161%2F20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18499%2F2018" TargetMode="External"/><Relationship Id="rId24" Type="http://schemas.openxmlformats.org/officeDocument/2006/relationships/hyperlink" Target="http://www.tce.pi.gov.br/download.php?type=publicacao&amp;id=12684" TargetMode="External"/><Relationship Id="rId32" Type="http://schemas.openxmlformats.org/officeDocument/2006/relationships/hyperlink" Target="http://www.tce.pi.gov.br/download.php?type=publicacao&amp;id=12698" TargetMode="External"/><Relationship Id="rId37"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5132%2F2019" TargetMode="External"/><Relationship Id="rId23" Type="http://schemas.openxmlformats.org/officeDocument/2006/relationships/hyperlink" Target="https://www.tce.pi.gov.br/fiscalizado/pesquisa-de-processos/?n_tipo=1&amp;n_processo=018499%2F2018" TargetMode="External"/><Relationship Id="rId28" Type="http://schemas.openxmlformats.org/officeDocument/2006/relationships/hyperlink" Target="http://www.tce.pi.gov.br/download.php?type=publicacao&amp;id=12690" TargetMode="External"/><Relationship Id="rId36" Type="http://schemas.openxmlformats.org/officeDocument/2006/relationships/hyperlink" Target="http://www.tce.pi.gov.br/download.php?type=publicacao&amp;id=12695" TargetMode="Externa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05315%2F2015" TargetMode="External"/><Relationship Id="rId31" Type="http://schemas.openxmlformats.org/officeDocument/2006/relationships/hyperlink" Target="https://www.tce.pi.gov.br/fiscalizado/pesquisa-de-processos/?n_tipo=1&amp;n_processo=008081%2F201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12698" TargetMode="External"/><Relationship Id="rId22" Type="http://schemas.openxmlformats.org/officeDocument/2006/relationships/hyperlink" Target="http://www.tce.pi.gov.br/download.php?type=publicacao&amp;id=12689" TargetMode="External"/><Relationship Id="rId27" Type="http://schemas.openxmlformats.org/officeDocument/2006/relationships/hyperlink" Target="https://www.tce.pi.gov.br/fiscalizado/pesquisa-de-processos/?n_tipo=1&amp;n_processo=008483%2F2019" TargetMode="External"/><Relationship Id="rId30" Type="http://schemas.openxmlformats.org/officeDocument/2006/relationships/hyperlink" Target="http://www.tce.pi.gov.br/download.php?type=publicacao&amp;id=12678" TargetMode="External"/><Relationship Id="rId35" Type="http://schemas.openxmlformats.org/officeDocument/2006/relationships/hyperlink" Target="https://www.tce.pi.gov.br/fiscalizado/pesquisa-de-processos/?n_tipo=1&amp;n_processo=005382%2F201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agosto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C470C1-25A4-48E5-BFE5-D962C381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6621</TotalTime>
  <Pages>10</Pages>
  <Words>2903</Words>
  <Characters>15677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AGOSTO- 2019</dc:creator>
  <cp:lastModifiedBy>Iana Cavalcanti Reis</cp:lastModifiedBy>
  <cp:revision>60</cp:revision>
  <cp:lastPrinted>2018-01-18T17:26:00Z</cp:lastPrinted>
  <dcterms:created xsi:type="dcterms:W3CDTF">2019-01-08T10:22:00Z</dcterms:created>
  <dcterms:modified xsi:type="dcterms:W3CDTF">2019-09-24T13:54:00Z</dcterms:modified>
</cp:coreProperties>
</file>