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EC13AF" w:rsidRDefault="00EC13AF">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EC13AF" w:rsidRDefault="00EC13AF">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EC13AF" w:rsidRDefault="00EC13AF">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EC13AF" w:rsidRDefault="00EC13AF">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EC13AF" w:rsidRDefault="00EC13AF"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EC13AF" w:rsidRDefault="00EC13AF">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EC13AF" w:rsidRDefault="00EC13AF">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EC13AF" w:rsidRDefault="00EC13AF"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EC13AF" w:rsidRDefault="00862EC3">
                                    <w:pPr>
                                      <w:suppressOverlap/>
                                      <w:rPr>
                                        <w:rFonts w:asciiTheme="majorHAnsi" w:eastAsiaTheme="majorEastAsia" w:hAnsiTheme="majorHAnsi" w:cstheme="majorBidi"/>
                                        <w:color w:val="1F497D" w:themeColor="text2"/>
                                        <w:sz w:val="40"/>
                                        <w:szCs w:val="40"/>
                                      </w:rPr>
                                    </w:pPr>
                                    <w:r w:rsidRPr="00D30EEF">
                                      <w:rPr>
                                        <w:rFonts w:asciiTheme="majorHAnsi" w:eastAsiaTheme="majorEastAsia" w:hAnsiTheme="majorHAnsi" w:cstheme="majorBidi"/>
                                        <w:color w:val="1F497D" w:themeColor="text2"/>
                                        <w:sz w:val="40"/>
                                        <w:szCs w:val="40"/>
                                      </w:rPr>
                                      <w:t xml:space="preserve">EDIÇÃO OFICIAL – </w:t>
                                    </w:r>
                                    <w:r>
                                      <w:rPr>
                                        <w:rFonts w:asciiTheme="majorHAnsi" w:eastAsiaTheme="majorEastAsia" w:hAnsiTheme="majorHAnsi" w:cstheme="majorBidi"/>
                                        <w:color w:val="1F497D" w:themeColor="text2"/>
                                        <w:sz w:val="40"/>
                                        <w:szCs w:val="40"/>
                                      </w:rPr>
                                      <w:t>OUTUBRO</w:t>
                                    </w:r>
                                    <w:r w:rsidRPr="00D30EEF">
                                      <w:rPr>
                                        <w:rFonts w:asciiTheme="majorHAnsi" w:eastAsiaTheme="majorEastAsia" w:hAnsiTheme="majorHAnsi" w:cstheme="majorBidi"/>
                                        <w:color w:val="1F497D" w:themeColor="text2"/>
                                        <w:sz w:val="40"/>
                                        <w:szCs w:val="40"/>
                                      </w:rPr>
                                      <w:t>- 2019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EC13AF" w:rsidRDefault="00EC13AF"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sidR="000E4E0F">
                                      <w:rPr>
                                        <w:color w:val="1F497D" w:themeColor="text2"/>
                                      </w:rPr>
                                      <w:t>outubro</w:t>
                                    </w:r>
                                    <w:r>
                                      <w:rPr>
                                        <w:color w:val="1F497D" w:themeColor="text2"/>
                                      </w:rPr>
                                      <w:t xml:space="preserve"> </w:t>
                                    </w:r>
                                    <w:r w:rsidRPr="004F3E19">
                                      <w:rPr>
                                        <w:color w:val="1F497D" w:themeColor="text2"/>
                                      </w:rPr>
                                      <w:t>de 201</w:t>
                                    </w:r>
                                    <w:r w:rsidR="000E4E0F">
                                      <w:rPr>
                                        <w:color w:val="1F497D" w:themeColor="text2"/>
                                      </w:rPr>
                                      <w:t>9</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EC13AF" w:rsidRDefault="00EC13AF"/>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EC13AF" w:rsidRDefault="00862EC3">
                              <w:pPr>
                                <w:suppressOverlap/>
                                <w:rPr>
                                  <w:rFonts w:asciiTheme="majorHAnsi" w:eastAsiaTheme="majorEastAsia" w:hAnsiTheme="majorHAnsi" w:cstheme="majorBidi"/>
                                  <w:color w:val="1F497D" w:themeColor="text2"/>
                                  <w:sz w:val="40"/>
                                  <w:szCs w:val="40"/>
                                </w:rPr>
                              </w:pPr>
                              <w:r w:rsidRPr="00D30EEF">
                                <w:rPr>
                                  <w:rFonts w:asciiTheme="majorHAnsi" w:eastAsiaTheme="majorEastAsia" w:hAnsiTheme="majorHAnsi" w:cstheme="majorBidi"/>
                                  <w:color w:val="1F497D" w:themeColor="text2"/>
                                  <w:sz w:val="40"/>
                                  <w:szCs w:val="40"/>
                                </w:rPr>
                                <w:t xml:space="preserve">EDIÇÃO OFICIAL – </w:t>
                              </w:r>
                              <w:r>
                                <w:rPr>
                                  <w:rFonts w:asciiTheme="majorHAnsi" w:eastAsiaTheme="majorEastAsia" w:hAnsiTheme="majorHAnsi" w:cstheme="majorBidi"/>
                                  <w:color w:val="1F497D" w:themeColor="text2"/>
                                  <w:sz w:val="40"/>
                                  <w:szCs w:val="40"/>
                                </w:rPr>
                                <w:t>OUTUBRO</w:t>
                              </w:r>
                              <w:r w:rsidRPr="00D30EEF">
                                <w:rPr>
                                  <w:rFonts w:asciiTheme="majorHAnsi" w:eastAsiaTheme="majorEastAsia" w:hAnsiTheme="majorHAnsi" w:cstheme="majorBidi"/>
                                  <w:color w:val="1F497D" w:themeColor="text2"/>
                                  <w:sz w:val="40"/>
                                  <w:szCs w:val="40"/>
                                </w:rPr>
                                <w:t>- 2019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EC13AF" w:rsidRDefault="00EC13AF"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sidR="000E4E0F">
                                <w:rPr>
                                  <w:color w:val="1F497D" w:themeColor="text2"/>
                                </w:rPr>
                                <w:t>outubro</w:t>
                              </w:r>
                              <w:r>
                                <w:rPr>
                                  <w:color w:val="1F497D" w:themeColor="text2"/>
                                </w:rPr>
                                <w:t xml:space="preserve"> </w:t>
                              </w:r>
                              <w:r w:rsidRPr="004F3E19">
                                <w:rPr>
                                  <w:color w:val="1F497D" w:themeColor="text2"/>
                                </w:rPr>
                                <w:t>de 201</w:t>
                              </w:r>
                              <w:r w:rsidR="000E4E0F">
                                <w:rPr>
                                  <w:color w:val="1F497D" w:themeColor="text2"/>
                                </w:rPr>
                                <w:t>9</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EC13AF" w:rsidRDefault="00EC13AF"/>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914C7">
            <w:rPr>
              <w:b/>
              <w:bCs/>
            </w:rP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EndPr/>
      <w:sdtContent>
        <w:p w:rsidR="00333CF2" w:rsidRPr="00A914C7" w:rsidRDefault="00333CF2" w:rsidP="00723A08">
          <w:pPr>
            <w:pStyle w:val="CabealhodoSumrio"/>
            <w:tabs>
              <w:tab w:val="left" w:pos="5638"/>
            </w:tabs>
            <w:jc w:val="both"/>
          </w:pPr>
          <w:r w:rsidRPr="00A914C7">
            <w:t>Sumário</w:t>
          </w:r>
          <w:r w:rsidR="00723A08" w:rsidRPr="00A914C7">
            <w:tab/>
          </w:r>
        </w:p>
        <w:p w:rsidR="00862EC3"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25581610" w:history="1">
            <w:r w:rsidR="00862EC3" w:rsidRPr="00F17E6C">
              <w:rPr>
                <w:rStyle w:val="Hyperlink"/>
                <w:noProof/>
              </w:rPr>
              <w:t>LICITAÇÃO</w:t>
            </w:r>
            <w:r w:rsidR="00862EC3">
              <w:rPr>
                <w:noProof/>
                <w:webHidden/>
              </w:rPr>
              <w:tab/>
            </w:r>
            <w:r w:rsidR="00862EC3">
              <w:rPr>
                <w:noProof/>
                <w:webHidden/>
              </w:rPr>
              <w:fldChar w:fldCharType="begin"/>
            </w:r>
            <w:r w:rsidR="00862EC3">
              <w:rPr>
                <w:noProof/>
                <w:webHidden/>
              </w:rPr>
              <w:instrText xml:space="preserve"> PAGEREF _Toc25581610 \h </w:instrText>
            </w:r>
            <w:r w:rsidR="00862EC3">
              <w:rPr>
                <w:noProof/>
                <w:webHidden/>
              </w:rPr>
            </w:r>
            <w:r w:rsidR="00862EC3">
              <w:rPr>
                <w:noProof/>
                <w:webHidden/>
              </w:rPr>
              <w:fldChar w:fldCharType="separate"/>
            </w:r>
            <w:r w:rsidR="00862EC3">
              <w:rPr>
                <w:noProof/>
                <w:webHidden/>
              </w:rPr>
              <w:t>2</w:t>
            </w:r>
            <w:r w:rsidR="00862EC3">
              <w:rPr>
                <w:noProof/>
                <w:webHidden/>
              </w:rPr>
              <w:fldChar w:fldCharType="end"/>
            </w:r>
          </w:hyperlink>
        </w:p>
        <w:p w:rsidR="00862EC3" w:rsidRDefault="00862EC3">
          <w:pPr>
            <w:pStyle w:val="Sumrio2"/>
            <w:tabs>
              <w:tab w:val="right" w:leader="dot" w:pos="8494"/>
            </w:tabs>
            <w:rPr>
              <w:noProof/>
            </w:rPr>
          </w:pPr>
          <w:hyperlink w:anchor="_Toc25581611" w:history="1">
            <w:r w:rsidRPr="00F17E6C">
              <w:rPr>
                <w:rStyle w:val="Hyperlink"/>
                <w:noProof/>
              </w:rPr>
              <w:t>Licitação. Inexigibilidade de Licitação. Contratação de Profissionais do Setor Artístico.</w:t>
            </w:r>
            <w:r>
              <w:rPr>
                <w:noProof/>
                <w:webHidden/>
              </w:rPr>
              <w:tab/>
            </w:r>
            <w:r>
              <w:rPr>
                <w:noProof/>
                <w:webHidden/>
              </w:rPr>
              <w:fldChar w:fldCharType="begin"/>
            </w:r>
            <w:r>
              <w:rPr>
                <w:noProof/>
                <w:webHidden/>
              </w:rPr>
              <w:instrText xml:space="preserve"> PAGEREF _Toc25581611 \h </w:instrText>
            </w:r>
            <w:r>
              <w:rPr>
                <w:noProof/>
                <w:webHidden/>
              </w:rPr>
            </w:r>
            <w:r>
              <w:rPr>
                <w:noProof/>
                <w:webHidden/>
              </w:rPr>
              <w:fldChar w:fldCharType="separate"/>
            </w:r>
            <w:r>
              <w:rPr>
                <w:noProof/>
                <w:webHidden/>
              </w:rPr>
              <w:t>2</w:t>
            </w:r>
            <w:r>
              <w:rPr>
                <w:noProof/>
                <w:webHidden/>
              </w:rPr>
              <w:fldChar w:fldCharType="end"/>
            </w:r>
          </w:hyperlink>
        </w:p>
        <w:p w:rsidR="00862EC3" w:rsidRDefault="00862EC3">
          <w:pPr>
            <w:pStyle w:val="Sumrio1"/>
            <w:tabs>
              <w:tab w:val="right" w:leader="dot" w:pos="8494"/>
            </w:tabs>
            <w:rPr>
              <w:rFonts w:eastAsiaTheme="minorEastAsia"/>
              <w:noProof/>
              <w:lang w:eastAsia="pt-BR"/>
            </w:rPr>
          </w:pPr>
          <w:hyperlink w:anchor="_Toc25581612" w:history="1">
            <w:r w:rsidRPr="00F17E6C">
              <w:rPr>
                <w:rStyle w:val="Hyperlink"/>
                <w:noProof/>
              </w:rPr>
              <w:t>PESSOAL</w:t>
            </w:r>
            <w:r>
              <w:rPr>
                <w:noProof/>
                <w:webHidden/>
              </w:rPr>
              <w:tab/>
            </w:r>
            <w:r>
              <w:rPr>
                <w:noProof/>
                <w:webHidden/>
              </w:rPr>
              <w:fldChar w:fldCharType="begin"/>
            </w:r>
            <w:r>
              <w:rPr>
                <w:noProof/>
                <w:webHidden/>
              </w:rPr>
              <w:instrText xml:space="preserve"> PAGEREF _Toc25581612 \h </w:instrText>
            </w:r>
            <w:r>
              <w:rPr>
                <w:noProof/>
                <w:webHidden/>
              </w:rPr>
            </w:r>
            <w:r>
              <w:rPr>
                <w:noProof/>
                <w:webHidden/>
              </w:rPr>
              <w:fldChar w:fldCharType="separate"/>
            </w:r>
            <w:r>
              <w:rPr>
                <w:noProof/>
                <w:webHidden/>
              </w:rPr>
              <w:t>2</w:t>
            </w:r>
            <w:r>
              <w:rPr>
                <w:noProof/>
                <w:webHidden/>
              </w:rPr>
              <w:fldChar w:fldCharType="end"/>
            </w:r>
          </w:hyperlink>
        </w:p>
        <w:p w:rsidR="00862EC3" w:rsidRDefault="00862EC3">
          <w:pPr>
            <w:pStyle w:val="Sumrio2"/>
            <w:tabs>
              <w:tab w:val="right" w:leader="dot" w:pos="8494"/>
            </w:tabs>
            <w:rPr>
              <w:noProof/>
            </w:rPr>
          </w:pPr>
          <w:hyperlink w:anchor="_Toc25581613" w:history="1">
            <w:r w:rsidRPr="00F17E6C">
              <w:rPr>
                <w:rStyle w:val="Hyperlink"/>
                <w:noProof/>
              </w:rPr>
              <w:t>Pessoal. Aposentadoria. Enquadramento permanente ocorrido após 23 de abril de 1993 é ilegal.</w:t>
            </w:r>
            <w:r>
              <w:rPr>
                <w:noProof/>
                <w:webHidden/>
              </w:rPr>
              <w:tab/>
            </w:r>
            <w:r>
              <w:rPr>
                <w:noProof/>
                <w:webHidden/>
              </w:rPr>
              <w:fldChar w:fldCharType="begin"/>
            </w:r>
            <w:r>
              <w:rPr>
                <w:noProof/>
                <w:webHidden/>
              </w:rPr>
              <w:instrText xml:space="preserve"> PAGEREF _Toc25581613 \h </w:instrText>
            </w:r>
            <w:r>
              <w:rPr>
                <w:noProof/>
                <w:webHidden/>
              </w:rPr>
            </w:r>
            <w:r>
              <w:rPr>
                <w:noProof/>
                <w:webHidden/>
              </w:rPr>
              <w:fldChar w:fldCharType="separate"/>
            </w:r>
            <w:r>
              <w:rPr>
                <w:noProof/>
                <w:webHidden/>
              </w:rPr>
              <w:t>2</w:t>
            </w:r>
            <w:r>
              <w:rPr>
                <w:noProof/>
                <w:webHidden/>
              </w:rPr>
              <w:fldChar w:fldCharType="end"/>
            </w:r>
          </w:hyperlink>
        </w:p>
        <w:p w:rsidR="00862EC3" w:rsidRDefault="00862EC3">
          <w:pPr>
            <w:pStyle w:val="Sumrio1"/>
            <w:tabs>
              <w:tab w:val="right" w:leader="dot" w:pos="8494"/>
            </w:tabs>
            <w:rPr>
              <w:rFonts w:eastAsiaTheme="minorEastAsia"/>
              <w:noProof/>
              <w:lang w:eastAsia="pt-BR"/>
            </w:rPr>
          </w:pPr>
          <w:hyperlink w:anchor="_Toc25581614" w:history="1">
            <w:r w:rsidRPr="00F17E6C">
              <w:rPr>
                <w:rStyle w:val="Hyperlink"/>
                <w:noProof/>
              </w:rPr>
              <w:t>PRESTAÇÃO DE CONTAS</w:t>
            </w:r>
            <w:r>
              <w:rPr>
                <w:noProof/>
                <w:webHidden/>
              </w:rPr>
              <w:tab/>
            </w:r>
            <w:r>
              <w:rPr>
                <w:noProof/>
                <w:webHidden/>
              </w:rPr>
              <w:fldChar w:fldCharType="begin"/>
            </w:r>
            <w:r>
              <w:rPr>
                <w:noProof/>
                <w:webHidden/>
              </w:rPr>
              <w:instrText xml:space="preserve"> PAGEREF _Toc25581614 \h </w:instrText>
            </w:r>
            <w:r>
              <w:rPr>
                <w:noProof/>
                <w:webHidden/>
              </w:rPr>
            </w:r>
            <w:r>
              <w:rPr>
                <w:noProof/>
                <w:webHidden/>
              </w:rPr>
              <w:fldChar w:fldCharType="separate"/>
            </w:r>
            <w:r>
              <w:rPr>
                <w:noProof/>
                <w:webHidden/>
              </w:rPr>
              <w:t>3</w:t>
            </w:r>
            <w:r>
              <w:rPr>
                <w:noProof/>
                <w:webHidden/>
              </w:rPr>
              <w:fldChar w:fldCharType="end"/>
            </w:r>
          </w:hyperlink>
        </w:p>
        <w:p w:rsidR="00862EC3" w:rsidRDefault="00862EC3">
          <w:pPr>
            <w:pStyle w:val="Sumrio2"/>
            <w:tabs>
              <w:tab w:val="right" w:leader="dot" w:pos="8494"/>
            </w:tabs>
            <w:rPr>
              <w:noProof/>
            </w:rPr>
          </w:pPr>
          <w:hyperlink w:anchor="_Toc25581615" w:history="1">
            <w:r w:rsidRPr="00F17E6C">
              <w:rPr>
                <w:rStyle w:val="Hyperlink"/>
                <w:noProof/>
              </w:rPr>
              <w:t>Representação. Prestação de contas em atraso constitui ato de improbidade. Bloqueio de Contas. Procedência do Cumprimento.</w:t>
            </w:r>
            <w:r>
              <w:rPr>
                <w:noProof/>
                <w:webHidden/>
              </w:rPr>
              <w:tab/>
            </w:r>
            <w:r>
              <w:rPr>
                <w:noProof/>
                <w:webHidden/>
              </w:rPr>
              <w:fldChar w:fldCharType="begin"/>
            </w:r>
            <w:r>
              <w:rPr>
                <w:noProof/>
                <w:webHidden/>
              </w:rPr>
              <w:instrText xml:space="preserve"> PAGEREF _Toc25581615 \h </w:instrText>
            </w:r>
            <w:r>
              <w:rPr>
                <w:noProof/>
                <w:webHidden/>
              </w:rPr>
            </w:r>
            <w:r>
              <w:rPr>
                <w:noProof/>
                <w:webHidden/>
              </w:rPr>
              <w:fldChar w:fldCharType="separate"/>
            </w:r>
            <w:r>
              <w:rPr>
                <w:noProof/>
                <w:webHidden/>
              </w:rPr>
              <w:t>3</w:t>
            </w:r>
            <w:r>
              <w:rPr>
                <w:noProof/>
                <w:webHidden/>
              </w:rPr>
              <w:fldChar w:fldCharType="end"/>
            </w:r>
          </w:hyperlink>
        </w:p>
        <w:p w:rsidR="00862EC3" w:rsidRDefault="00862EC3">
          <w:pPr>
            <w:pStyle w:val="Sumrio2"/>
            <w:tabs>
              <w:tab w:val="right" w:leader="dot" w:pos="8494"/>
            </w:tabs>
            <w:rPr>
              <w:noProof/>
            </w:rPr>
          </w:pPr>
          <w:hyperlink w:anchor="_Toc25581616" w:history="1">
            <w:r w:rsidRPr="00F17E6C">
              <w:rPr>
                <w:rStyle w:val="Hyperlink"/>
                <w:noProof/>
              </w:rPr>
              <w:t>Prestação de Contas. Informações prestadas fora do prazo e com divergências nos Sistemas de documentação.   Gasto com profissionais do magistério inferior ao limite legal.</w:t>
            </w:r>
            <w:r>
              <w:rPr>
                <w:noProof/>
                <w:webHidden/>
              </w:rPr>
              <w:tab/>
            </w:r>
            <w:r>
              <w:rPr>
                <w:noProof/>
                <w:webHidden/>
              </w:rPr>
              <w:fldChar w:fldCharType="begin"/>
            </w:r>
            <w:r>
              <w:rPr>
                <w:noProof/>
                <w:webHidden/>
              </w:rPr>
              <w:instrText xml:space="preserve"> PAGEREF _Toc25581616 \h </w:instrText>
            </w:r>
            <w:r>
              <w:rPr>
                <w:noProof/>
                <w:webHidden/>
              </w:rPr>
            </w:r>
            <w:r>
              <w:rPr>
                <w:noProof/>
                <w:webHidden/>
              </w:rPr>
              <w:fldChar w:fldCharType="separate"/>
            </w:r>
            <w:r>
              <w:rPr>
                <w:noProof/>
                <w:webHidden/>
              </w:rPr>
              <w:t>4</w:t>
            </w:r>
            <w:r>
              <w:rPr>
                <w:noProof/>
                <w:webHidden/>
              </w:rPr>
              <w:fldChar w:fldCharType="end"/>
            </w:r>
          </w:hyperlink>
        </w:p>
        <w:p w:rsidR="00862EC3" w:rsidRDefault="00862EC3">
          <w:pPr>
            <w:pStyle w:val="Sumrio1"/>
            <w:tabs>
              <w:tab w:val="right" w:leader="dot" w:pos="8494"/>
            </w:tabs>
            <w:rPr>
              <w:rFonts w:eastAsiaTheme="minorEastAsia"/>
              <w:noProof/>
              <w:lang w:eastAsia="pt-BR"/>
            </w:rPr>
          </w:pPr>
          <w:hyperlink w:anchor="_Toc25581617" w:history="1">
            <w:r w:rsidRPr="00F17E6C">
              <w:rPr>
                <w:rStyle w:val="Hyperlink"/>
                <w:rFonts w:asciiTheme="majorHAnsi" w:eastAsiaTheme="majorEastAsia" w:hAnsiTheme="majorHAnsi" w:cstheme="majorBidi"/>
                <w:b/>
                <w:bCs/>
                <w:noProof/>
              </w:rPr>
              <w:t>PREVIDÊNCIA</w:t>
            </w:r>
            <w:r>
              <w:rPr>
                <w:noProof/>
                <w:webHidden/>
              </w:rPr>
              <w:tab/>
            </w:r>
            <w:r>
              <w:rPr>
                <w:noProof/>
                <w:webHidden/>
              </w:rPr>
              <w:fldChar w:fldCharType="begin"/>
            </w:r>
            <w:r>
              <w:rPr>
                <w:noProof/>
                <w:webHidden/>
              </w:rPr>
              <w:instrText xml:space="preserve"> PAGEREF _Toc25581617 \h </w:instrText>
            </w:r>
            <w:r>
              <w:rPr>
                <w:noProof/>
                <w:webHidden/>
              </w:rPr>
            </w:r>
            <w:r>
              <w:rPr>
                <w:noProof/>
                <w:webHidden/>
              </w:rPr>
              <w:fldChar w:fldCharType="separate"/>
            </w:r>
            <w:r>
              <w:rPr>
                <w:noProof/>
                <w:webHidden/>
              </w:rPr>
              <w:t>5</w:t>
            </w:r>
            <w:r>
              <w:rPr>
                <w:noProof/>
                <w:webHidden/>
              </w:rPr>
              <w:fldChar w:fldCharType="end"/>
            </w:r>
          </w:hyperlink>
        </w:p>
        <w:p w:rsidR="00862EC3" w:rsidRDefault="00862EC3">
          <w:pPr>
            <w:pStyle w:val="Sumrio2"/>
            <w:tabs>
              <w:tab w:val="right" w:leader="dot" w:pos="8494"/>
            </w:tabs>
            <w:rPr>
              <w:noProof/>
            </w:rPr>
          </w:pPr>
          <w:hyperlink w:anchor="_Toc25581618" w:history="1">
            <w:r w:rsidRPr="00F17E6C">
              <w:rPr>
                <w:rStyle w:val="Hyperlink"/>
                <w:noProof/>
              </w:rPr>
              <w:t>Previdência. Aposentadoria de Servidor Ingresso no Serviço Público sem Realização de Concurso.</w:t>
            </w:r>
            <w:r>
              <w:rPr>
                <w:noProof/>
                <w:webHidden/>
              </w:rPr>
              <w:tab/>
            </w:r>
            <w:r>
              <w:rPr>
                <w:noProof/>
                <w:webHidden/>
              </w:rPr>
              <w:fldChar w:fldCharType="begin"/>
            </w:r>
            <w:r>
              <w:rPr>
                <w:noProof/>
                <w:webHidden/>
              </w:rPr>
              <w:instrText xml:space="preserve"> PAGEREF _Toc25581618 \h </w:instrText>
            </w:r>
            <w:r>
              <w:rPr>
                <w:noProof/>
                <w:webHidden/>
              </w:rPr>
            </w:r>
            <w:r>
              <w:rPr>
                <w:noProof/>
                <w:webHidden/>
              </w:rPr>
              <w:fldChar w:fldCharType="separate"/>
            </w:r>
            <w:r>
              <w:rPr>
                <w:noProof/>
                <w:webHidden/>
              </w:rPr>
              <w:t>5</w:t>
            </w:r>
            <w:r>
              <w:rPr>
                <w:noProof/>
                <w:webHidden/>
              </w:rPr>
              <w:fldChar w:fldCharType="end"/>
            </w:r>
          </w:hyperlink>
        </w:p>
        <w:p w:rsidR="00333CF2" w:rsidRPr="00A914C7" w:rsidRDefault="00333CF2" w:rsidP="002820DA">
          <w:pPr>
            <w:jc w:val="both"/>
          </w:pPr>
          <w:r w:rsidRPr="00A914C7">
            <w:rPr>
              <w:b/>
              <w:bCs/>
            </w:rPr>
            <w:fldChar w:fldCharType="end"/>
          </w:r>
        </w:p>
      </w:sdtContent>
    </w:sdt>
    <w:p w:rsidR="00723A08" w:rsidRPr="00A914C7" w:rsidRDefault="00723A08" w:rsidP="00EA2E20">
      <w:pPr>
        <w:pStyle w:val="Ttulo1"/>
        <w:jc w:val="both"/>
      </w:pPr>
    </w:p>
    <w:p w:rsidR="00BB38F8" w:rsidRPr="00A914C7" w:rsidRDefault="00BB38F8" w:rsidP="00723A08"/>
    <w:p w:rsidR="00BB38F8" w:rsidRPr="00A914C7" w:rsidRDefault="00BB38F8">
      <w:r w:rsidRPr="00A914C7">
        <w:br w:type="page"/>
      </w:r>
    </w:p>
    <w:p w:rsidR="00BB38F8" w:rsidRPr="00862EC3" w:rsidRDefault="00BB38F8" w:rsidP="00BB38F8">
      <w:pPr>
        <w:pStyle w:val="Ttulo1"/>
        <w:jc w:val="both"/>
      </w:pPr>
      <w:bookmarkStart w:id="1" w:name="_Toc25581610"/>
      <w:r w:rsidRPr="00862EC3">
        <w:lastRenderedPageBreak/>
        <w:t>LICITAÇÃO</w:t>
      </w:r>
      <w:bookmarkEnd w:id="1"/>
    </w:p>
    <w:p w:rsidR="0037060C" w:rsidRPr="00862EC3" w:rsidRDefault="0037060C" w:rsidP="0037060C"/>
    <w:p w:rsidR="008F41CF" w:rsidRPr="00862EC3" w:rsidRDefault="00E160DF" w:rsidP="00E160DF">
      <w:pPr>
        <w:pStyle w:val="Ttulo2"/>
        <w:jc w:val="both"/>
      </w:pPr>
      <w:bookmarkStart w:id="2" w:name="_Toc25581611"/>
      <w:r w:rsidRPr="00862EC3">
        <w:t xml:space="preserve">Licitação. </w:t>
      </w:r>
      <w:r w:rsidR="00A621E6" w:rsidRPr="00862EC3">
        <w:t>Inexigibilidade de Licitação</w:t>
      </w:r>
      <w:r w:rsidR="008F41CF" w:rsidRPr="00862EC3">
        <w:t xml:space="preserve">. </w:t>
      </w:r>
      <w:r w:rsidR="00A621E6" w:rsidRPr="00862EC3">
        <w:t>Contratação de Profissionais do Setor Artístico</w:t>
      </w:r>
      <w:r w:rsidR="008F41CF" w:rsidRPr="00862EC3">
        <w:t>.</w:t>
      </w:r>
      <w:bookmarkEnd w:id="2"/>
      <w:r w:rsidR="008F41CF" w:rsidRPr="00862EC3">
        <w:t xml:space="preserve"> </w:t>
      </w:r>
    </w:p>
    <w:p w:rsidR="00E160DF" w:rsidRPr="00862EC3" w:rsidRDefault="00E160DF" w:rsidP="00E160DF">
      <w:pPr>
        <w:ind w:left="2268"/>
        <w:jc w:val="both"/>
      </w:pPr>
    </w:p>
    <w:p w:rsidR="00040DAB" w:rsidRPr="00862EC3" w:rsidRDefault="00A621E6" w:rsidP="00040DAB">
      <w:pPr>
        <w:ind w:left="2268"/>
        <w:jc w:val="both"/>
      </w:pPr>
      <w:r w:rsidRPr="00862EC3">
        <w:t>DENÚNCIA. CAJUEIRO DA PRAIA. EXERCÍCIO 2017. SUPOSTAS IRREGULARIDADES NO PROCEDIMENTO LICITATÓRIO DE INEXIGIBILIDADE Nº 007/2017 PARA CONTRATAÇÃO DE APRESENTAÇÃO ARTÍSTICA EM COMEMORAÇÃO AO XVI FESTIVAL JUNINO NOS DIAS 28 E 29 DE JULHO DE 2017. INSUFICIÊNCIA DE PROVAS DOS FATOS ALEGADOS. PROCESSO RESPALDADO NO ART. 25, III da Lei 8.666/93. IMPROCEDÊNCIA DA DENÚNCIA.</w:t>
      </w:r>
    </w:p>
    <w:p w:rsidR="00040DAB" w:rsidRPr="00862EC3" w:rsidRDefault="00A621E6" w:rsidP="006566C2">
      <w:pPr>
        <w:pStyle w:val="PargrafodaLista"/>
        <w:numPr>
          <w:ilvl w:val="0"/>
          <w:numId w:val="18"/>
        </w:numPr>
        <w:ind w:left="2268" w:firstLine="0"/>
        <w:jc w:val="both"/>
      </w:pPr>
      <w:r w:rsidRPr="00862EC3">
        <w:t xml:space="preserve">Conforme o Art. 25, III da Lei 8.666/93, </w:t>
      </w:r>
      <w:r w:rsidRPr="00862EC3">
        <w:rPr>
          <w:u w:val="single"/>
        </w:rPr>
        <w:t>é inexigível a licitação quando houver inviabilidade de competição, em especial para contratação de profissional de qualquer setor artístico</w:t>
      </w:r>
      <w:r w:rsidRPr="00862EC3">
        <w:t>, diretamente ou através de empresário exclusivo, desde que consagrado pela crítica especializada ou pela opinião pública, exigências essas atendidas e demonstradas documentalmente pela Defesa no transcurso no processo de inexigibilidade em questão.</w:t>
      </w:r>
    </w:p>
    <w:p w:rsidR="00E160DF" w:rsidRPr="00862EC3" w:rsidRDefault="00E160DF" w:rsidP="00E160DF">
      <w:pPr>
        <w:ind w:left="2268"/>
        <w:jc w:val="both"/>
      </w:pPr>
      <w:r w:rsidRPr="00862EC3">
        <w:t xml:space="preserve">(Denúncia. Processo </w:t>
      </w:r>
      <w:hyperlink r:id="rId11" w:history="1">
        <w:r w:rsidRPr="00862EC3">
          <w:rPr>
            <w:rStyle w:val="Hyperlink"/>
          </w:rPr>
          <w:t>TC/</w:t>
        </w:r>
        <w:r w:rsidRPr="00862EC3">
          <w:rPr>
            <w:rStyle w:val="Hyperlink"/>
            <w:bCs/>
          </w:rPr>
          <w:t>0</w:t>
        </w:r>
        <w:r w:rsidR="00040DAB" w:rsidRPr="00862EC3">
          <w:rPr>
            <w:rStyle w:val="Hyperlink"/>
            <w:bCs/>
          </w:rPr>
          <w:t>1</w:t>
        </w:r>
        <w:r w:rsidR="00A621E6" w:rsidRPr="00862EC3">
          <w:rPr>
            <w:rStyle w:val="Hyperlink"/>
            <w:bCs/>
          </w:rPr>
          <w:t>7675</w:t>
        </w:r>
        <w:r w:rsidRPr="00862EC3">
          <w:rPr>
            <w:rStyle w:val="Hyperlink"/>
            <w:bCs/>
          </w:rPr>
          <w:t>/201</w:t>
        </w:r>
      </w:hyperlink>
      <w:r w:rsidR="00A621E6" w:rsidRPr="00862EC3">
        <w:rPr>
          <w:rStyle w:val="Hyperlink"/>
          <w:bCs/>
        </w:rPr>
        <w:t>7</w:t>
      </w:r>
      <w:r w:rsidRPr="00862EC3">
        <w:t xml:space="preserve"> – Relator: Cons.</w:t>
      </w:r>
      <w:r w:rsidR="003C4483" w:rsidRPr="00862EC3">
        <w:t xml:space="preserve"> Substituto</w:t>
      </w:r>
      <w:r w:rsidRPr="00862EC3">
        <w:t xml:space="preserve"> </w:t>
      </w:r>
      <w:r w:rsidR="003C4483" w:rsidRPr="00862EC3">
        <w:t>Alisson Felipe de Araújo.</w:t>
      </w:r>
      <w:r w:rsidRPr="00862EC3">
        <w:t xml:space="preserve"> </w:t>
      </w:r>
      <w:r w:rsidR="00040DAB" w:rsidRPr="00862EC3">
        <w:t xml:space="preserve">Segunda </w:t>
      </w:r>
      <w:r w:rsidRPr="00862EC3">
        <w:t xml:space="preserve">Câmara. Decisão unânime. Acórdão nº </w:t>
      </w:r>
      <w:r w:rsidR="003C4483" w:rsidRPr="00862EC3">
        <w:t>1.370/2019</w:t>
      </w:r>
      <w:r w:rsidRPr="00862EC3">
        <w:t xml:space="preserve"> publicado no </w:t>
      </w:r>
      <w:hyperlink r:id="rId12" w:history="1">
        <w:r w:rsidRPr="00862EC3">
          <w:rPr>
            <w:rStyle w:val="Hyperlink"/>
          </w:rPr>
          <w:t xml:space="preserve">DOE/TCE-PI º </w:t>
        </w:r>
        <w:r w:rsidR="00A621E6" w:rsidRPr="00862EC3">
          <w:rPr>
            <w:rStyle w:val="Hyperlink"/>
          </w:rPr>
          <w:t>190</w:t>
        </w:r>
        <w:r w:rsidRPr="00862EC3">
          <w:rPr>
            <w:rStyle w:val="Hyperlink"/>
          </w:rPr>
          <w:t>/1</w:t>
        </w:r>
      </w:hyperlink>
      <w:proofErr w:type="gramStart"/>
      <w:r w:rsidR="00A621E6" w:rsidRPr="00862EC3">
        <w:rPr>
          <w:rStyle w:val="Hyperlink"/>
        </w:rPr>
        <w:t>9</w:t>
      </w:r>
      <w:proofErr w:type="gramEnd"/>
      <w:r w:rsidRPr="00862EC3">
        <w:t>)</w:t>
      </w:r>
    </w:p>
    <w:p w:rsidR="00BB38F8" w:rsidRPr="00862EC3" w:rsidRDefault="00BB38F8" w:rsidP="00BB38F8">
      <w:pPr>
        <w:pStyle w:val="Ttulo1"/>
        <w:jc w:val="both"/>
      </w:pPr>
      <w:bookmarkStart w:id="3" w:name="_Toc25581612"/>
      <w:r w:rsidRPr="00862EC3">
        <w:t>PESSOAL</w:t>
      </w:r>
      <w:bookmarkEnd w:id="3"/>
    </w:p>
    <w:p w:rsidR="00225423" w:rsidRPr="00862EC3" w:rsidRDefault="00225423" w:rsidP="0032644A">
      <w:pPr>
        <w:ind w:left="2268"/>
        <w:jc w:val="both"/>
      </w:pPr>
    </w:p>
    <w:p w:rsidR="00A2122E" w:rsidRPr="00862EC3" w:rsidRDefault="00A2122E" w:rsidP="00A2122E">
      <w:pPr>
        <w:pStyle w:val="Ttulo2"/>
        <w:jc w:val="both"/>
      </w:pPr>
      <w:bookmarkStart w:id="4" w:name="_Toc25581613"/>
      <w:r w:rsidRPr="00862EC3">
        <w:t>Pessoal.</w:t>
      </w:r>
      <w:r w:rsidR="00C31F27" w:rsidRPr="00862EC3">
        <w:t xml:space="preserve"> </w:t>
      </w:r>
      <w:r w:rsidR="0037083C" w:rsidRPr="00862EC3">
        <w:t>Aposentadoria. Enquadramento permanente ocorrido após 23 de abril de 1993 é ilegal</w:t>
      </w:r>
      <w:r w:rsidR="00A474B8" w:rsidRPr="00862EC3">
        <w:t>.</w:t>
      </w:r>
      <w:bookmarkEnd w:id="4"/>
      <w:r w:rsidR="00A474B8" w:rsidRPr="00862EC3">
        <w:t xml:space="preserve"> </w:t>
      </w:r>
    </w:p>
    <w:p w:rsidR="00A2122E" w:rsidRPr="00862EC3" w:rsidRDefault="009B20CD" w:rsidP="009B20CD">
      <w:pPr>
        <w:tabs>
          <w:tab w:val="left" w:pos="3360"/>
        </w:tabs>
        <w:ind w:left="2268"/>
        <w:jc w:val="both"/>
      </w:pPr>
      <w:r w:rsidRPr="00862EC3">
        <w:tab/>
      </w:r>
    </w:p>
    <w:p w:rsidR="00A2122E" w:rsidRPr="00862EC3" w:rsidRDefault="004C5A3A" w:rsidP="00A2122E">
      <w:pPr>
        <w:ind w:left="2268"/>
        <w:jc w:val="both"/>
        <w:rPr>
          <w:bCs/>
        </w:rPr>
      </w:pPr>
      <w:r w:rsidRPr="00862EC3">
        <w:rPr>
          <w:bCs/>
        </w:rPr>
        <w:t>PESSOAL. APOSENTADORIA. TRANSPOSIÇÃO ILEGAL DE CARGO. NEGATIVA DE REGISTRO.</w:t>
      </w:r>
    </w:p>
    <w:p w:rsidR="00A2122E" w:rsidRPr="00862EC3" w:rsidRDefault="004C5A3A" w:rsidP="00A2122E">
      <w:pPr>
        <w:ind w:left="2268"/>
        <w:jc w:val="both"/>
        <w:rPr>
          <w:bCs/>
        </w:rPr>
      </w:pPr>
      <w:r w:rsidRPr="00862EC3">
        <w:t>1 - É ilegal o enquadramento funcional permanente ocorrido após a data limite fixada na súmula Nº 05 desta Corte de Contas, que assegura a aposentadoria pelo regime próprio de previdência social, desde que o ingresso (originário ou derivado) no cargo em que houve a inativação tenha ocorrido até 23 de abril de 1993</w:t>
      </w:r>
      <w:r w:rsidR="00A2122E" w:rsidRPr="00862EC3">
        <w:rPr>
          <w:bCs/>
        </w:rPr>
        <w:t>.</w:t>
      </w:r>
    </w:p>
    <w:p w:rsidR="00A2122E" w:rsidRPr="00862EC3" w:rsidRDefault="00A2122E" w:rsidP="00A2122E">
      <w:pPr>
        <w:ind w:left="2268"/>
        <w:jc w:val="both"/>
      </w:pPr>
      <w:r w:rsidRPr="00862EC3">
        <w:lastRenderedPageBreak/>
        <w:t>(</w:t>
      </w:r>
      <w:r w:rsidR="004C5A3A" w:rsidRPr="00862EC3">
        <w:t>Aposentadoria</w:t>
      </w:r>
      <w:r w:rsidRPr="00862EC3">
        <w:t xml:space="preserve">. Processo </w:t>
      </w:r>
      <w:hyperlink r:id="rId13" w:history="1">
        <w:r w:rsidRPr="00862EC3">
          <w:rPr>
            <w:rStyle w:val="Hyperlink"/>
          </w:rPr>
          <w:t>TC/0</w:t>
        </w:r>
        <w:r w:rsidR="004C5A3A" w:rsidRPr="00862EC3">
          <w:rPr>
            <w:rStyle w:val="Hyperlink"/>
          </w:rPr>
          <w:t>16636</w:t>
        </w:r>
        <w:r w:rsidRPr="00862EC3">
          <w:rPr>
            <w:rStyle w:val="Hyperlink"/>
          </w:rPr>
          <w:t>/</w:t>
        </w:r>
        <w:r w:rsidR="004C5A3A" w:rsidRPr="00862EC3">
          <w:rPr>
            <w:rStyle w:val="Hyperlink"/>
          </w:rPr>
          <w:t>2018</w:t>
        </w:r>
      </w:hyperlink>
      <w:r w:rsidRPr="00862EC3">
        <w:t xml:space="preserve"> – Relator: Cons. </w:t>
      </w:r>
      <w:r w:rsidR="004C5A3A" w:rsidRPr="00862EC3">
        <w:t>Kleber Dantas Eulálio</w:t>
      </w:r>
      <w:r w:rsidRPr="00862EC3">
        <w:t xml:space="preserve">. </w:t>
      </w:r>
      <w:r w:rsidR="004C5A3A" w:rsidRPr="00862EC3">
        <w:t>Primeira</w:t>
      </w:r>
      <w:r w:rsidRPr="00862EC3">
        <w:t xml:space="preserve"> Câmara. Decisão Unânime. Acórdão nº </w:t>
      </w:r>
      <w:r w:rsidR="004C5A3A" w:rsidRPr="00862EC3">
        <w:t>1.752/19</w:t>
      </w:r>
      <w:r w:rsidRPr="00862EC3">
        <w:t xml:space="preserve"> publicado no </w:t>
      </w:r>
      <w:hyperlink r:id="rId14" w:history="1">
        <w:r w:rsidRPr="00862EC3">
          <w:rPr>
            <w:rStyle w:val="Hyperlink"/>
          </w:rPr>
          <w:t xml:space="preserve">DOE/TCE-PI º </w:t>
        </w:r>
        <w:r w:rsidR="004C5A3A" w:rsidRPr="00862EC3">
          <w:rPr>
            <w:rStyle w:val="Hyperlink"/>
          </w:rPr>
          <w:t>199</w:t>
        </w:r>
        <w:r w:rsidRPr="00862EC3">
          <w:rPr>
            <w:rStyle w:val="Hyperlink"/>
          </w:rPr>
          <w:t>/</w:t>
        </w:r>
        <w:r w:rsidR="004C5A3A" w:rsidRPr="00862EC3">
          <w:rPr>
            <w:rStyle w:val="Hyperlink"/>
          </w:rPr>
          <w:t>2019</w:t>
        </w:r>
      </w:hyperlink>
      <w:proofErr w:type="gramStart"/>
      <w:r w:rsidRPr="00862EC3">
        <w:t>)</w:t>
      </w:r>
      <w:proofErr w:type="gramEnd"/>
    </w:p>
    <w:p w:rsidR="00BB38F8" w:rsidRPr="00862EC3" w:rsidRDefault="00BB38F8" w:rsidP="00BB38F8">
      <w:pPr>
        <w:pStyle w:val="Ttulo1"/>
        <w:jc w:val="both"/>
      </w:pPr>
      <w:bookmarkStart w:id="5" w:name="_Toc25581614"/>
      <w:r w:rsidRPr="00862EC3">
        <w:t>PR</w:t>
      </w:r>
      <w:r w:rsidR="002B702E" w:rsidRPr="00862EC3">
        <w:t>ESTAÇÃO DE CONTAS</w:t>
      </w:r>
      <w:bookmarkEnd w:id="5"/>
    </w:p>
    <w:p w:rsidR="00AF0890" w:rsidRPr="00862EC3" w:rsidRDefault="00AF0890" w:rsidP="00AF0890">
      <w:pPr>
        <w:tabs>
          <w:tab w:val="left" w:pos="2410"/>
          <w:tab w:val="center" w:pos="4536"/>
          <w:tab w:val="left" w:pos="7770"/>
        </w:tabs>
        <w:rPr>
          <w:color w:val="000000" w:themeColor="text1"/>
          <w:sz w:val="18"/>
          <w:szCs w:val="18"/>
        </w:rPr>
      </w:pPr>
      <w:r w:rsidRPr="00862EC3">
        <w:rPr>
          <w:b/>
          <w:color w:val="FF0000"/>
          <w:sz w:val="18"/>
          <w:szCs w:val="18"/>
        </w:rPr>
        <w:tab/>
      </w:r>
      <w:r w:rsidRPr="00862EC3">
        <w:rPr>
          <w:bCs/>
          <w:i/>
          <w:color w:val="000000" w:themeColor="text1"/>
          <w:sz w:val="18"/>
          <w:szCs w:val="18"/>
        </w:rPr>
        <w:t xml:space="preserve"> </w:t>
      </w:r>
    </w:p>
    <w:p w:rsidR="000D2EA4" w:rsidRPr="00862EC3" w:rsidRDefault="00635F62" w:rsidP="000D2EA4">
      <w:pPr>
        <w:pStyle w:val="Ttulo2"/>
        <w:jc w:val="both"/>
      </w:pPr>
      <w:bookmarkStart w:id="6" w:name="_Toc25581615"/>
      <w:r w:rsidRPr="00862EC3">
        <w:t xml:space="preserve">Representação. </w:t>
      </w:r>
      <w:r w:rsidR="0037083C" w:rsidRPr="00862EC3">
        <w:t>Prestação de c</w:t>
      </w:r>
      <w:r w:rsidR="000D2EA4" w:rsidRPr="00862EC3">
        <w:t>ontas</w:t>
      </w:r>
      <w:r w:rsidR="0037083C" w:rsidRPr="00862EC3">
        <w:t xml:space="preserve"> em a</w:t>
      </w:r>
      <w:r w:rsidR="0038361A" w:rsidRPr="00862EC3">
        <w:t>traso</w:t>
      </w:r>
      <w:r w:rsidR="0037083C" w:rsidRPr="00862EC3">
        <w:t xml:space="preserve"> constitui ato de improbidade</w:t>
      </w:r>
      <w:r w:rsidR="000D2EA4" w:rsidRPr="00862EC3">
        <w:t xml:space="preserve">. </w:t>
      </w:r>
      <w:r w:rsidR="0038361A" w:rsidRPr="00862EC3">
        <w:t>Bloqueio de Contas</w:t>
      </w:r>
      <w:r w:rsidR="005224D0" w:rsidRPr="00862EC3">
        <w:t>.</w:t>
      </w:r>
      <w:r w:rsidR="009A1ED8" w:rsidRPr="00862EC3">
        <w:t xml:space="preserve"> </w:t>
      </w:r>
      <w:r w:rsidR="0038361A" w:rsidRPr="00862EC3">
        <w:t>Procedência do Cumprimento</w:t>
      </w:r>
      <w:r w:rsidR="000D2EA4" w:rsidRPr="00862EC3">
        <w:t>.</w:t>
      </w:r>
      <w:bookmarkEnd w:id="6"/>
    </w:p>
    <w:p w:rsidR="000D2EA4" w:rsidRPr="00862EC3" w:rsidRDefault="000D2EA4" w:rsidP="000D2EA4">
      <w:pPr>
        <w:tabs>
          <w:tab w:val="left" w:pos="2730"/>
        </w:tabs>
        <w:ind w:left="2268"/>
        <w:jc w:val="both"/>
      </w:pPr>
      <w:r w:rsidRPr="00862EC3">
        <w:tab/>
      </w:r>
    </w:p>
    <w:p w:rsidR="0038361A" w:rsidRPr="00862EC3" w:rsidRDefault="000E14D6" w:rsidP="000D2EA4">
      <w:pPr>
        <w:ind w:left="2268"/>
        <w:jc w:val="both"/>
      </w:pPr>
      <w:r w:rsidRPr="00862EC3">
        <w:t xml:space="preserve">REPRESENTAÇÃO. </w:t>
      </w:r>
      <w:r w:rsidR="0038361A" w:rsidRPr="00862EC3">
        <w:t xml:space="preserve">PEDIDO DE BLOQUEIO DE CONTAS. PRESTAÇÃO DE CONTAS EM ATRASO. ADIPLENCIA PROCEDENCIA. </w:t>
      </w:r>
    </w:p>
    <w:p w:rsidR="0038361A" w:rsidRPr="00862EC3" w:rsidRDefault="0038361A" w:rsidP="000D2EA4">
      <w:pPr>
        <w:ind w:left="2268"/>
        <w:jc w:val="both"/>
      </w:pPr>
      <w:r w:rsidRPr="00862EC3">
        <w:t xml:space="preserve">1- A CF/88, art. 70, § único estabelece que Prestará contas qualquer pessoa física ou jurídica, pública ou privada, que utilize, arrecade, guarde, gerencie ou administre dinheiros, bens e valores públicos ou pelos quais a União responda, ou que, em nome desta, assuma obrigações de natureza pecuniária. (Redação dada pela Emenda Constitucional nº 19, de 1998); </w:t>
      </w:r>
    </w:p>
    <w:p w:rsidR="0038361A" w:rsidRPr="00862EC3" w:rsidRDefault="0038361A" w:rsidP="000D2EA4">
      <w:pPr>
        <w:ind w:left="2268"/>
        <w:jc w:val="both"/>
      </w:pPr>
      <w:r w:rsidRPr="00862EC3">
        <w:t xml:space="preserve">2 - O Art. 93 do Decreto 200/67 também estabelece que quem </w:t>
      </w:r>
      <w:proofErr w:type="gramStart"/>
      <w:r w:rsidRPr="00862EC3">
        <w:t>quer</w:t>
      </w:r>
      <w:proofErr w:type="gramEnd"/>
      <w:r w:rsidRPr="00862EC3">
        <w:t xml:space="preserve"> que utilize dinheiros públicos terá de justificar seu bom e regular emprego na conformidade das leis, regulamentos e normas emanadas das autoridades administrativas competentes; </w:t>
      </w:r>
    </w:p>
    <w:p w:rsidR="0038361A" w:rsidRPr="00862EC3" w:rsidRDefault="0038361A" w:rsidP="000D2EA4">
      <w:pPr>
        <w:ind w:left="2268"/>
        <w:jc w:val="both"/>
      </w:pPr>
      <w:r w:rsidRPr="00862EC3">
        <w:t xml:space="preserve">3 - Art. 11 da Lei nº 8.429/92. Constitui ato de improbidade administrativa que atenta contra os princípios da administração pública qualquer ação ou omissão que viole os deveres de honestidade, imparcialidade, legalidade, e lealdade às instituições, e notadamente: VI - deixar de prestar contas quando esteja obrigado a fazê-lo; </w:t>
      </w:r>
    </w:p>
    <w:p w:rsidR="000D2EA4" w:rsidRPr="00862EC3" w:rsidRDefault="0038361A" w:rsidP="000D2EA4">
      <w:pPr>
        <w:ind w:left="2268"/>
        <w:jc w:val="both"/>
      </w:pPr>
      <w:r w:rsidRPr="00862EC3">
        <w:t>4 - Art. 87 da Lei Orgânica do TCE-PI, nº 5.888/09. O Relator ou o Plenário, em caso de urgência, de fundado receio de grave lesão ao erário ou a direito alheio, ou de risco de ineficácia da decisão de mérito, poderá, de ofício ou mediante provocação, adotar medida cautelar, com ou sem a prévia oitiva da parte, determinando, entre outras providências, a suspensão do ato ou do procedimento impugnado, até que o Tribunal decida sobre o mérito da questão suscitada.</w:t>
      </w:r>
      <w:r w:rsidR="000D2EA4" w:rsidRPr="00862EC3">
        <w:t xml:space="preserve"> </w:t>
      </w:r>
    </w:p>
    <w:p w:rsidR="000D2EA4" w:rsidRPr="00862EC3" w:rsidRDefault="000D2EA4" w:rsidP="000D2EA4">
      <w:pPr>
        <w:ind w:left="2268"/>
        <w:jc w:val="both"/>
      </w:pPr>
      <w:r w:rsidRPr="00862EC3">
        <w:lastRenderedPageBreak/>
        <w:t xml:space="preserve">(Prestação de Contas. Processo </w:t>
      </w:r>
      <w:hyperlink r:id="rId15" w:history="1">
        <w:r w:rsidRPr="00862EC3">
          <w:rPr>
            <w:rStyle w:val="Hyperlink"/>
          </w:rPr>
          <w:t>TC/</w:t>
        </w:r>
        <w:r w:rsidRPr="00862EC3">
          <w:rPr>
            <w:rStyle w:val="Hyperlink"/>
            <w:bCs/>
          </w:rPr>
          <w:t>006</w:t>
        </w:r>
        <w:r w:rsidR="0038361A" w:rsidRPr="00862EC3">
          <w:rPr>
            <w:rStyle w:val="Hyperlink"/>
            <w:bCs/>
          </w:rPr>
          <w:t>705</w:t>
        </w:r>
        <w:r w:rsidRPr="00862EC3">
          <w:rPr>
            <w:rStyle w:val="Hyperlink"/>
            <w:bCs/>
          </w:rPr>
          <w:t>/201</w:t>
        </w:r>
      </w:hyperlink>
      <w:r w:rsidR="0038361A" w:rsidRPr="00862EC3">
        <w:rPr>
          <w:rStyle w:val="Hyperlink"/>
          <w:bCs/>
        </w:rPr>
        <w:t>9</w:t>
      </w:r>
      <w:r w:rsidRPr="00862EC3">
        <w:t xml:space="preserve"> – Relator: </w:t>
      </w:r>
      <w:proofErr w:type="spellStart"/>
      <w:r w:rsidRPr="00862EC3">
        <w:t>Cons</w:t>
      </w:r>
      <w:r w:rsidR="000C211D" w:rsidRPr="00862EC3">
        <w:rPr>
          <w:sz w:val="20"/>
        </w:rPr>
        <w:t>ª</w:t>
      </w:r>
      <w:proofErr w:type="spellEnd"/>
      <w:r w:rsidRPr="00862EC3">
        <w:t xml:space="preserve">. </w:t>
      </w:r>
      <w:r w:rsidR="000E14D6" w:rsidRPr="00862EC3">
        <w:t>Lilian de Almeida Veloso Nunes Martins</w:t>
      </w:r>
      <w:r w:rsidRPr="00862EC3">
        <w:t xml:space="preserve">. </w:t>
      </w:r>
      <w:r w:rsidR="000E14D6" w:rsidRPr="00862EC3">
        <w:t>Segunda</w:t>
      </w:r>
      <w:r w:rsidRPr="00862EC3">
        <w:t xml:space="preserve"> Câmara. Decisão Unânime. Acórdão nº </w:t>
      </w:r>
      <w:r w:rsidR="000E14D6" w:rsidRPr="00862EC3">
        <w:t>1.584/19</w:t>
      </w:r>
      <w:r w:rsidRPr="00862EC3">
        <w:t xml:space="preserve"> publicado no </w:t>
      </w:r>
      <w:hyperlink r:id="rId16" w:history="1">
        <w:r w:rsidRPr="00862EC3">
          <w:rPr>
            <w:rStyle w:val="Hyperlink"/>
          </w:rPr>
          <w:t xml:space="preserve">DOE/TCE-PI º </w:t>
        </w:r>
        <w:r w:rsidR="000E14D6" w:rsidRPr="00862EC3">
          <w:rPr>
            <w:rStyle w:val="Hyperlink"/>
          </w:rPr>
          <w:t>1</w:t>
        </w:r>
        <w:r w:rsidRPr="00862EC3">
          <w:rPr>
            <w:rStyle w:val="Hyperlink"/>
          </w:rPr>
          <w:t>8</w:t>
        </w:r>
        <w:r w:rsidR="000E14D6" w:rsidRPr="00862EC3">
          <w:rPr>
            <w:rStyle w:val="Hyperlink"/>
          </w:rPr>
          <w:t>7</w:t>
        </w:r>
        <w:r w:rsidRPr="00862EC3">
          <w:rPr>
            <w:rStyle w:val="Hyperlink"/>
          </w:rPr>
          <w:t>/1</w:t>
        </w:r>
      </w:hyperlink>
      <w:proofErr w:type="gramStart"/>
      <w:r w:rsidR="000E14D6" w:rsidRPr="00862EC3">
        <w:rPr>
          <w:rStyle w:val="Hyperlink"/>
        </w:rPr>
        <w:t>9</w:t>
      </w:r>
      <w:proofErr w:type="gramEnd"/>
      <w:r w:rsidRPr="00862EC3">
        <w:t>)</w:t>
      </w:r>
    </w:p>
    <w:p w:rsidR="00B1111C" w:rsidRPr="00862EC3" w:rsidRDefault="00B1111C" w:rsidP="00B1111C">
      <w:pPr>
        <w:pStyle w:val="Ttulo2"/>
        <w:jc w:val="both"/>
      </w:pPr>
      <w:bookmarkStart w:id="7" w:name="_Toc25581616"/>
      <w:r w:rsidRPr="00862EC3">
        <w:t>Prestação de Contas.</w:t>
      </w:r>
      <w:r w:rsidR="006A1028" w:rsidRPr="00862EC3">
        <w:t xml:space="preserve"> </w:t>
      </w:r>
      <w:r w:rsidR="00FE1B17" w:rsidRPr="00862EC3">
        <w:t>Informações prestadas fora do prazo e com divergências nos Sistemas de documentação.   Gasto com profissionais do magistério inferior ao limite legal.</w:t>
      </w:r>
      <w:bookmarkEnd w:id="7"/>
      <w:r w:rsidR="00FE1B17" w:rsidRPr="00862EC3">
        <w:t xml:space="preserve"> </w:t>
      </w:r>
    </w:p>
    <w:p w:rsidR="00B1111C" w:rsidRPr="00862EC3" w:rsidRDefault="00B1111C" w:rsidP="00B1111C">
      <w:pPr>
        <w:tabs>
          <w:tab w:val="left" w:pos="2730"/>
        </w:tabs>
        <w:ind w:left="2268"/>
        <w:jc w:val="both"/>
      </w:pPr>
      <w:r w:rsidRPr="00862EC3">
        <w:tab/>
      </w:r>
    </w:p>
    <w:p w:rsidR="00B1111C" w:rsidRPr="00862EC3" w:rsidRDefault="009453FB" w:rsidP="00B1111C">
      <w:pPr>
        <w:ind w:left="2268"/>
        <w:jc w:val="both"/>
      </w:pPr>
      <w:r w:rsidRPr="00862EC3">
        <w:t>CONTAS DE GOVERNO. ENVIO DAS PEÇAS ORÇAMENTÁRIAS FORA DO PRAZO. INGRESSO EXTEMPORÂNEO DA PRESTAÇÃO DE CONTAS MENSAL. ENVIO INTEMPESTIVO DO BALANÇO GERAL. RENÚNCIA DE RECEITA DE IPTU. DIVERGÊNCIAS NAS INFORMAÇÕES CONSTANTES NO SAGRESCONTÁBIL E NA DOCUMENTAÇÃO WEB. GASTO COM OS PROFISSIONAIS DO MAGISTÉRIO/FUNDEB INFERIOR AO LIMITE LEGAL, ATINGINDO 55,03%. RESTOS A PAGAR DO PODER EXECUTIVO SEM COMPROVAÇÃO FINANCEIRA. SALDO NA CONTA DEPÓSITO SEM DISPONIBILIDADE FINANCEIRA. BLOQUEIO DE CONTAS POR ATRASO SALARIAL.</w:t>
      </w:r>
    </w:p>
    <w:p w:rsidR="00B54025" w:rsidRPr="00862EC3" w:rsidRDefault="009453FB" w:rsidP="00B1111C">
      <w:pPr>
        <w:ind w:left="2268"/>
        <w:jc w:val="both"/>
      </w:pPr>
      <w:r w:rsidRPr="00862EC3">
        <w:t xml:space="preserve">1. O art. 47 da Resolução TCE/PI nº 39/2015, dispõe sobre o prazo de reenvio de peças rejeitadas por inconformidade no formato exigido no Sistema Documentação Web. </w:t>
      </w:r>
    </w:p>
    <w:p w:rsidR="00B54025" w:rsidRPr="00862EC3" w:rsidRDefault="009453FB" w:rsidP="00B1111C">
      <w:pPr>
        <w:ind w:left="2268"/>
        <w:jc w:val="both"/>
      </w:pPr>
      <w:r w:rsidRPr="00862EC3">
        <w:t xml:space="preserve">2. A Resolução nº 39/2015 em seu art. 4º define o prazo para envio do Balanço Geral. </w:t>
      </w:r>
    </w:p>
    <w:p w:rsidR="00B54025" w:rsidRPr="00862EC3" w:rsidRDefault="009453FB" w:rsidP="00B1111C">
      <w:pPr>
        <w:ind w:left="2268"/>
        <w:jc w:val="both"/>
      </w:pPr>
      <w:r w:rsidRPr="00862EC3">
        <w:t xml:space="preserve">3. O artigo 14 da LRF é claro e objetivo no que toca ao estabelecimento de requisitos e condições para que leis concessivas de benefícios ou incentivos fiscais sejam consideradas legais do ponto de vista da responsabilidade fiscal dos administradores públicos. </w:t>
      </w:r>
    </w:p>
    <w:p w:rsidR="00B54025" w:rsidRPr="00862EC3" w:rsidRDefault="009453FB" w:rsidP="00B1111C">
      <w:pPr>
        <w:ind w:left="2268"/>
        <w:jc w:val="both"/>
      </w:pPr>
      <w:r w:rsidRPr="00862EC3">
        <w:t xml:space="preserve">4. A observância do art. 5º da Resolução TCE nº 39/2015, dispõe que os dados eletrônicos deverão apresentar-se em inteira conformidade com as informações dos documentos físicos que integram a prestação de contas. </w:t>
      </w:r>
    </w:p>
    <w:p w:rsidR="00B54025" w:rsidRPr="00862EC3" w:rsidRDefault="009453FB" w:rsidP="00B1111C">
      <w:pPr>
        <w:ind w:left="2268"/>
        <w:jc w:val="both"/>
        <w:rPr>
          <w:u w:val="single"/>
        </w:rPr>
      </w:pPr>
      <w:r w:rsidRPr="00862EC3">
        <w:rPr>
          <w:u w:val="single"/>
        </w:rPr>
        <w:t xml:space="preserve">5. O descumprimento do estabelecido no art. 60, § 5o do ADCT e no art. 22o, da Lei Federal no 11.494/07, é considerada como falha gravíssima que por si só já seria suficiente para Reprovação das Contas de Governo, conforme SÚMULA nº 09/2012. </w:t>
      </w:r>
    </w:p>
    <w:p w:rsidR="00B1111C" w:rsidRPr="00862EC3" w:rsidRDefault="009453FB" w:rsidP="00B1111C">
      <w:pPr>
        <w:ind w:left="2268"/>
        <w:jc w:val="both"/>
      </w:pPr>
      <w:r w:rsidRPr="00862EC3">
        <w:lastRenderedPageBreak/>
        <w:t>6. A inscrição em restos a pagar, sem cobertura financeira, afronta o princípio do equilíbrio orçamentário.</w:t>
      </w:r>
      <w:r w:rsidR="00B1111C" w:rsidRPr="00862EC3">
        <w:t xml:space="preserve"> </w:t>
      </w:r>
    </w:p>
    <w:p w:rsidR="00B1111C" w:rsidRPr="00862EC3" w:rsidRDefault="00B1111C" w:rsidP="00B1111C">
      <w:pPr>
        <w:ind w:left="2268"/>
        <w:jc w:val="both"/>
        <w:rPr>
          <w:b/>
        </w:rPr>
      </w:pPr>
      <w:r w:rsidRPr="00862EC3">
        <w:t xml:space="preserve">(Prestação de Contas. Processo </w:t>
      </w:r>
      <w:hyperlink r:id="rId17" w:history="1">
        <w:r w:rsidRPr="00862EC3">
          <w:rPr>
            <w:rStyle w:val="Hyperlink"/>
          </w:rPr>
          <w:t>TC/</w:t>
        </w:r>
        <w:r w:rsidR="006A1028" w:rsidRPr="00862EC3">
          <w:rPr>
            <w:rStyle w:val="Hyperlink"/>
            <w:bCs/>
          </w:rPr>
          <w:t>00</w:t>
        </w:r>
        <w:r w:rsidR="00B54025" w:rsidRPr="00862EC3">
          <w:rPr>
            <w:rStyle w:val="Hyperlink"/>
            <w:bCs/>
          </w:rPr>
          <w:t>2929</w:t>
        </w:r>
        <w:r w:rsidRPr="00862EC3">
          <w:rPr>
            <w:rStyle w:val="Hyperlink"/>
            <w:bCs/>
          </w:rPr>
          <w:t>/201</w:t>
        </w:r>
      </w:hyperlink>
      <w:r w:rsidR="00B54025" w:rsidRPr="00862EC3">
        <w:rPr>
          <w:rStyle w:val="Hyperlink"/>
          <w:bCs/>
        </w:rPr>
        <w:t>6</w:t>
      </w:r>
      <w:r w:rsidRPr="00862EC3">
        <w:t xml:space="preserve"> – Relator: </w:t>
      </w:r>
      <w:proofErr w:type="spellStart"/>
      <w:r w:rsidRPr="00862EC3">
        <w:t>Cons</w:t>
      </w:r>
      <w:r w:rsidR="00B54025" w:rsidRPr="00862EC3">
        <w:t>ª</w:t>
      </w:r>
      <w:proofErr w:type="spellEnd"/>
      <w:r w:rsidRPr="00862EC3">
        <w:t xml:space="preserve">. </w:t>
      </w:r>
      <w:r w:rsidR="00B54025" w:rsidRPr="00862EC3">
        <w:t>Lilian de Almeida Veloso Nunes Martins</w:t>
      </w:r>
      <w:r w:rsidRPr="00862EC3">
        <w:t xml:space="preserve">. </w:t>
      </w:r>
      <w:r w:rsidR="00B54025" w:rsidRPr="00862EC3">
        <w:t>Segunda</w:t>
      </w:r>
      <w:r w:rsidRPr="00862EC3">
        <w:t xml:space="preserve"> Câmara. Decisão Unânime. </w:t>
      </w:r>
      <w:r w:rsidR="006A1028" w:rsidRPr="00862EC3">
        <w:t>Parecer Prévio nº 1</w:t>
      </w:r>
      <w:r w:rsidR="00B54025" w:rsidRPr="00862EC3">
        <w:t>17/2019</w:t>
      </w:r>
      <w:r w:rsidRPr="00862EC3">
        <w:t xml:space="preserve"> publicado no </w:t>
      </w:r>
      <w:hyperlink r:id="rId18" w:history="1">
        <w:r w:rsidRPr="00862EC3">
          <w:rPr>
            <w:rStyle w:val="Hyperlink"/>
          </w:rPr>
          <w:t xml:space="preserve">DOE/TCE-PI º </w:t>
        </w:r>
        <w:r w:rsidR="00B54025" w:rsidRPr="00862EC3">
          <w:rPr>
            <w:rStyle w:val="Hyperlink"/>
          </w:rPr>
          <w:t>197/2019</w:t>
        </w:r>
      </w:hyperlink>
      <w:r w:rsidRPr="00862EC3">
        <w:rPr>
          <w:b/>
        </w:rPr>
        <w:t>)</w:t>
      </w:r>
      <w:r w:rsidR="00B54025" w:rsidRPr="00862EC3">
        <w:rPr>
          <w:b/>
        </w:rPr>
        <w:t>.</w:t>
      </w:r>
    </w:p>
    <w:p w:rsidR="00815DFB" w:rsidRPr="00862EC3" w:rsidRDefault="00815DFB" w:rsidP="009B50CE">
      <w:pPr>
        <w:keepNext/>
        <w:keepLines/>
        <w:tabs>
          <w:tab w:val="right" w:pos="8504"/>
        </w:tabs>
        <w:spacing w:before="480" w:after="0"/>
        <w:jc w:val="both"/>
        <w:outlineLvl w:val="0"/>
        <w:rPr>
          <w:color w:val="000000" w:themeColor="text1"/>
          <w:sz w:val="18"/>
          <w:szCs w:val="18"/>
        </w:rPr>
      </w:pPr>
      <w:bookmarkStart w:id="8" w:name="_Toc25581617"/>
      <w:r w:rsidRPr="00862EC3">
        <w:rPr>
          <w:rFonts w:asciiTheme="majorHAnsi" w:eastAsiaTheme="majorEastAsia" w:hAnsiTheme="majorHAnsi" w:cstheme="majorBidi"/>
          <w:b/>
          <w:bCs/>
          <w:color w:val="365F91" w:themeColor="accent1" w:themeShade="BF"/>
          <w:sz w:val="28"/>
          <w:szCs w:val="28"/>
        </w:rPr>
        <w:t>PREVIDÊNCIA</w:t>
      </w:r>
      <w:bookmarkEnd w:id="8"/>
      <w:r w:rsidRPr="00862EC3">
        <w:rPr>
          <w:b/>
          <w:color w:val="FF0000"/>
          <w:sz w:val="18"/>
          <w:szCs w:val="18"/>
        </w:rPr>
        <w:tab/>
      </w:r>
      <w:r w:rsidRPr="00862EC3">
        <w:rPr>
          <w:bCs/>
          <w:i/>
          <w:color w:val="000000" w:themeColor="text1"/>
          <w:sz w:val="18"/>
          <w:szCs w:val="18"/>
        </w:rPr>
        <w:t xml:space="preserve"> </w:t>
      </w:r>
    </w:p>
    <w:p w:rsidR="002B5F91" w:rsidRPr="00862EC3" w:rsidRDefault="002B5F91" w:rsidP="002B5F91">
      <w:pPr>
        <w:pStyle w:val="Ttulo2"/>
        <w:jc w:val="both"/>
      </w:pPr>
      <w:bookmarkStart w:id="9" w:name="_Toc25581618"/>
      <w:r w:rsidRPr="00862EC3">
        <w:t xml:space="preserve">Previdência. </w:t>
      </w:r>
      <w:r w:rsidR="00254BD6" w:rsidRPr="00862EC3">
        <w:t>Aposentadoria de Servidor Ingresso no Serviço Público sem Realização de Concurso.</w:t>
      </w:r>
      <w:bookmarkEnd w:id="9"/>
      <w:r w:rsidRPr="00862EC3">
        <w:t xml:space="preserve"> </w:t>
      </w:r>
    </w:p>
    <w:p w:rsidR="002B5F91" w:rsidRPr="00862EC3" w:rsidRDefault="002B5F91" w:rsidP="002B5F91">
      <w:pPr>
        <w:ind w:left="2268"/>
        <w:jc w:val="both"/>
      </w:pPr>
    </w:p>
    <w:p w:rsidR="006D7575" w:rsidRPr="00862EC3" w:rsidRDefault="006D7575" w:rsidP="002B5F91">
      <w:pPr>
        <w:ind w:left="2268"/>
        <w:jc w:val="both"/>
      </w:pPr>
      <w:r w:rsidRPr="00862EC3">
        <w:t>PREVIDÊNCIA. APOSENTADORIA DE SERVIDOR PÚBLICO. INGRESSO NO SERVIÇO PÚBLICO SEM CONCURSO PÚBLICO APÓS A PROMULGAÇÃO DA CONSTITUIÇÃO FEDERAL. ATENDIMENTO DE DECISÃO JUDICIAL AUTORIZANDO A APOSENTADORIA.</w:t>
      </w:r>
    </w:p>
    <w:p w:rsidR="002B5F91" w:rsidRPr="00862EC3" w:rsidRDefault="006D7575" w:rsidP="002B5F91">
      <w:pPr>
        <w:ind w:left="2268"/>
        <w:jc w:val="both"/>
      </w:pPr>
      <w:r w:rsidRPr="00862EC3">
        <w:t>Embora o servidor tenha ingressado no serviço público após a promulgação da CF/88, sem realização de concurso público, o ato concessório merece ser registrado por força de decisão judicial.</w:t>
      </w:r>
    </w:p>
    <w:p w:rsidR="002B5F91" w:rsidRDefault="002B5F91" w:rsidP="00C544E0">
      <w:pPr>
        <w:ind w:left="2268"/>
        <w:jc w:val="both"/>
      </w:pPr>
      <w:r w:rsidRPr="00862EC3">
        <w:t>(</w:t>
      </w:r>
      <w:r w:rsidR="00C544E0" w:rsidRPr="00862EC3">
        <w:t>Recurso de Reconsideração</w:t>
      </w:r>
      <w:r w:rsidRPr="00862EC3">
        <w:t xml:space="preserve">. Processo </w:t>
      </w:r>
      <w:hyperlink r:id="rId19" w:history="1">
        <w:r w:rsidRPr="00862EC3">
          <w:rPr>
            <w:rStyle w:val="Hyperlink"/>
          </w:rPr>
          <w:t>TC/</w:t>
        </w:r>
        <w:r w:rsidR="00C544E0" w:rsidRPr="00862EC3">
          <w:rPr>
            <w:rStyle w:val="Hyperlink"/>
            <w:bCs/>
          </w:rPr>
          <w:t>0</w:t>
        </w:r>
        <w:r w:rsidR="006D7575" w:rsidRPr="00862EC3">
          <w:rPr>
            <w:rStyle w:val="Hyperlink"/>
            <w:bCs/>
          </w:rPr>
          <w:t>0</w:t>
        </w:r>
        <w:r w:rsidR="00C544E0" w:rsidRPr="00862EC3">
          <w:rPr>
            <w:rStyle w:val="Hyperlink"/>
            <w:bCs/>
          </w:rPr>
          <w:t>1</w:t>
        </w:r>
        <w:r w:rsidR="006D7575" w:rsidRPr="00862EC3">
          <w:rPr>
            <w:rStyle w:val="Hyperlink"/>
            <w:bCs/>
          </w:rPr>
          <w:t>990</w:t>
        </w:r>
        <w:r w:rsidR="00C544E0" w:rsidRPr="00862EC3">
          <w:rPr>
            <w:rStyle w:val="Hyperlink"/>
            <w:bCs/>
          </w:rPr>
          <w:t>/201</w:t>
        </w:r>
      </w:hyperlink>
      <w:r w:rsidR="006D7575" w:rsidRPr="00862EC3">
        <w:rPr>
          <w:rStyle w:val="Hyperlink"/>
          <w:bCs/>
        </w:rPr>
        <w:t>7</w:t>
      </w:r>
      <w:r w:rsidRPr="00862EC3">
        <w:t xml:space="preserve"> – </w:t>
      </w:r>
      <w:r w:rsidR="006D7575" w:rsidRPr="00862EC3">
        <w:t>Relator: Cons. Substituto Alisson Felipe de Araújo.</w:t>
      </w:r>
      <w:r w:rsidRPr="00862EC3">
        <w:t xml:space="preserve"> </w:t>
      </w:r>
      <w:r w:rsidR="006D7575" w:rsidRPr="00862EC3">
        <w:t>Segunda Câmara</w:t>
      </w:r>
      <w:r w:rsidRPr="00862EC3">
        <w:t xml:space="preserve">. Decisão por maioria. Acórdão nº </w:t>
      </w:r>
      <w:r w:rsidR="006D7575" w:rsidRPr="00862EC3">
        <w:t>1.255/2019</w:t>
      </w:r>
      <w:r w:rsidRPr="00862EC3">
        <w:t xml:space="preserve"> publicado no </w:t>
      </w:r>
      <w:hyperlink r:id="rId20" w:history="1">
        <w:r w:rsidRPr="00862EC3">
          <w:rPr>
            <w:rStyle w:val="Hyperlink"/>
          </w:rPr>
          <w:t xml:space="preserve">DOE/TCE-PI º </w:t>
        </w:r>
        <w:r w:rsidR="00C544E0" w:rsidRPr="00862EC3">
          <w:rPr>
            <w:rStyle w:val="Hyperlink"/>
          </w:rPr>
          <w:t>1</w:t>
        </w:r>
        <w:r w:rsidR="006D7575" w:rsidRPr="00862EC3">
          <w:rPr>
            <w:rStyle w:val="Hyperlink"/>
          </w:rPr>
          <w:t>91</w:t>
        </w:r>
        <w:r w:rsidRPr="00862EC3">
          <w:rPr>
            <w:rStyle w:val="Hyperlink"/>
          </w:rPr>
          <w:t>/1</w:t>
        </w:r>
      </w:hyperlink>
      <w:proofErr w:type="gramStart"/>
      <w:r w:rsidR="006D7575" w:rsidRPr="00862EC3">
        <w:rPr>
          <w:rStyle w:val="Hyperlink"/>
        </w:rPr>
        <w:t>9</w:t>
      </w:r>
      <w:proofErr w:type="gramEnd"/>
      <w:r w:rsidRPr="00862EC3">
        <w:t>)</w:t>
      </w:r>
    </w:p>
    <w:sectPr w:rsidR="002B5F91" w:rsidSect="002820DA">
      <w:head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3AF" w:rsidRDefault="00EC13AF" w:rsidP="002820DA">
      <w:pPr>
        <w:spacing w:after="0" w:line="240" w:lineRule="auto"/>
      </w:pPr>
      <w:r>
        <w:separator/>
      </w:r>
    </w:p>
  </w:endnote>
  <w:endnote w:type="continuationSeparator" w:id="0">
    <w:p w:rsidR="00EC13AF" w:rsidRDefault="00EC13AF"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1"/>
    <w:family w:val="roman"/>
    <w:notTrueType/>
    <w:pitch w:val="variable"/>
    <w:sig w:usb0="00002000" w:usb1="00000000" w:usb2="00000000" w:usb3="00000000" w:csb0="00000000"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3AF" w:rsidRDefault="00EC13AF" w:rsidP="002820DA">
      <w:pPr>
        <w:spacing w:after="0" w:line="240" w:lineRule="auto"/>
      </w:pPr>
      <w:r>
        <w:separator/>
      </w:r>
    </w:p>
  </w:footnote>
  <w:footnote w:type="continuationSeparator" w:id="0">
    <w:p w:rsidR="00EC13AF" w:rsidRDefault="00EC13AF"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EC13AF" w:rsidTr="00B97A73">
      <w:trPr>
        <w:trHeight w:val="908"/>
        <w:jc w:val="center"/>
      </w:trPr>
      <w:tc>
        <w:tcPr>
          <w:tcW w:w="1560" w:type="dxa"/>
        </w:tcPr>
        <w:p w:rsidR="00EC13AF" w:rsidRDefault="00EC13AF" w:rsidP="00B97A73">
          <w:pPr>
            <w:pStyle w:val="Cabealho"/>
            <w:jc w:val="center"/>
          </w:pPr>
          <w:r>
            <w:rPr>
              <w:noProof/>
              <w:lang w:eastAsia="pt-BR"/>
            </w:rPr>
            <w:drawing>
              <wp:inline distT="0" distB="0" distL="0" distR="0" wp14:anchorId="64EEDD82" wp14:editId="3AB4BB97">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EC13AF" w:rsidRDefault="00EC13AF" w:rsidP="00B97A73">
          <w:pPr>
            <w:rPr>
              <w:rFonts w:ascii="Arial" w:hAnsi="Arial"/>
              <w:sz w:val="48"/>
            </w:rPr>
          </w:pPr>
          <w:r>
            <w:rPr>
              <w:rFonts w:ascii="Arial" w:hAnsi="Arial"/>
              <w:sz w:val="48"/>
            </w:rPr>
            <w:t>Estado do Piauí</w:t>
          </w:r>
        </w:p>
        <w:p w:rsidR="00EC13AF" w:rsidRDefault="00EC13AF" w:rsidP="00B97A73">
          <w:r>
            <w:rPr>
              <w:rFonts w:ascii="Arial" w:hAnsi="Arial"/>
              <w:sz w:val="48"/>
            </w:rPr>
            <w:t>Tribunal de Contas</w:t>
          </w:r>
        </w:p>
      </w:tc>
      <w:tc>
        <w:tcPr>
          <w:tcW w:w="1559" w:type="dxa"/>
          <w:vAlign w:val="center"/>
        </w:tcPr>
        <w:p w:rsidR="00EC13AF" w:rsidRDefault="00EC13AF" w:rsidP="00B97A73">
          <w:pPr>
            <w:pStyle w:val="Cabealho"/>
            <w:jc w:val="center"/>
          </w:pPr>
          <w:r>
            <w:rPr>
              <w:noProof/>
              <w:lang w:eastAsia="pt-BR"/>
            </w:rPr>
            <w:drawing>
              <wp:inline distT="0" distB="0" distL="0" distR="0" wp14:anchorId="428D50E5" wp14:editId="42652E25">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EC13AF" w:rsidRDefault="00EC13A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8">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7DE74B50"/>
    <w:multiLevelType w:val="hybridMultilevel"/>
    <w:tmpl w:val="E6F4D73C"/>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27"/>
  </w:num>
  <w:num w:numId="3">
    <w:abstractNumId w:val="18"/>
  </w:num>
  <w:num w:numId="4">
    <w:abstractNumId w:val="10"/>
  </w:num>
  <w:num w:numId="5">
    <w:abstractNumId w:val="9"/>
  </w:num>
  <w:num w:numId="6">
    <w:abstractNumId w:val="5"/>
  </w:num>
  <w:num w:numId="7">
    <w:abstractNumId w:val="12"/>
  </w:num>
  <w:num w:numId="8">
    <w:abstractNumId w:val="1"/>
  </w:num>
  <w:num w:numId="9">
    <w:abstractNumId w:val="8"/>
  </w:num>
  <w:num w:numId="10">
    <w:abstractNumId w:val="23"/>
  </w:num>
  <w:num w:numId="11">
    <w:abstractNumId w:val="21"/>
  </w:num>
  <w:num w:numId="12">
    <w:abstractNumId w:val="19"/>
  </w:num>
  <w:num w:numId="13">
    <w:abstractNumId w:val="15"/>
  </w:num>
  <w:num w:numId="14">
    <w:abstractNumId w:val="20"/>
  </w:num>
  <w:num w:numId="15">
    <w:abstractNumId w:val="13"/>
  </w:num>
  <w:num w:numId="16">
    <w:abstractNumId w:val="6"/>
  </w:num>
  <w:num w:numId="17">
    <w:abstractNumId w:val="29"/>
  </w:num>
  <w:num w:numId="18">
    <w:abstractNumId w:val="14"/>
  </w:num>
  <w:num w:numId="19">
    <w:abstractNumId w:val="11"/>
  </w:num>
  <w:num w:numId="20">
    <w:abstractNumId w:val="24"/>
  </w:num>
  <w:num w:numId="21">
    <w:abstractNumId w:val="3"/>
  </w:num>
  <w:num w:numId="22">
    <w:abstractNumId w:val="17"/>
  </w:num>
  <w:num w:numId="23">
    <w:abstractNumId w:val="16"/>
  </w:num>
  <w:num w:numId="24">
    <w:abstractNumId w:val="28"/>
  </w:num>
  <w:num w:numId="25">
    <w:abstractNumId w:val="26"/>
  </w:num>
  <w:num w:numId="26">
    <w:abstractNumId w:val="2"/>
  </w:num>
  <w:num w:numId="27">
    <w:abstractNumId w:val="25"/>
  </w:num>
  <w:num w:numId="28">
    <w:abstractNumId w:val="4"/>
  </w:num>
  <w:num w:numId="29">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0556C"/>
    <w:rsid w:val="00005DFF"/>
    <w:rsid w:val="00005F5E"/>
    <w:rsid w:val="00011FD1"/>
    <w:rsid w:val="0001277E"/>
    <w:rsid w:val="0001486E"/>
    <w:rsid w:val="00014A04"/>
    <w:rsid w:val="00014F92"/>
    <w:rsid w:val="0001708E"/>
    <w:rsid w:val="000215FE"/>
    <w:rsid w:val="00024142"/>
    <w:rsid w:val="00037C09"/>
    <w:rsid w:val="0004021F"/>
    <w:rsid w:val="00040DAB"/>
    <w:rsid w:val="000426B2"/>
    <w:rsid w:val="00047F55"/>
    <w:rsid w:val="00050D44"/>
    <w:rsid w:val="00052CAC"/>
    <w:rsid w:val="00054D87"/>
    <w:rsid w:val="00061F07"/>
    <w:rsid w:val="00062E25"/>
    <w:rsid w:val="000667F7"/>
    <w:rsid w:val="00076775"/>
    <w:rsid w:val="0007785F"/>
    <w:rsid w:val="00080353"/>
    <w:rsid w:val="0008778A"/>
    <w:rsid w:val="000942DD"/>
    <w:rsid w:val="00094E6D"/>
    <w:rsid w:val="000979EE"/>
    <w:rsid w:val="00097C4D"/>
    <w:rsid w:val="000A1BB6"/>
    <w:rsid w:val="000A5BED"/>
    <w:rsid w:val="000A663B"/>
    <w:rsid w:val="000A6F36"/>
    <w:rsid w:val="000A7909"/>
    <w:rsid w:val="000B369B"/>
    <w:rsid w:val="000B36F9"/>
    <w:rsid w:val="000B4599"/>
    <w:rsid w:val="000C211D"/>
    <w:rsid w:val="000C539D"/>
    <w:rsid w:val="000D0D20"/>
    <w:rsid w:val="000D2EA4"/>
    <w:rsid w:val="000D667D"/>
    <w:rsid w:val="000E12AE"/>
    <w:rsid w:val="000E14D6"/>
    <w:rsid w:val="000E4E0F"/>
    <w:rsid w:val="000E55AC"/>
    <w:rsid w:val="000E6166"/>
    <w:rsid w:val="000E7AEF"/>
    <w:rsid w:val="000F27DB"/>
    <w:rsid w:val="001059D3"/>
    <w:rsid w:val="001126AE"/>
    <w:rsid w:val="00112ADF"/>
    <w:rsid w:val="0011418C"/>
    <w:rsid w:val="00120B62"/>
    <w:rsid w:val="00130956"/>
    <w:rsid w:val="00136668"/>
    <w:rsid w:val="0013746C"/>
    <w:rsid w:val="00137B51"/>
    <w:rsid w:val="00137FF9"/>
    <w:rsid w:val="00142989"/>
    <w:rsid w:val="00145768"/>
    <w:rsid w:val="0015172F"/>
    <w:rsid w:val="0016444A"/>
    <w:rsid w:val="001715AE"/>
    <w:rsid w:val="00184BC9"/>
    <w:rsid w:val="0018563F"/>
    <w:rsid w:val="001858C9"/>
    <w:rsid w:val="0019200D"/>
    <w:rsid w:val="001961E2"/>
    <w:rsid w:val="0019691A"/>
    <w:rsid w:val="001A50E2"/>
    <w:rsid w:val="001A7419"/>
    <w:rsid w:val="001B2D56"/>
    <w:rsid w:val="001B4FEC"/>
    <w:rsid w:val="001B6C8C"/>
    <w:rsid w:val="001C2B7B"/>
    <w:rsid w:val="001C7880"/>
    <w:rsid w:val="001D139B"/>
    <w:rsid w:val="001D286C"/>
    <w:rsid w:val="001D3B73"/>
    <w:rsid w:val="001D3CE7"/>
    <w:rsid w:val="001D49D0"/>
    <w:rsid w:val="001D5282"/>
    <w:rsid w:val="001E7E45"/>
    <w:rsid w:val="001F2D79"/>
    <w:rsid w:val="001F3E4C"/>
    <w:rsid w:val="001F5F9C"/>
    <w:rsid w:val="001F62A9"/>
    <w:rsid w:val="0020124E"/>
    <w:rsid w:val="0020150C"/>
    <w:rsid w:val="0020179D"/>
    <w:rsid w:val="002061ED"/>
    <w:rsid w:val="00207992"/>
    <w:rsid w:val="00212287"/>
    <w:rsid w:val="002135AB"/>
    <w:rsid w:val="00213E68"/>
    <w:rsid w:val="0021509C"/>
    <w:rsid w:val="00221C3F"/>
    <w:rsid w:val="00225423"/>
    <w:rsid w:val="002254BE"/>
    <w:rsid w:val="002257D3"/>
    <w:rsid w:val="00231552"/>
    <w:rsid w:val="00237A61"/>
    <w:rsid w:val="002401D0"/>
    <w:rsid w:val="00244779"/>
    <w:rsid w:val="00244D18"/>
    <w:rsid w:val="002450CD"/>
    <w:rsid w:val="00250A87"/>
    <w:rsid w:val="002539D4"/>
    <w:rsid w:val="00254BD6"/>
    <w:rsid w:val="0028070B"/>
    <w:rsid w:val="002820DA"/>
    <w:rsid w:val="0028376F"/>
    <w:rsid w:val="00286C02"/>
    <w:rsid w:val="00293C66"/>
    <w:rsid w:val="00293EE7"/>
    <w:rsid w:val="002953A3"/>
    <w:rsid w:val="002B082E"/>
    <w:rsid w:val="002B36F5"/>
    <w:rsid w:val="002B55A2"/>
    <w:rsid w:val="002B5F91"/>
    <w:rsid w:val="002B702E"/>
    <w:rsid w:val="002B7269"/>
    <w:rsid w:val="002B729F"/>
    <w:rsid w:val="002B7344"/>
    <w:rsid w:val="002B77D3"/>
    <w:rsid w:val="002C29F4"/>
    <w:rsid w:val="002C38B4"/>
    <w:rsid w:val="002C4D04"/>
    <w:rsid w:val="002C56A7"/>
    <w:rsid w:val="002C605B"/>
    <w:rsid w:val="002C70F2"/>
    <w:rsid w:val="002C7EDC"/>
    <w:rsid w:val="002D09C4"/>
    <w:rsid w:val="002D13DD"/>
    <w:rsid w:val="002D4AAC"/>
    <w:rsid w:val="002E3996"/>
    <w:rsid w:val="002E5C39"/>
    <w:rsid w:val="002F19A3"/>
    <w:rsid w:val="002F2DD9"/>
    <w:rsid w:val="002F4D6D"/>
    <w:rsid w:val="002F6317"/>
    <w:rsid w:val="002F6922"/>
    <w:rsid w:val="002F6BD8"/>
    <w:rsid w:val="002F7017"/>
    <w:rsid w:val="003001D4"/>
    <w:rsid w:val="003002C2"/>
    <w:rsid w:val="003006F8"/>
    <w:rsid w:val="003029E3"/>
    <w:rsid w:val="00312F4D"/>
    <w:rsid w:val="003203F4"/>
    <w:rsid w:val="0032644A"/>
    <w:rsid w:val="00326C70"/>
    <w:rsid w:val="003274E2"/>
    <w:rsid w:val="003277A4"/>
    <w:rsid w:val="0033120B"/>
    <w:rsid w:val="003313A3"/>
    <w:rsid w:val="00332976"/>
    <w:rsid w:val="00333CF2"/>
    <w:rsid w:val="003374D2"/>
    <w:rsid w:val="003376CA"/>
    <w:rsid w:val="00340491"/>
    <w:rsid w:val="00341A9D"/>
    <w:rsid w:val="00342AF8"/>
    <w:rsid w:val="00342D39"/>
    <w:rsid w:val="003436F6"/>
    <w:rsid w:val="00344E91"/>
    <w:rsid w:val="0035270B"/>
    <w:rsid w:val="0035459F"/>
    <w:rsid w:val="00356E4F"/>
    <w:rsid w:val="00362E90"/>
    <w:rsid w:val="00363C9C"/>
    <w:rsid w:val="00366F7A"/>
    <w:rsid w:val="00367112"/>
    <w:rsid w:val="0037060C"/>
    <w:rsid w:val="0037083C"/>
    <w:rsid w:val="00370C1F"/>
    <w:rsid w:val="00377815"/>
    <w:rsid w:val="00382A21"/>
    <w:rsid w:val="0038361A"/>
    <w:rsid w:val="00383906"/>
    <w:rsid w:val="00384D82"/>
    <w:rsid w:val="00384E1B"/>
    <w:rsid w:val="003941A3"/>
    <w:rsid w:val="00397B61"/>
    <w:rsid w:val="003A59D9"/>
    <w:rsid w:val="003B1AB5"/>
    <w:rsid w:val="003B2A4B"/>
    <w:rsid w:val="003B46E4"/>
    <w:rsid w:val="003B5863"/>
    <w:rsid w:val="003C4435"/>
    <w:rsid w:val="003C4483"/>
    <w:rsid w:val="003D257A"/>
    <w:rsid w:val="003D35C3"/>
    <w:rsid w:val="003D6961"/>
    <w:rsid w:val="003D7A39"/>
    <w:rsid w:val="003E10E5"/>
    <w:rsid w:val="003E7B28"/>
    <w:rsid w:val="003F092E"/>
    <w:rsid w:val="003F0A02"/>
    <w:rsid w:val="003F1DCA"/>
    <w:rsid w:val="003F2438"/>
    <w:rsid w:val="003F3C2C"/>
    <w:rsid w:val="003F598C"/>
    <w:rsid w:val="0040433C"/>
    <w:rsid w:val="00405437"/>
    <w:rsid w:val="00405D05"/>
    <w:rsid w:val="004115A4"/>
    <w:rsid w:val="004161E1"/>
    <w:rsid w:val="00422D7C"/>
    <w:rsid w:val="004251CB"/>
    <w:rsid w:val="00427798"/>
    <w:rsid w:val="0043606E"/>
    <w:rsid w:val="004401B6"/>
    <w:rsid w:val="004414FB"/>
    <w:rsid w:val="00444661"/>
    <w:rsid w:val="00450F95"/>
    <w:rsid w:val="00455BDA"/>
    <w:rsid w:val="00471A8A"/>
    <w:rsid w:val="00474577"/>
    <w:rsid w:val="00475C01"/>
    <w:rsid w:val="00475E4B"/>
    <w:rsid w:val="0047687F"/>
    <w:rsid w:val="00487735"/>
    <w:rsid w:val="0049051D"/>
    <w:rsid w:val="004A296A"/>
    <w:rsid w:val="004A537E"/>
    <w:rsid w:val="004A78AF"/>
    <w:rsid w:val="004B0713"/>
    <w:rsid w:val="004B0EE1"/>
    <w:rsid w:val="004B1FBA"/>
    <w:rsid w:val="004B5422"/>
    <w:rsid w:val="004B6731"/>
    <w:rsid w:val="004C0AD8"/>
    <w:rsid w:val="004C1D9E"/>
    <w:rsid w:val="004C4B65"/>
    <w:rsid w:val="004C5A3A"/>
    <w:rsid w:val="004D1E4B"/>
    <w:rsid w:val="004D3F4A"/>
    <w:rsid w:val="004D5B0F"/>
    <w:rsid w:val="004D63D3"/>
    <w:rsid w:val="004D7E67"/>
    <w:rsid w:val="004E399C"/>
    <w:rsid w:val="004E3A87"/>
    <w:rsid w:val="004E57C5"/>
    <w:rsid w:val="004E7FA1"/>
    <w:rsid w:val="004F2440"/>
    <w:rsid w:val="004F3E19"/>
    <w:rsid w:val="004F462E"/>
    <w:rsid w:val="004F59E2"/>
    <w:rsid w:val="004F798E"/>
    <w:rsid w:val="00501BC1"/>
    <w:rsid w:val="00502686"/>
    <w:rsid w:val="005030E6"/>
    <w:rsid w:val="00506110"/>
    <w:rsid w:val="00510585"/>
    <w:rsid w:val="00510867"/>
    <w:rsid w:val="00515533"/>
    <w:rsid w:val="005202C1"/>
    <w:rsid w:val="005224D0"/>
    <w:rsid w:val="00526143"/>
    <w:rsid w:val="00531402"/>
    <w:rsid w:val="005337BB"/>
    <w:rsid w:val="005347CF"/>
    <w:rsid w:val="00535863"/>
    <w:rsid w:val="00537D47"/>
    <w:rsid w:val="0054156F"/>
    <w:rsid w:val="005451D4"/>
    <w:rsid w:val="00545E53"/>
    <w:rsid w:val="00551259"/>
    <w:rsid w:val="00553BEE"/>
    <w:rsid w:val="005543FE"/>
    <w:rsid w:val="00557BAE"/>
    <w:rsid w:val="005601A9"/>
    <w:rsid w:val="005605E2"/>
    <w:rsid w:val="00563807"/>
    <w:rsid w:val="0056469B"/>
    <w:rsid w:val="005730AE"/>
    <w:rsid w:val="00574FCA"/>
    <w:rsid w:val="00590AA4"/>
    <w:rsid w:val="005A56C7"/>
    <w:rsid w:val="005B204F"/>
    <w:rsid w:val="005B415D"/>
    <w:rsid w:val="005B6338"/>
    <w:rsid w:val="005C2AD1"/>
    <w:rsid w:val="005D12D5"/>
    <w:rsid w:val="005D17AD"/>
    <w:rsid w:val="005D3566"/>
    <w:rsid w:val="005D4485"/>
    <w:rsid w:val="005E0768"/>
    <w:rsid w:val="005E23CB"/>
    <w:rsid w:val="005E6BF0"/>
    <w:rsid w:val="005F2C35"/>
    <w:rsid w:val="005F532A"/>
    <w:rsid w:val="005F70F5"/>
    <w:rsid w:val="0060514D"/>
    <w:rsid w:val="00612718"/>
    <w:rsid w:val="00635C38"/>
    <w:rsid w:val="00635F62"/>
    <w:rsid w:val="00636C95"/>
    <w:rsid w:val="006412E9"/>
    <w:rsid w:val="006414BE"/>
    <w:rsid w:val="00644E2F"/>
    <w:rsid w:val="0064577D"/>
    <w:rsid w:val="0064685C"/>
    <w:rsid w:val="0065004F"/>
    <w:rsid w:val="00650581"/>
    <w:rsid w:val="00650F7E"/>
    <w:rsid w:val="00651DB1"/>
    <w:rsid w:val="00652385"/>
    <w:rsid w:val="0065305D"/>
    <w:rsid w:val="00653434"/>
    <w:rsid w:val="006566C2"/>
    <w:rsid w:val="00661135"/>
    <w:rsid w:val="006644FC"/>
    <w:rsid w:val="006700D5"/>
    <w:rsid w:val="00672D16"/>
    <w:rsid w:val="00674F7C"/>
    <w:rsid w:val="00676FBE"/>
    <w:rsid w:val="00683D48"/>
    <w:rsid w:val="00684289"/>
    <w:rsid w:val="00693AB6"/>
    <w:rsid w:val="006940B3"/>
    <w:rsid w:val="0069523A"/>
    <w:rsid w:val="00696302"/>
    <w:rsid w:val="006A1028"/>
    <w:rsid w:val="006A191A"/>
    <w:rsid w:val="006A280C"/>
    <w:rsid w:val="006B0E6E"/>
    <w:rsid w:val="006B11B7"/>
    <w:rsid w:val="006B40A1"/>
    <w:rsid w:val="006B706C"/>
    <w:rsid w:val="006C2540"/>
    <w:rsid w:val="006C2C55"/>
    <w:rsid w:val="006D07BE"/>
    <w:rsid w:val="006D7575"/>
    <w:rsid w:val="006E02B2"/>
    <w:rsid w:val="006E5159"/>
    <w:rsid w:val="006E5931"/>
    <w:rsid w:val="006F1A7A"/>
    <w:rsid w:val="006F5066"/>
    <w:rsid w:val="00704CE5"/>
    <w:rsid w:val="00706451"/>
    <w:rsid w:val="00706770"/>
    <w:rsid w:val="00710176"/>
    <w:rsid w:val="00723A08"/>
    <w:rsid w:val="007253BF"/>
    <w:rsid w:val="00726343"/>
    <w:rsid w:val="00730FD0"/>
    <w:rsid w:val="0073650F"/>
    <w:rsid w:val="0074402D"/>
    <w:rsid w:val="00756D3A"/>
    <w:rsid w:val="007865AD"/>
    <w:rsid w:val="007906CB"/>
    <w:rsid w:val="0079346F"/>
    <w:rsid w:val="00794393"/>
    <w:rsid w:val="007A05F2"/>
    <w:rsid w:val="007A570E"/>
    <w:rsid w:val="007A61BF"/>
    <w:rsid w:val="007B0B9E"/>
    <w:rsid w:val="007B0F32"/>
    <w:rsid w:val="007B245F"/>
    <w:rsid w:val="007B48AA"/>
    <w:rsid w:val="007B6713"/>
    <w:rsid w:val="007C3C68"/>
    <w:rsid w:val="007C4C26"/>
    <w:rsid w:val="007D20AB"/>
    <w:rsid w:val="007D4E84"/>
    <w:rsid w:val="007E1758"/>
    <w:rsid w:val="007E2FC6"/>
    <w:rsid w:val="007E331E"/>
    <w:rsid w:val="007F0B28"/>
    <w:rsid w:val="007F0DA0"/>
    <w:rsid w:val="008070E9"/>
    <w:rsid w:val="00810BC9"/>
    <w:rsid w:val="00811E4F"/>
    <w:rsid w:val="0081374B"/>
    <w:rsid w:val="008157AE"/>
    <w:rsid w:val="00815DFB"/>
    <w:rsid w:val="008168E3"/>
    <w:rsid w:val="00817E56"/>
    <w:rsid w:val="0083112F"/>
    <w:rsid w:val="00833531"/>
    <w:rsid w:val="00833E9C"/>
    <w:rsid w:val="00843D16"/>
    <w:rsid w:val="00845B4F"/>
    <w:rsid w:val="00846356"/>
    <w:rsid w:val="00847444"/>
    <w:rsid w:val="00847EC1"/>
    <w:rsid w:val="0085007A"/>
    <w:rsid w:val="008527CF"/>
    <w:rsid w:val="00854BE8"/>
    <w:rsid w:val="00862EC3"/>
    <w:rsid w:val="00865A98"/>
    <w:rsid w:val="008703E0"/>
    <w:rsid w:val="008743C3"/>
    <w:rsid w:val="008815F4"/>
    <w:rsid w:val="008836C1"/>
    <w:rsid w:val="00884539"/>
    <w:rsid w:val="00890B6A"/>
    <w:rsid w:val="008946C7"/>
    <w:rsid w:val="008A3EC2"/>
    <w:rsid w:val="008A5DE5"/>
    <w:rsid w:val="008B0197"/>
    <w:rsid w:val="008B5427"/>
    <w:rsid w:val="008D1E58"/>
    <w:rsid w:val="008D34C5"/>
    <w:rsid w:val="008F2038"/>
    <w:rsid w:val="008F41CF"/>
    <w:rsid w:val="008F6BBB"/>
    <w:rsid w:val="009014C8"/>
    <w:rsid w:val="00902874"/>
    <w:rsid w:val="0090789D"/>
    <w:rsid w:val="00910A9A"/>
    <w:rsid w:val="0091470E"/>
    <w:rsid w:val="00916EBF"/>
    <w:rsid w:val="009219EA"/>
    <w:rsid w:val="009237D3"/>
    <w:rsid w:val="00924636"/>
    <w:rsid w:val="009250DF"/>
    <w:rsid w:val="00926230"/>
    <w:rsid w:val="009306FE"/>
    <w:rsid w:val="0093115D"/>
    <w:rsid w:val="0093263D"/>
    <w:rsid w:val="00932E25"/>
    <w:rsid w:val="0093369C"/>
    <w:rsid w:val="00934450"/>
    <w:rsid w:val="0093604A"/>
    <w:rsid w:val="00937F99"/>
    <w:rsid w:val="00940AAF"/>
    <w:rsid w:val="009453FB"/>
    <w:rsid w:val="00946B75"/>
    <w:rsid w:val="00951A65"/>
    <w:rsid w:val="00961DCB"/>
    <w:rsid w:val="00963342"/>
    <w:rsid w:val="00970E3F"/>
    <w:rsid w:val="00975E4A"/>
    <w:rsid w:val="00976252"/>
    <w:rsid w:val="00984809"/>
    <w:rsid w:val="00987B9D"/>
    <w:rsid w:val="00991BC6"/>
    <w:rsid w:val="0099464A"/>
    <w:rsid w:val="00997438"/>
    <w:rsid w:val="009A0821"/>
    <w:rsid w:val="009A127C"/>
    <w:rsid w:val="009A1ED8"/>
    <w:rsid w:val="009A2847"/>
    <w:rsid w:val="009A33F7"/>
    <w:rsid w:val="009A7C77"/>
    <w:rsid w:val="009B0859"/>
    <w:rsid w:val="009B15A8"/>
    <w:rsid w:val="009B1A41"/>
    <w:rsid w:val="009B20CD"/>
    <w:rsid w:val="009B50CE"/>
    <w:rsid w:val="009B7E21"/>
    <w:rsid w:val="009C01EE"/>
    <w:rsid w:val="009D03F8"/>
    <w:rsid w:val="009D0A2D"/>
    <w:rsid w:val="009D1C3D"/>
    <w:rsid w:val="009D34C3"/>
    <w:rsid w:val="009D3514"/>
    <w:rsid w:val="009D423A"/>
    <w:rsid w:val="009E21C5"/>
    <w:rsid w:val="009E7286"/>
    <w:rsid w:val="009E771F"/>
    <w:rsid w:val="009F1E12"/>
    <w:rsid w:val="009F2038"/>
    <w:rsid w:val="009F207C"/>
    <w:rsid w:val="009F3257"/>
    <w:rsid w:val="00A06403"/>
    <w:rsid w:val="00A07890"/>
    <w:rsid w:val="00A2122E"/>
    <w:rsid w:val="00A265A6"/>
    <w:rsid w:val="00A278A0"/>
    <w:rsid w:val="00A30082"/>
    <w:rsid w:val="00A3072E"/>
    <w:rsid w:val="00A31D38"/>
    <w:rsid w:val="00A33AA4"/>
    <w:rsid w:val="00A3780F"/>
    <w:rsid w:val="00A412CD"/>
    <w:rsid w:val="00A41BA0"/>
    <w:rsid w:val="00A474B8"/>
    <w:rsid w:val="00A50921"/>
    <w:rsid w:val="00A523A9"/>
    <w:rsid w:val="00A621E6"/>
    <w:rsid w:val="00A643BA"/>
    <w:rsid w:val="00A67185"/>
    <w:rsid w:val="00A7650F"/>
    <w:rsid w:val="00A864FE"/>
    <w:rsid w:val="00A914C7"/>
    <w:rsid w:val="00AA3821"/>
    <w:rsid w:val="00AA4615"/>
    <w:rsid w:val="00AB3189"/>
    <w:rsid w:val="00AB4EBC"/>
    <w:rsid w:val="00AB6823"/>
    <w:rsid w:val="00AB6DDB"/>
    <w:rsid w:val="00AC1920"/>
    <w:rsid w:val="00AC1996"/>
    <w:rsid w:val="00AC1F4E"/>
    <w:rsid w:val="00AC3F3C"/>
    <w:rsid w:val="00AC6611"/>
    <w:rsid w:val="00AD0F5C"/>
    <w:rsid w:val="00AE237E"/>
    <w:rsid w:val="00AE4704"/>
    <w:rsid w:val="00AE773D"/>
    <w:rsid w:val="00AF0890"/>
    <w:rsid w:val="00AF0DEA"/>
    <w:rsid w:val="00B001BB"/>
    <w:rsid w:val="00B002B5"/>
    <w:rsid w:val="00B1111C"/>
    <w:rsid w:val="00B123B8"/>
    <w:rsid w:val="00B16454"/>
    <w:rsid w:val="00B2194C"/>
    <w:rsid w:val="00B26AC0"/>
    <w:rsid w:val="00B27365"/>
    <w:rsid w:val="00B30E61"/>
    <w:rsid w:val="00B41F13"/>
    <w:rsid w:val="00B42FF2"/>
    <w:rsid w:val="00B43DA2"/>
    <w:rsid w:val="00B4429A"/>
    <w:rsid w:val="00B54025"/>
    <w:rsid w:val="00B57222"/>
    <w:rsid w:val="00B578B6"/>
    <w:rsid w:val="00B613E9"/>
    <w:rsid w:val="00B675FB"/>
    <w:rsid w:val="00B830F8"/>
    <w:rsid w:val="00B851C8"/>
    <w:rsid w:val="00B86D83"/>
    <w:rsid w:val="00B9739D"/>
    <w:rsid w:val="00B97A73"/>
    <w:rsid w:val="00B97F46"/>
    <w:rsid w:val="00BA1385"/>
    <w:rsid w:val="00BB2481"/>
    <w:rsid w:val="00BB38F8"/>
    <w:rsid w:val="00BB4BC4"/>
    <w:rsid w:val="00BB51F7"/>
    <w:rsid w:val="00BB6799"/>
    <w:rsid w:val="00BB687F"/>
    <w:rsid w:val="00BC00A5"/>
    <w:rsid w:val="00BC0699"/>
    <w:rsid w:val="00BC26C5"/>
    <w:rsid w:val="00BC2CF2"/>
    <w:rsid w:val="00BC3C00"/>
    <w:rsid w:val="00BC4D70"/>
    <w:rsid w:val="00BC4F10"/>
    <w:rsid w:val="00BC5718"/>
    <w:rsid w:val="00BD4D73"/>
    <w:rsid w:val="00BD5D3A"/>
    <w:rsid w:val="00BE24D7"/>
    <w:rsid w:val="00BE34A4"/>
    <w:rsid w:val="00BE5D19"/>
    <w:rsid w:val="00BF7962"/>
    <w:rsid w:val="00C03358"/>
    <w:rsid w:val="00C113CD"/>
    <w:rsid w:val="00C12C00"/>
    <w:rsid w:val="00C147C2"/>
    <w:rsid w:val="00C14D66"/>
    <w:rsid w:val="00C27FB9"/>
    <w:rsid w:val="00C31F27"/>
    <w:rsid w:val="00C36C2A"/>
    <w:rsid w:val="00C36DD5"/>
    <w:rsid w:val="00C375F2"/>
    <w:rsid w:val="00C378FD"/>
    <w:rsid w:val="00C4031B"/>
    <w:rsid w:val="00C40F58"/>
    <w:rsid w:val="00C41DFD"/>
    <w:rsid w:val="00C42000"/>
    <w:rsid w:val="00C43545"/>
    <w:rsid w:val="00C502A6"/>
    <w:rsid w:val="00C52F07"/>
    <w:rsid w:val="00C544E0"/>
    <w:rsid w:val="00C619A4"/>
    <w:rsid w:val="00C62523"/>
    <w:rsid w:val="00C653C9"/>
    <w:rsid w:val="00C71836"/>
    <w:rsid w:val="00C81AEB"/>
    <w:rsid w:val="00C84C39"/>
    <w:rsid w:val="00C85D14"/>
    <w:rsid w:val="00C86F31"/>
    <w:rsid w:val="00C9172B"/>
    <w:rsid w:val="00C92A9A"/>
    <w:rsid w:val="00CA17BE"/>
    <w:rsid w:val="00CA549C"/>
    <w:rsid w:val="00CA62B3"/>
    <w:rsid w:val="00CA7FF6"/>
    <w:rsid w:val="00CC1507"/>
    <w:rsid w:val="00CC2285"/>
    <w:rsid w:val="00CC57F2"/>
    <w:rsid w:val="00CC5932"/>
    <w:rsid w:val="00CC6CE4"/>
    <w:rsid w:val="00CD6CCF"/>
    <w:rsid w:val="00CE5424"/>
    <w:rsid w:val="00CE779D"/>
    <w:rsid w:val="00CF2B08"/>
    <w:rsid w:val="00CF2F65"/>
    <w:rsid w:val="00CF5046"/>
    <w:rsid w:val="00CF707A"/>
    <w:rsid w:val="00D03E18"/>
    <w:rsid w:val="00D06EED"/>
    <w:rsid w:val="00D14DF6"/>
    <w:rsid w:val="00D21589"/>
    <w:rsid w:val="00D220CD"/>
    <w:rsid w:val="00D23E52"/>
    <w:rsid w:val="00D371CA"/>
    <w:rsid w:val="00D40CF2"/>
    <w:rsid w:val="00D4150F"/>
    <w:rsid w:val="00D46AC4"/>
    <w:rsid w:val="00D63268"/>
    <w:rsid w:val="00D640BF"/>
    <w:rsid w:val="00D66D16"/>
    <w:rsid w:val="00D73BF3"/>
    <w:rsid w:val="00D76E1F"/>
    <w:rsid w:val="00D774F6"/>
    <w:rsid w:val="00D80607"/>
    <w:rsid w:val="00D8072E"/>
    <w:rsid w:val="00D8378C"/>
    <w:rsid w:val="00D84B01"/>
    <w:rsid w:val="00D947FD"/>
    <w:rsid w:val="00D94E5E"/>
    <w:rsid w:val="00D97288"/>
    <w:rsid w:val="00DA2C80"/>
    <w:rsid w:val="00DA3643"/>
    <w:rsid w:val="00DB6663"/>
    <w:rsid w:val="00DC3925"/>
    <w:rsid w:val="00DD1CDE"/>
    <w:rsid w:val="00DD241A"/>
    <w:rsid w:val="00DD2E5E"/>
    <w:rsid w:val="00DE07AF"/>
    <w:rsid w:val="00DE15A3"/>
    <w:rsid w:val="00DE2870"/>
    <w:rsid w:val="00DE3047"/>
    <w:rsid w:val="00DE6C44"/>
    <w:rsid w:val="00DF0767"/>
    <w:rsid w:val="00E030EF"/>
    <w:rsid w:val="00E04D51"/>
    <w:rsid w:val="00E05C9F"/>
    <w:rsid w:val="00E07D7D"/>
    <w:rsid w:val="00E101A0"/>
    <w:rsid w:val="00E11D11"/>
    <w:rsid w:val="00E11FA9"/>
    <w:rsid w:val="00E12A29"/>
    <w:rsid w:val="00E160DF"/>
    <w:rsid w:val="00E17123"/>
    <w:rsid w:val="00E20889"/>
    <w:rsid w:val="00E23660"/>
    <w:rsid w:val="00E310BB"/>
    <w:rsid w:val="00E32B6B"/>
    <w:rsid w:val="00E36F22"/>
    <w:rsid w:val="00E40304"/>
    <w:rsid w:val="00E50B8B"/>
    <w:rsid w:val="00E537B7"/>
    <w:rsid w:val="00E57C6A"/>
    <w:rsid w:val="00E6542E"/>
    <w:rsid w:val="00E65759"/>
    <w:rsid w:val="00E7304F"/>
    <w:rsid w:val="00E767F4"/>
    <w:rsid w:val="00E81C3B"/>
    <w:rsid w:val="00E81D41"/>
    <w:rsid w:val="00E831B4"/>
    <w:rsid w:val="00E8436B"/>
    <w:rsid w:val="00E8659B"/>
    <w:rsid w:val="00E873BF"/>
    <w:rsid w:val="00E94F81"/>
    <w:rsid w:val="00E95200"/>
    <w:rsid w:val="00E95772"/>
    <w:rsid w:val="00EA2C61"/>
    <w:rsid w:val="00EA2E20"/>
    <w:rsid w:val="00EA5CB4"/>
    <w:rsid w:val="00EA7DC0"/>
    <w:rsid w:val="00EB50E5"/>
    <w:rsid w:val="00EC085B"/>
    <w:rsid w:val="00EC13AF"/>
    <w:rsid w:val="00EC4491"/>
    <w:rsid w:val="00EC6AEE"/>
    <w:rsid w:val="00EC6BC4"/>
    <w:rsid w:val="00ED1D40"/>
    <w:rsid w:val="00ED32F7"/>
    <w:rsid w:val="00ED6196"/>
    <w:rsid w:val="00ED69DD"/>
    <w:rsid w:val="00EE15E8"/>
    <w:rsid w:val="00EE22D5"/>
    <w:rsid w:val="00EE33FD"/>
    <w:rsid w:val="00EE6FFA"/>
    <w:rsid w:val="00EF072E"/>
    <w:rsid w:val="00EF1B64"/>
    <w:rsid w:val="00EF1E04"/>
    <w:rsid w:val="00F00B4C"/>
    <w:rsid w:val="00F03475"/>
    <w:rsid w:val="00F06F12"/>
    <w:rsid w:val="00F10026"/>
    <w:rsid w:val="00F10282"/>
    <w:rsid w:val="00F1234B"/>
    <w:rsid w:val="00F137F1"/>
    <w:rsid w:val="00F13CB6"/>
    <w:rsid w:val="00F14F46"/>
    <w:rsid w:val="00F24F7B"/>
    <w:rsid w:val="00F31B10"/>
    <w:rsid w:val="00F403BA"/>
    <w:rsid w:val="00F451DD"/>
    <w:rsid w:val="00F51B3C"/>
    <w:rsid w:val="00F5203C"/>
    <w:rsid w:val="00F52827"/>
    <w:rsid w:val="00F52D82"/>
    <w:rsid w:val="00F557A3"/>
    <w:rsid w:val="00F57D6A"/>
    <w:rsid w:val="00F63422"/>
    <w:rsid w:val="00F638D2"/>
    <w:rsid w:val="00F7028D"/>
    <w:rsid w:val="00F807FE"/>
    <w:rsid w:val="00F87453"/>
    <w:rsid w:val="00F95F71"/>
    <w:rsid w:val="00FA463A"/>
    <w:rsid w:val="00FA4B14"/>
    <w:rsid w:val="00FB0A9F"/>
    <w:rsid w:val="00FB1B09"/>
    <w:rsid w:val="00FB49CB"/>
    <w:rsid w:val="00FC0380"/>
    <w:rsid w:val="00FC0BC5"/>
    <w:rsid w:val="00FC5B61"/>
    <w:rsid w:val="00FD075E"/>
    <w:rsid w:val="00FD0A48"/>
    <w:rsid w:val="00FD5486"/>
    <w:rsid w:val="00FE1B17"/>
    <w:rsid w:val="00FE2072"/>
    <w:rsid w:val="00FE3D4C"/>
    <w:rsid w:val="00FF0EC0"/>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287616036">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4236027">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ce.pi.gov.br/fiscalizado/pesquisa-de-processos/?n_tipo=1&amp;n_processo=016636%2F2018" TargetMode="External"/><Relationship Id="rId18" Type="http://schemas.openxmlformats.org/officeDocument/2006/relationships/hyperlink" Target="https://www.tce.pi.gov.br/download.php?type=publicacao&amp;id=22730"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www.tce.pi.gov.br/download.php?type=publicacao&amp;id=12724" TargetMode="External"/><Relationship Id="rId17" Type="http://schemas.openxmlformats.org/officeDocument/2006/relationships/hyperlink" Target="http://www.tce.pi.gov.br/fiscalizado/pesquisa-de-processos/?n_tipo=1&amp;n_processo=005116%2F2015" TargetMode="External"/><Relationship Id="rId2" Type="http://schemas.openxmlformats.org/officeDocument/2006/relationships/customXml" Target="../customXml/item2.xml"/><Relationship Id="rId16" Type="http://schemas.openxmlformats.org/officeDocument/2006/relationships/hyperlink" Target="https://www.tce.pi.gov.br/download.php?type=publicacao&amp;id=12721" TargetMode="External"/><Relationship Id="rId20" Type="http://schemas.openxmlformats.org/officeDocument/2006/relationships/hyperlink" Target="https://www.tce.pi.gov.br/download.php?type=publicacao&amp;id=1272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ce.pi.gov.br/fiscalizado/pesquisa-de-processos/?n_tipo=1&amp;n_processo=017675%2F2017" TargetMode="External"/><Relationship Id="rId5" Type="http://schemas.microsoft.com/office/2007/relationships/stylesWithEffects" Target="stylesWithEffects.xml"/><Relationship Id="rId15" Type="http://schemas.openxmlformats.org/officeDocument/2006/relationships/hyperlink" Target="https://www.tce.pi.gov.br/fiscalizado/pesquisa-de-processos/?n_tipo=1&amp;n_processo=006705%2F2019"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tce.pi.gov.br/fiscalizado/pesquisa-de-processos/?n_tipo=1&amp;n_processo=001990%2F201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tce.pi.gov.br/download.php?type=publicacao&amp;id=22732"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outubro de 2019.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79D6C6-27D3-46D9-B630-3EBC8A246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7415</TotalTime>
  <Pages>6</Pages>
  <Words>1324</Words>
  <Characters>7150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OUTUBRO- 2019</dc:creator>
  <cp:lastModifiedBy>Iana Cavalcanti Reis</cp:lastModifiedBy>
  <cp:revision>65</cp:revision>
  <cp:lastPrinted>2018-01-18T17:26:00Z</cp:lastPrinted>
  <dcterms:created xsi:type="dcterms:W3CDTF">2019-01-08T10:22:00Z</dcterms:created>
  <dcterms:modified xsi:type="dcterms:W3CDTF">2019-11-25T16:40:00Z</dcterms:modified>
</cp:coreProperties>
</file>