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5F4392" w:rsidRDefault="005F439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5F4392" w:rsidRDefault="005F439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5F4392" w:rsidRDefault="005F439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5F4392" w:rsidRDefault="005F439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5F4392" w:rsidRDefault="005F439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5F4392" w:rsidRDefault="005F439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5F4392" w:rsidRDefault="005F439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5F4392" w:rsidRDefault="005F439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5F4392" w:rsidRDefault="005F439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FEVEREIRO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novembro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5F4392" w:rsidRDefault="005F439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5F4392" w:rsidRDefault="005F439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FEVEREIRO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novembro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5F4392" w:rsidRDefault="005F4392"/>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B1417C"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4481056" w:history="1">
            <w:r w:rsidR="00B1417C" w:rsidRPr="00C21778">
              <w:rPr>
                <w:rStyle w:val="Hyperlink"/>
                <w:noProof/>
              </w:rPr>
              <w:t>DESPESA</w:t>
            </w:r>
            <w:r w:rsidR="00B1417C">
              <w:rPr>
                <w:noProof/>
                <w:webHidden/>
              </w:rPr>
              <w:tab/>
            </w:r>
            <w:r w:rsidR="00B1417C">
              <w:rPr>
                <w:noProof/>
                <w:webHidden/>
              </w:rPr>
              <w:fldChar w:fldCharType="begin"/>
            </w:r>
            <w:r w:rsidR="00B1417C">
              <w:rPr>
                <w:noProof/>
                <w:webHidden/>
              </w:rPr>
              <w:instrText xml:space="preserve"> PAGEREF _Toc4481056 \h </w:instrText>
            </w:r>
            <w:r w:rsidR="00B1417C">
              <w:rPr>
                <w:noProof/>
                <w:webHidden/>
              </w:rPr>
            </w:r>
            <w:r w:rsidR="00B1417C">
              <w:rPr>
                <w:noProof/>
                <w:webHidden/>
              </w:rPr>
              <w:fldChar w:fldCharType="separate"/>
            </w:r>
            <w:r w:rsidR="00B1417C">
              <w:rPr>
                <w:noProof/>
                <w:webHidden/>
              </w:rPr>
              <w:t>2</w:t>
            </w:r>
            <w:r w:rsidR="00B1417C">
              <w:rPr>
                <w:noProof/>
                <w:webHidden/>
              </w:rPr>
              <w:fldChar w:fldCharType="end"/>
            </w:r>
          </w:hyperlink>
        </w:p>
        <w:p w:rsidR="00B1417C" w:rsidRDefault="00B1417C">
          <w:pPr>
            <w:pStyle w:val="Sumrio2"/>
            <w:tabs>
              <w:tab w:val="right" w:leader="dot" w:pos="8494"/>
            </w:tabs>
            <w:rPr>
              <w:noProof/>
            </w:rPr>
          </w:pPr>
          <w:hyperlink w:anchor="_Toc4481057" w:history="1">
            <w:r w:rsidRPr="00C21778">
              <w:rPr>
                <w:rStyle w:val="Hyperlink"/>
                <w:noProof/>
              </w:rPr>
              <w:t>Despesa. Concessão de diárias a Vereador. Ausência de comprovação de realização da viagem.</w:t>
            </w:r>
            <w:r>
              <w:rPr>
                <w:noProof/>
                <w:webHidden/>
              </w:rPr>
              <w:tab/>
            </w:r>
            <w:r>
              <w:rPr>
                <w:noProof/>
                <w:webHidden/>
              </w:rPr>
              <w:fldChar w:fldCharType="begin"/>
            </w:r>
            <w:r>
              <w:rPr>
                <w:noProof/>
                <w:webHidden/>
              </w:rPr>
              <w:instrText xml:space="preserve"> PAGEREF _Toc4481057 \h </w:instrText>
            </w:r>
            <w:r>
              <w:rPr>
                <w:noProof/>
                <w:webHidden/>
              </w:rPr>
            </w:r>
            <w:r>
              <w:rPr>
                <w:noProof/>
                <w:webHidden/>
              </w:rPr>
              <w:fldChar w:fldCharType="separate"/>
            </w:r>
            <w:r>
              <w:rPr>
                <w:noProof/>
                <w:webHidden/>
              </w:rPr>
              <w:t>2</w:t>
            </w:r>
            <w:r>
              <w:rPr>
                <w:noProof/>
                <w:webHidden/>
              </w:rPr>
              <w:fldChar w:fldCharType="end"/>
            </w:r>
          </w:hyperlink>
        </w:p>
        <w:p w:rsidR="00B1417C" w:rsidRDefault="00B1417C">
          <w:pPr>
            <w:pStyle w:val="Sumrio1"/>
            <w:tabs>
              <w:tab w:val="right" w:leader="dot" w:pos="8494"/>
            </w:tabs>
            <w:rPr>
              <w:rFonts w:eastAsiaTheme="minorEastAsia"/>
              <w:noProof/>
              <w:lang w:eastAsia="pt-BR"/>
            </w:rPr>
          </w:pPr>
          <w:hyperlink w:anchor="_Toc4481058" w:history="1">
            <w:r w:rsidRPr="00C21778">
              <w:rPr>
                <w:rStyle w:val="Hyperlink"/>
                <w:noProof/>
              </w:rPr>
              <w:t>EDUCAÇÃO</w:t>
            </w:r>
            <w:r>
              <w:rPr>
                <w:noProof/>
                <w:webHidden/>
              </w:rPr>
              <w:tab/>
            </w:r>
            <w:r>
              <w:rPr>
                <w:noProof/>
                <w:webHidden/>
              </w:rPr>
              <w:fldChar w:fldCharType="begin"/>
            </w:r>
            <w:r>
              <w:rPr>
                <w:noProof/>
                <w:webHidden/>
              </w:rPr>
              <w:instrText xml:space="preserve"> PAGEREF _Toc4481058 \h </w:instrText>
            </w:r>
            <w:r>
              <w:rPr>
                <w:noProof/>
                <w:webHidden/>
              </w:rPr>
            </w:r>
            <w:r>
              <w:rPr>
                <w:noProof/>
                <w:webHidden/>
              </w:rPr>
              <w:fldChar w:fldCharType="separate"/>
            </w:r>
            <w:r>
              <w:rPr>
                <w:noProof/>
                <w:webHidden/>
              </w:rPr>
              <w:t>2</w:t>
            </w:r>
            <w:r>
              <w:rPr>
                <w:noProof/>
                <w:webHidden/>
              </w:rPr>
              <w:fldChar w:fldCharType="end"/>
            </w:r>
          </w:hyperlink>
        </w:p>
        <w:p w:rsidR="00B1417C" w:rsidRDefault="00B1417C">
          <w:pPr>
            <w:pStyle w:val="Sumrio2"/>
            <w:tabs>
              <w:tab w:val="right" w:leader="dot" w:pos="8494"/>
            </w:tabs>
            <w:rPr>
              <w:noProof/>
            </w:rPr>
          </w:pPr>
          <w:hyperlink w:anchor="_Toc4481059" w:history="1">
            <w:r w:rsidRPr="00C21778">
              <w:rPr>
                <w:rStyle w:val="Hyperlink"/>
                <w:noProof/>
              </w:rPr>
              <w:t>Educação. Recursos do FUNDEB. Pagamento de débitos de exercícios anteriores. Utilização de outros recursos para pagamento das despesas do FUNDEB.</w:t>
            </w:r>
            <w:r>
              <w:rPr>
                <w:noProof/>
                <w:webHidden/>
              </w:rPr>
              <w:tab/>
            </w:r>
            <w:r>
              <w:rPr>
                <w:noProof/>
                <w:webHidden/>
              </w:rPr>
              <w:fldChar w:fldCharType="begin"/>
            </w:r>
            <w:r>
              <w:rPr>
                <w:noProof/>
                <w:webHidden/>
              </w:rPr>
              <w:instrText xml:space="preserve"> PAGEREF _Toc4481059 \h </w:instrText>
            </w:r>
            <w:r>
              <w:rPr>
                <w:noProof/>
                <w:webHidden/>
              </w:rPr>
            </w:r>
            <w:r>
              <w:rPr>
                <w:noProof/>
                <w:webHidden/>
              </w:rPr>
              <w:fldChar w:fldCharType="separate"/>
            </w:r>
            <w:r>
              <w:rPr>
                <w:noProof/>
                <w:webHidden/>
              </w:rPr>
              <w:t>2</w:t>
            </w:r>
            <w:r>
              <w:rPr>
                <w:noProof/>
                <w:webHidden/>
              </w:rPr>
              <w:fldChar w:fldCharType="end"/>
            </w:r>
          </w:hyperlink>
        </w:p>
        <w:p w:rsidR="00B1417C" w:rsidRDefault="00B1417C">
          <w:pPr>
            <w:pStyle w:val="Sumrio1"/>
            <w:tabs>
              <w:tab w:val="right" w:leader="dot" w:pos="8494"/>
            </w:tabs>
            <w:rPr>
              <w:rFonts w:eastAsiaTheme="minorEastAsia"/>
              <w:noProof/>
              <w:lang w:eastAsia="pt-BR"/>
            </w:rPr>
          </w:pPr>
          <w:hyperlink w:anchor="_Toc4481060" w:history="1">
            <w:r w:rsidRPr="00C21778">
              <w:rPr>
                <w:rStyle w:val="Hyperlink"/>
                <w:noProof/>
              </w:rPr>
              <w:t>PESSOAL</w:t>
            </w:r>
            <w:r>
              <w:rPr>
                <w:noProof/>
                <w:webHidden/>
              </w:rPr>
              <w:tab/>
            </w:r>
            <w:r>
              <w:rPr>
                <w:noProof/>
                <w:webHidden/>
              </w:rPr>
              <w:fldChar w:fldCharType="begin"/>
            </w:r>
            <w:r>
              <w:rPr>
                <w:noProof/>
                <w:webHidden/>
              </w:rPr>
              <w:instrText xml:space="preserve"> PAGEREF _Toc4481060 \h </w:instrText>
            </w:r>
            <w:r>
              <w:rPr>
                <w:noProof/>
                <w:webHidden/>
              </w:rPr>
            </w:r>
            <w:r>
              <w:rPr>
                <w:noProof/>
                <w:webHidden/>
              </w:rPr>
              <w:fldChar w:fldCharType="separate"/>
            </w:r>
            <w:r>
              <w:rPr>
                <w:noProof/>
                <w:webHidden/>
              </w:rPr>
              <w:t>3</w:t>
            </w:r>
            <w:r>
              <w:rPr>
                <w:noProof/>
                <w:webHidden/>
              </w:rPr>
              <w:fldChar w:fldCharType="end"/>
            </w:r>
          </w:hyperlink>
        </w:p>
        <w:p w:rsidR="00B1417C" w:rsidRDefault="00B1417C">
          <w:pPr>
            <w:pStyle w:val="Sumrio2"/>
            <w:tabs>
              <w:tab w:val="right" w:leader="dot" w:pos="8494"/>
            </w:tabs>
            <w:rPr>
              <w:noProof/>
            </w:rPr>
          </w:pPr>
          <w:hyperlink w:anchor="_Toc4481061" w:history="1">
            <w:r w:rsidRPr="00C21778">
              <w:rPr>
                <w:rStyle w:val="Hyperlink"/>
                <w:noProof/>
              </w:rPr>
              <w:t>Pessoal. Anulação de nomeação irregular de servidor. Saneamento da irregularidade.</w:t>
            </w:r>
            <w:r>
              <w:rPr>
                <w:noProof/>
                <w:webHidden/>
              </w:rPr>
              <w:tab/>
            </w:r>
            <w:r>
              <w:rPr>
                <w:noProof/>
                <w:webHidden/>
              </w:rPr>
              <w:fldChar w:fldCharType="begin"/>
            </w:r>
            <w:r>
              <w:rPr>
                <w:noProof/>
                <w:webHidden/>
              </w:rPr>
              <w:instrText xml:space="preserve"> PAGEREF _Toc4481061 \h </w:instrText>
            </w:r>
            <w:r>
              <w:rPr>
                <w:noProof/>
                <w:webHidden/>
              </w:rPr>
            </w:r>
            <w:r>
              <w:rPr>
                <w:noProof/>
                <w:webHidden/>
              </w:rPr>
              <w:fldChar w:fldCharType="separate"/>
            </w:r>
            <w:r>
              <w:rPr>
                <w:noProof/>
                <w:webHidden/>
              </w:rPr>
              <w:t>3</w:t>
            </w:r>
            <w:r>
              <w:rPr>
                <w:noProof/>
                <w:webHidden/>
              </w:rPr>
              <w:fldChar w:fldCharType="end"/>
            </w:r>
          </w:hyperlink>
        </w:p>
        <w:p w:rsidR="00B1417C" w:rsidRDefault="00B1417C">
          <w:pPr>
            <w:pStyle w:val="Sumrio2"/>
            <w:tabs>
              <w:tab w:val="right" w:leader="dot" w:pos="8494"/>
            </w:tabs>
            <w:rPr>
              <w:noProof/>
            </w:rPr>
          </w:pPr>
          <w:hyperlink w:anchor="_Toc4481062" w:history="1">
            <w:r w:rsidRPr="00C21778">
              <w:rPr>
                <w:rStyle w:val="Hyperlink"/>
                <w:noProof/>
              </w:rPr>
              <w:t>Pessoal. Contratação para prestação de serviços esporádicos. Prestação de serviços de atividade-meio.</w:t>
            </w:r>
            <w:r>
              <w:rPr>
                <w:noProof/>
                <w:webHidden/>
              </w:rPr>
              <w:tab/>
            </w:r>
            <w:r>
              <w:rPr>
                <w:noProof/>
                <w:webHidden/>
              </w:rPr>
              <w:fldChar w:fldCharType="begin"/>
            </w:r>
            <w:r>
              <w:rPr>
                <w:noProof/>
                <w:webHidden/>
              </w:rPr>
              <w:instrText xml:space="preserve"> PAGEREF _Toc4481062 \h </w:instrText>
            </w:r>
            <w:r>
              <w:rPr>
                <w:noProof/>
                <w:webHidden/>
              </w:rPr>
            </w:r>
            <w:r>
              <w:rPr>
                <w:noProof/>
                <w:webHidden/>
              </w:rPr>
              <w:fldChar w:fldCharType="separate"/>
            </w:r>
            <w:r>
              <w:rPr>
                <w:noProof/>
                <w:webHidden/>
              </w:rPr>
              <w:t>3</w:t>
            </w:r>
            <w:r>
              <w:rPr>
                <w:noProof/>
                <w:webHidden/>
              </w:rPr>
              <w:fldChar w:fldCharType="end"/>
            </w:r>
          </w:hyperlink>
        </w:p>
        <w:p w:rsidR="00B1417C" w:rsidRDefault="00B1417C">
          <w:pPr>
            <w:pStyle w:val="Sumrio2"/>
            <w:tabs>
              <w:tab w:val="right" w:leader="dot" w:pos="8494"/>
            </w:tabs>
            <w:rPr>
              <w:noProof/>
            </w:rPr>
          </w:pPr>
          <w:hyperlink w:anchor="_Toc4481063" w:history="1">
            <w:r w:rsidRPr="00C21778">
              <w:rPr>
                <w:rStyle w:val="Hyperlink"/>
                <w:rFonts w:eastAsiaTheme="minorHAnsi"/>
                <w:noProof/>
              </w:rPr>
              <w:t>REPRESENTAÇÃO. CONTRATAÇÃO PARA PRESTAÇÃO DE SERVIÇOS ESPORÁDICOS. IMPROCEDÊNCIA. ARQUIVAMENTO.</w:t>
            </w:r>
            <w:r>
              <w:rPr>
                <w:noProof/>
                <w:webHidden/>
              </w:rPr>
              <w:tab/>
            </w:r>
            <w:r>
              <w:rPr>
                <w:noProof/>
                <w:webHidden/>
              </w:rPr>
              <w:fldChar w:fldCharType="begin"/>
            </w:r>
            <w:r>
              <w:rPr>
                <w:noProof/>
                <w:webHidden/>
              </w:rPr>
              <w:instrText xml:space="preserve"> PAGEREF _Toc4481063 \h </w:instrText>
            </w:r>
            <w:r>
              <w:rPr>
                <w:noProof/>
                <w:webHidden/>
              </w:rPr>
            </w:r>
            <w:r>
              <w:rPr>
                <w:noProof/>
                <w:webHidden/>
              </w:rPr>
              <w:fldChar w:fldCharType="separate"/>
            </w:r>
            <w:r>
              <w:rPr>
                <w:noProof/>
                <w:webHidden/>
              </w:rPr>
              <w:t>3</w:t>
            </w:r>
            <w:r>
              <w:rPr>
                <w:noProof/>
                <w:webHidden/>
              </w:rPr>
              <w:fldChar w:fldCharType="end"/>
            </w:r>
          </w:hyperlink>
        </w:p>
        <w:p w:rsidR="00B1417C" w:rsidRDefault="00B1417C">
          <w:pPr>
            <w:pStyle w:val="Sumrio2"/>
            <w:tabs>
              <w:tab w:val="right" w:leader="dot" w:pos="8494"/>
            </w:tabs>
            <w:rPr>
              <w:noProof/>
            </w:rPr>
          </w:pPr>
          <w:hyperlink w:anchor="_Toc4481064" w:history="1">
            <w:r w:rsidRPr="00C21778">
              <w:rPr>
                <w:rStyle w:val="Hyperlink"/>
                <w:noProof/>
              </w:rPr>
              <w:t>Pessoal. Incompetência do Tribunal de Contas do Estado na área de Direitos Trabalhistas.</w:t>
            </w:r>
            <w:r>
              <w:rPr>
                <w:noProof/>
                <w:webHidden/>
              </w:rPr>
              <w:tab/>
            </w:r>
            <w:r>
              <w:rPr>
                <w:noProof/>
                <w:webHidden/>
              </w:rPr>
              <w:fldChar w:fldCharType="begin"/>
            </w:r>
            <w:r>
              <w:rPr>
                <w:noProof/>
                <w:webHidden/>
              </w:rPr>
              <w:instrText xml:space="preserve"> PAGEREF _Toc4481064 \h </w:instrText>
            </w:r>
            <w:r>
              <w:rPr>
                <w:noProof/>
                <w:webHidden/>
              </w:rPr>
            </w:r>
            <w:r>
              <w:rPr>
                <w:noProof/>
                <w:webHidden/>
              </w:rPr>
              <w:fldChar w:fldCharType="separate"/>
            </w:r>
            <w:r>
              <w:rPr>
                <w:noProof/>
                <w:webHidden/>
              </w:rPr>
              <w:t>4</w:t>
            </w:r>
            <w:r>
              <w:rPr>
                <w:noProof/>
                <w:webHidden/>
              </w:rPr>
              <w:fldChar w:fldCharType="end"/>
            </w:r>
          </w:hyperlink>
        </w:p>
        <w:p w:rsidR="00B1417C" w:rsidRDefault="00B1417C">
          <w:pPr>
            <w:pStyle w:val="Sumrio1"/>
            <w:tabs>
              <w:tab w:val="right" w:leader="dot" w:pos="8494"/>
            </w:tabs>
            <w:rPr>
              <w:rFonts w:eastAsiaTheme="minorEastAsia"/>
              <w:noProof/>
              <w:lang w:eastAsia="pt-BR"/>
            </w:rPr>
          </w:pPr>
          <w:hyperlink w:anchor="_Toc4481065" w:history="1">
            <w:r w:rsidRPr="00C21778">
              <w:rPr>
                <w:rStyle w:val="Hyperlink"/>
                <w:noProof/>
              </w:rPr>
              <w:t>PRESTAÇÃO DE CONTAS</w:t>
            </w:r>
            <w:r>
              <w:rPr>
                <w:noProof/>
                <w:webHidden/>
              </w:rPr>
              <w:tab/>
            </w:r>
            <w:r>
              <w:rPr>
                <w:noProof/>
                <w:webHidden/>
              </w:rPr>
              <w:fldChar w:fldCharType="begin"/>
            </w:r>
            <w:r>
              <w:rPr>
                <w:noProof/>
                <w:webHidden/>
              </w:rPr>
              <w:instrText xml:space="preserve"> PAGEREF _Toc4481065 \h </w:instrText>
            </w:r>
            <w:r>
              <w:rPr>
                <w:noProof/>
                <w:webHidden/>
              </w:rPr>
            </w:r>
            <w:r>
              <w:rPr>
                <w:noProof/>
                <w:webHidden/>
              </w:rPr>
              <w:fldChar w:fldCharType="separate"/>
            </w:r>
            <w:r>
              <w:rPr>
                <w:noProof/>
                <w:webHidden/>
              </w:rPr>
              <w:t>4</w:t>
            </w:r>
            <w:r>
              <w:rPr>
                <w:noProof/>
                <w:webHidden/>
              </w:rPr>
              <w:fldChar w:fldCharType="end"/>
            </w:r>
          </w:hyperlink>
        </w:p>
        <w:p w:rsidR="00B1417C" w:rsidRDefault="00B1417C">
          <w:pPr>
            <w:pStyle w:val="Sumrio2"/>
            <w:tabs>
              <w:tab w:val="right" w:leader="dot" w:pos="8494"/>
            </w:tabs>
            <w:rPr>
              <w:noProof/>
            </w:rPr>
          </w:pPr>
          <w:hyperlink w:anchor="_Toc4481066" w:history="1">
            <w:r w:rsidRPr="00C21778">
              <w:rPr>
                <w:rStyle w:val="Hyperlink"/>
                <w:noProof/>
              </w:rPr>
              <w:t>Prestação de Contas. Análise de exercício financeiro de fatos e atos com significante tempo ocorridos. Ausência de mecanismos de defesa plena pelo gestor. Ausência de meios probatórios. Princípio do contraditório. Princípio da ampla defesa.</w:t>
            </w:r>
            <w:r>
              <w:rPr>
                <w:noProof/>
                <w:webHidden/>
              </w:rPr>
              <w:tab/>
            </w:r>
            <w:r>
              <w:rPr>
                <w:noProof/>
                <w:webHidden/>
              </w:rPr>
              <w:fldChar w:fldCharType="begin"/>
            </w:r>
            <w:r>
              <w:rPr>
                <w:noProof/>
                <w:webHidden/>
              </w:rPr>
              <w:instrText xml:space="preserve"> PAGEREF _Toc4481066 \h </w:instrText>
            </w:r>
            <w:r>
              <w:rPr>
                <w:noProof/>
                <w:webHidden/>
              </w:rPr>
            </w:r>
            <w:r>
              <w:rPr>
                <w:noProof/>
                <w:webHidden/>
              </w:rPr>
              <w:fldChar w:fldCharType="separate"/>
            </w:r>
            <w:r>
              <w:rPr>
                <w:noProof/>
                <w:webHidden/>
              </w:rPr>
              <w:t>4</w:t>
            </w:r>
            <w:r>
              <w:rPr>
                <w:noProof/>
                <w:webHidden/>
              </w:rPr>
              <w:fldChar w:fldCharType="end"/>
            </w:r>
          </w:hyperlink>
        </w:p>
        <w:p w:rsidR="00B1417C" w:rsidRDefault="00B1417C">
          <w:pPr>
            <w:pStyle w:val="Sumrio2"/>
            <w:tabs>
              <w:tab w:val="right" w:leader="dot" w:pos="8494"/>
            </w:tabs>
            <w:rPr>
              <w:noProof/>
            </w:rPr>
          </w:pPr>
          <w:hyperlink w:anchor="_Toc4481067" w:history="1">
            <w:r w:rsidRPr="00C21778">
              <w:rPr>
                <w:rStyle w:val="Hyperlink"/>
                <w:noProof/>
              </w:rPr>
              <w:t>Prestação de Contas. Órgão municipal de pequena estrutura administrativa. Irrazoabilidade no julgamento por reprovação das contas. Ausência de má-fé. Ausência de dolo. Ausência de dano ao erário. Princípio da razoabilidade.</w:t>
            </w:r>
            <w:r>
              <w:rPr>
                <w:noProof/>
                <w:webHidden/>
              </w:rPr>
              <w:tab/>
            </w:r>
            <w:r>
              <w:rPr>
                <w:noProof/>
                <w:webHidden/>
              </w:rPr>
              <w:fldChar w:fldCharType="begin"/>
            </w:r>
            <w:r>
              <w:rPr>
                <w:noProof/>
                <w:webHidden/>
              </w:rPr>
              <w:instrText xml:space="preserve"> PAGEREF _Toc4481067 \h </w:instrText>
            </w:r>
            <w:r>
              <w:rPr>
                <w:noProof/>
                <w:webHidden/>
              </w:rPr>
            </w:r>
            <w:r>
              <w:rPr>
                <w:noProof/>
                <w:webHidden/>
              </w:rPr>
              <w:fldChar w:fldCharType="separate"/>
            </w:r>
            <w:r>
              <w:rPr>
                <w:noProof/>
                <w:webHidden/>
              </w:rPr>
              <w:t>5</w:t>
            </w:r>
            <w:r>
              <w:rPr>
                <w:noProof/>
                <w:webHidden/>
              </w:rPr>
              <w:fldChar w:fldCharType="end"/>
            </w:r>
          </w:hyperlink>
        </w:p>
        <w:p w:rsidR="00B1417C" w:rsidRPr="00B1417C" w:rsidRDefault="00B1417C">
          <w:pPr>
            <w:pStyle w:val="Sumrio1"/>
            <w:tabs>
              <w:tab w:val="right" w:leader="dot" w:pos="8494"/>
            </w:tabs>
            <w:rPr>
              <w:rFonts w:eastAsiaTheme="minorEastAsia"/>
              <w:noProof/>
              <w:lang w:eastAsia="pt-BR"/>
            </w:rPr>
          </w:pPr>
          <w:hyperlink w:anchor="_Toc4481068" w:history="1">
            <w:r w:rsidRPr="00B1417C">
              <w:rPr>
                <w:rStyle w:val="Hyperlink"/>
                <w:rFonts w:asciiTheme="majorHAnsi" w:eastAsiaTheme="majorEastAsia" w:hAnsiTheme="majorHAnsi" w:cstheme="majorBidi"/>
                <w:bCs/>
                <w:noProof/>
              </w:rPr>
              <w:t>PROCESSUAL</w:t>
            </w:r>
            <w:r w:rsidRPr="00B1417C">
              <w:rPr>
                <w:noProof/>
                <w:webHidden/>
              </w:rPr>
              <w:tab/>
            </w:r>
            <w:r w:rsidRPr="00B1417C">
              <w:rPr>
                <w:noProof/>
                <w:webHidden/>
              </w:rPr>
              <w:fldChar w:fldCharType="begin"/>
            </w:r>
            <w:r w:rsidRPr="00B1417C">
              <w:rPr>
                <w:noProof/>
                <w:webHidden/>
              </w:rPr>
              <w:instrText xml:space="preserve"> PAGEREF _Toc4481068 \h </w:instrText>
            </w:r>
            <w:r w:rsidRPr="00B1417C">
              <w:rPr>
                <w:noProof/>
                <w:webHidden/>
              </w:rPr>
            </w:r>
            <w:r w:rsidRPr="00B1417C">
              <w:rPr>
                <w:noProof/>
                <w:webHidden/>
              </w:rPr>
              <w:fldChar w:fldCharType="separate"/>
            </w:r>
            <w:r w:rsidRPr="00B1417C">
              <w:rPr>
                <w:noProof/>
                <w:webHidden/>
              </w:rPr>
              <w:t>6</w:t>
            </w:r>
            <w:r w:rsidRPr="00B1417C">
              <w:rPr>
                <w:noProof/>
                <w:webHidden/>
              </w:rPr>
              <w:fldChar w:fldCharType="end"/>
            </w:r>
          </w:hyperlink>
        </w:p>
        <w:p w:rsidR="00B1417C" w:rsidRPr="00B1417C" w:rsidRDefault="00B1417C">
          <w:pPr>
            <w:pStyle w:val="Sumrio2"/>
            <w:tabs>
              <w:tab w:val="right" w:leader="dot" w:pos="8494"/>
            </w:tabs>
            <w:rPr>
              <w:noProof/>
            </w:rPr>
          </w:pPr>
          <w:hyperlink w:anchor="_Toc4481069" w:history="1">
            <w:r w:rsidRPr="00B1417C">
              <w:rPr>
                <w:rStyle w:val="Hyperlink"/>
                <w:rFonts w:asciiTheme="majorHAnsi" w:eastAsiaTheme="majorEastAsia" w:hAnsiTheme="majorHAnsi" w:cstheme="majorBidi"/>
                <w:bCs/>
                <w:noProof/>
              </w:rPr>
              <w:t>Processual. Rediscussão de temática já analisada. Inadequação de Pedido de Revisão. Natureza jurídica do Pedido de Revisão.</w:t>
            </w:r>
            <w:r w:rsidRPr="00B1417C">
              <w:rPr>
                <w:noProof/>
                <w:webHidden/>
              </w:rPr>
              <w:tab/>
            </w:r>
            <w:r w:rsidRPr="00B1417C">
              <w:rPr>
                <w:noProof/>
                <w:webHidden/>
              </w:rPr>
              <w:fldChar w:fldCharType="begin"/>
            </w:r>
            <w:r w:rsidRPr="00B1417C">
              <w:rPr>
                <w:noProof/>
                <w:webHidden/>
              </w:rPr>
              <w:instrText xml:space="preserve"> PAGEREF _Toc4481069 \h </w:instrText>
            </w:r>
            <w:r w:rsidRPr="00B1417C">
              <w:rPr>
                <w:noProof/>
                <w:webHidden/>
              </w:rPr>
            </w:r>
            <w:r w:rsidRPr="00B1417C">
              <w:rPr>
                <w:noProof/>
                <w:webHidden/>
              </w:rPr>
              <w:fldChar w:fldCharType="separate"/>
            </w:r>
            <w:r w:rsidRPr="00B1417C">
              <w:rPr>
                <w:noProof/>
                <w:webHidden/>
              </w:rPr>
              <w:t>6</w:t>
            </w:r>
            <w:r w:rsidRPr="00B1417C">
              <w:rPr>
                <w:noProof/>
                <w:webHidden/>
              </w:rPr>
              <w:fldChar w:fldCharType="end"/>
            </w:r>
          </w:hyperlink>
        </w:p>
        <w:p w:rsidR="00B1417C" w:rsidRPr="00B1417C" w:rsidRDefault="00B1417C">
          <w:pPr>
            <w:pStyle w:val="Sumrio2"/>
            <w:tabs>
              <w:tab w:val="right" w:leader="dot" w:pos="8494"/>
            </w:tabs>
            <w:rPr>
              <w:noProof/>
            </w:rPr>
          </w:pPr>
          <w:hyperlink w:anchor="_Toc4481070" w:history="1">
            <w:bookmarkStart w:id="0" w:name="_GoBack"/>
            <w:bookmarkEnd w:id="0"/>
            <w:r w:rsidRPr="00B1417C">
              <w:rPr>
                <w:rStyle w:val="Hyperlink"/>
                <w:rFonts w:asciiTheme="majorHAnsi" w:eastAsiaTheme="majorEastAsia" w:hAnsiTheme="majorHAnsi" w:cstheme="majorBidi"/>
                <w:bCs/>
                <w:noProof/>
              </w:rPr>
              <w:t>Processual. Ausência de apresentação de provas documentais. Ausência de providências contra responsáveis pelas falhas. Não aplicação de multa específica.</w:t>
            </w:r>
            <w:r w:rsidRPr="00B1417C">
              <w:rPr>
                <w:noProof/>
                <w:webHidden/>
              </w:rPr>
              <w:tab/>
            </w:r>
            <w:r w:rsidRPr="00B1417C">
              <w:rPr>
                <w:noProof/>
                <w:webHidden/>
              </w:rPr>
              <w:fldChar w:fldCharType="begin"/>
            </w:r>
            <w:r w:rsidRPr="00B1417C">
              <w:rPr>
                <w:noProof/>
                <w:webHidden/>
              </w:rPr>
              <w:instrText xml:space="preserve"> PAGEREF _Toc4481070 \h </w:instrText>
            </w:r>
            <w:r w:rsidRPr="00B1417C">
              <w:rPr>
                <w:noProof/>
                <w:webHidden/>
              </w:rPr>
            </w:r>
            <w:r w:rsidRPr="00B1417C">
              <w:rPr>
                <w:noProof/>
                <w:webHidden/>
              </w:rPr>
              <w:fldChar w:fldCharType="separate"/>
            </w:r>
            <w:r w:rsidRPr="00B1417C">
              <w:rPr>
                <w:noProof/>
                <w:webHidden/>
              </w:rPr>
              <w:t>6</w:t>
            </w:r>
            <w:r w:rsidRPr="00B1417C">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C92A9A" w:rsidRPr="00A37F70" w:rsidRDefault="00C92A9A" w:rsidP="00C92A9A">
      <w:pPr>
        <w:pStyle w:val="Ttulo1"/>
        <w:jc w:val="both"/>
      </w:pPr>
      <w:bookmarkStart w:id="1" w:name="_Toc4481056"/>
      <w:r w:rsidRPr="00A37F70">
        <w:lastRenderedPageBreak/>
        <w:t>DESPESA</w:t>
      </w:r>
      <w:bookmarkEnd w:id="1"/>
    </w:p>
    <w:p w:rsidR="005203BE" w:rsidRPr="00A37F70" w:rsidRDefault="00FF28BC" w:rsidP="005203BE">
      <w:pPr>
        <w:pStyle w:val="Ttulo2"/>
        <w:jc w:val="both"/>
      </w:pPr>
      <w:bookmarkStart w:id="2" w:name="_Toc4481057"/>
      <w:r w:rsidRPr="00D81741">
        <w:t>Despesa</w:t>
      </w:r>
      <w:r w:rsidR="005203BE" w:rsidRPr="00D81741">
        <w:t xml:space="preserve">. </w:t>
      </w:r>
      <w:r w:rsidRPr="00D81741">
        <w:t>Concessão de diárias</w:t>
      </w:r>
      <w:r w:rsidR="00D81741" w:rsidRPr="00D81741">
        <w:t xml:space="preserve"> a Vereador.</w:t>
      </w:r>
      <w:r w:rsidRPr="00D81741">
        <w:t xml:space="preserve"> </w:t>
      </w:r>
      <w:r w:rsidR="00D81741" w:rsidRPr="00D81741">
        <w:t>Ausência de</w:t>
      </w:r>
      <w:r w:rsidRPr="00D81741">
        <w:t xml:space="preserve"> comprovação de realiza</w:t>
      </w:r>
      <w:r w:rsidR="00BC513F" w:rsidRPr="00D81741">
        <w:t>ção da viagem</w:t>
      </w:r>
      <w:r w:rsidR="005203BE" w:rsidRPr="00D81741">
        <w:t>.</w:t>
      </w:r>
      <w:bookmarkEnd w:id="2"/>
    </w:p>
    <w:p w:rsidR="005203BE" w:rsidRPr="00A37F70" w:rsidRDefault="005203BE" w:rsidP="005203BE">
      <w:pPr>
        <w:tabs>
          <w:tab w:val="left" w:pos="2325"/>
        </w:tabs>
        <w:ind w:left="2268"/>
        <w:rPr>
          <w:bCs/>
        </w:rPr>
      </w:pPr>
    </w:p>
    <w:p w:rsidR="005203BE" w:rsidRDefault="005203BE" w:rsidP="005203BE">
      <w:pPr>
        <w:ind w:left="2268"/>
        <w:jc w:val="both"/>
      </w:pPr>
      <w:r>
        <w:t>PRESTAÇÃO DE CONTAS. CONCESSÃO DE DIARIAS. IRREGULARES NA PRESTAÇÃO DE CONTAS DAS DIÁRIAS. AUSENCIA DE COMPROVAÇÃO DAS VIAGENS.</w:t>
      </w:r>
    </w:p>
    <w:p w:rsidR="005203BE" w:rsidRPr="00FF41C3" w:rsidRDefault="005203BE" w:rsidP="005203BE">
      <w:pPr>
        <w:pStyle w:val="PargrafodaLista"/>
        <w:numPr>
          <w:ilvl w:val="0"/>
          <w:numId w:val="35"/>
        </w:numPr>
        <w:ind w:left="2268" w:firstLine="0"/>
        <w:jc w:val="both"/>
      </w:pPr>
      <w:r>
        <w:t>Concessão de diá</w:t>
      </w:r>
      <w:r w:rsidR="00FF28BC">
        <w:t>rias a</w:t>
      </w:r>
      <w:r>
        <w:t xml:space="preserve"> vereadores sem a devida comprovação de r</w:t>
      </w:r>
      <w:r w:rsidR="00FF28BC">
        <w:t xml:space="preserve">ealização da viagem, visto que </w:t>
      </w:r>
      <w:r>
        <w:t>a documentação se limita a notas de empenhos, notas de liquidação e pagamentos, além de comprovantes de transferências bancárias em favor do servidor,</w:t>
      </w:r>
      <w:r w:rsidRPr="00A37F70">
        <w:t xml:space="preserve"> </w:t>
      </w:r>
      <w:r>
        <w:t xml:space="preserve">não apresentando os </w:t>
      </w:r>
      <w:r w:rsidRPr="00FF41C3">
        <w:t xml:space="preserve">comprovantes de despesas utilizados na viagem ou qualquer outra comprovação necessária. </w:t>
      </w:r>
    </w:p>
    <w:p w:rsidR="005203BE" w:rsidRPr="00A37F70" w:rsidRDefault="005203BE" w:rsidP="005203BE">
      <w:pPr>
        <w:ind w:left="2268"/>
        <w:jc w:val="both"/>
      </w:pPr>
      <w:r w:rsidRPr="00FF41C3">
        <w:t>(</w:t>
      </w:r>
      <w:r w:rsidR="00627D4C" w:rsidRPr="00FF41C3">
        <w:t>Recursos</w:t>
      </w:r>
      <w:r w:rsidRPr="00FF41C3">
        <w:t xml:space="preserve">. Processo </w:t>
      </w:r>
      <w:hyperlink r:id="rId11" w:history="1">
        <w:r w:rsidRPr="00FF41C3">
          <w:rPr>
            <w:rStyle w:val="Hyperlink"/>
          </w:rPr>
          <w:t>TC/</w:t>
        </w:r>
        <w:r w:rsidR="00627D4C" w:rsidRPr="00FF41C3">
          <w:rPr>
            <w:rStyle w:val="Hyperlink"/>
          </w:rPr>
          <w:t>016213</w:t>
        </w:r>
        <w:r w:rsidRPr="00FF41C3">
          <w:rPr>
            <w:rStyle w:val="Hyperlink"/>
          </w:rPr>
          <w:t>/201</w:t>
        </w:r>
        <w:r w:rsidR="00627D4C" w:rsidRPr="00FF41C3">
          <w:rPr>
            <w:rStyle w:val="Hyperlink"/>
          </w:rPr>
          <w:t>8</w:t>
        </w:r>
      </w:hyperlink>
      <w:r w:rsidRPr="00FF41C3">
        <w:t xml:space="preserve"> – Relator: Cons. </w:t>
      </w:r>
      <w:r w:rsidR="00627D4C" w:rsidRPr="00FF41C3">
        <w:t>Substituto Jackson Nobre Veras</w:t>
      </w:r>
      <w:r w:rsidRPr="00FF41C3">
        <w:t xml:space="preserve">. </w:t>
      </w:r>
      <w:r w:rsidR="00627D4C" w:rsidRPr="00FF41C3">
        <w:t>Plenário</w:t>
      </w:r>
      <w:r w:rsidRPr="00FF41C3">
        <w:t xml:space="preserve">. Decisão Unânime. Acórdão nº </w:t>
      </w:r>
      <w:r w:rsidR="00627D4C" w:rsidRPr="00FF41C3">
        <w:t>79</w:t>
      </w:r>
      <w:r w:rsidRPr="00FF41C3">
        <w:t>/201</w:t>
      </w:r>
      <w:r w:rsidR="00627D4C" w:rsidRPr="00FF41C3">
        <w:t>9</w:t>
      </w:r>
      <w:r w:rsidRPr="00FF41C3">
        <w:t xml:space="preserve"> publicado no </w:t>
      </w:r>
      <w:hyperlink r:id="rId12" w:history="1">
        <w:r w:rsidRPr="00FF41C3">
          <w:rPr>
            <w:rStyle w:val="Hyperlink"/>
          </w:rPr>
          <w:t>DOE/TCE-PI º 024/19</w:t>
        </w:r>
      </w:hyperlink>
      <w:proofErr w:type="gramStart"/>
      <w:r w:rsidRPr="00FF41C3">
        <w:t>)</w:t>
      </w:r>
      <w:proofErr w:type="gramEnd"/>
    </w:p>
    <w:p w:rsidR="005203BE" w:rsidRDefault="005203BE" w:rsidP="005203BE">
      <w:pPr>
        <w:tabs>
          <w:tab w:val="left" w:pos="1032"/>
        </w:tabs>
        <w:jc w:val="both"/>
      </w:pPr>
    </w:p>
    <w:p w:rsidR="00E81D41" w:rsidRPr="00A37F70" w:rsidRDefault="00E81D41" w:rsidP="00E81D41">
      <w:pPr>
        <w:pStyle w:val="Ttulo1"/>
        <w:jc w:val="both"/>
      </w:pPr>
      <w:bookmarkStart w:id="3" w:name="_Toc4481058"/>
      <w:r w:rsidRPr="00A37F70">
        <w:t>EDUCAÇÃO</w:t>
      </w:r>
      <w:bookmarkEnd w:id="3"/>
    </w:p>
    <w:p w:rsidR="00A00508" w:rsidRPr="00A37F70" w:rsidRDefault="00A00508" w:rsidP="00A00508"/>
    <w:p w:rsidR="00A00508" w:rsidRPr="00A37F70" w:rsidRDefault="00A00508" w:rsidP="00A00508">
      <w:pPr>
        <w:pStyle w:val="Ttulo2"/>
        <w:jc w:val="both"/>
      </w:pPr>
      <w:bookmarkStart w:id="4" w:name="_Toc4481059"/>
      <w:r w:rsidRPr="00B1417C">
        <w:t xml:space="preserve">Educação. </w:t>
      </w:r>
      <w:r w:rsidR="00C4629E" w:rsidRPr="00B1417C">
        <w:t xml:space="preserve">Recursos do </w:t>
      </w:r>
      <w:r w:rsidRPr="00B1417C">
        <w:t xml:space="preserve">FUNDEB. </w:t>
      </w:r>
      <w:r w:rsidR="00041D6F" w:rsidRPr="00B1417C">
        <w:t xml:space="preserve">Pagamento de débitos de exercícios anteriores. Utilização de </w:t>
      </w:r>
      <w:r w:rsidRPr="00B1417C">
        <w:t>outros recursos para pagamento das despesas do FUNDEB.</w:t>
      </w:r>
      <w:bookmarkEnd w:id="4"/>
    </w:p>
    <w:p w:rsidR="00A00508" w:rsidRPr="00A37F70" w:rsidRDefault="00A00508" w:rsidP="00A00508">
      <w:pPr>
        <w:tabs>
          <w:tab w:val="left" w:pos="2325"/>
        </w:tabs>
        <w:ind w:left="2268"/>
        <w:rPr>
          <w:bCs/>
        </w:rPr>
      </w:pPr>
    </w:p>
    <w:p w:rsidR="003A187B" w:rsidRDefault="003A187B" w:rsidP="003A187B">
      <w:pPr>
        <w:ind w:left="2268"/>
        <w:jc w:val="both"/>
      </w:pPr>
      <w:r>
        <w:t>EDUCAÇÃO. PAGAMENTO INDEVIDO DE DESPESAS DE EXERCÍCIOS ANTERIORES COM RECURSOS DO FUNDEB. REGULARIDADE COM RESSALVAS.</w:t>
      </w:r>
    </w:p>
    <w:p w:rsidR="003A187B" w:rsidRDefault="003A187B" w:rsidP="003A187B">
      <w:pPr>
        <w:pStyle w:val="PargrafodaLista"/>
        <w:numPr>
          <w:ilvl w:val="0"/>
          <w:numId w:val="33"/>
        </w:numPr>
        <w:ind w:left="2268" w:firstLine="0"/>
        <w:jc w:val="both"/>
      </w:pPr>
      <w:r>
        <w:t>Os recursos do FUNDEB devem ser utilizados dentro do exercício a que se referem, ou seja, em que são transferidos. Os eventuais débitos de exercícios anteriores deverão ser pagos com outros recursos, que não sejam originários do fundo.</w:t>
      </w:r>
      <w:r w:rsidRPr="00A37F70">
        <w:t xml:space="preserve"> </w:t>
      </w:r>
    </w:p>
    <w:p w:rsidR="00A00508" w:rsidRPr="00A37F70" w:rsidRDefault="00A00508" w:rsidP="003A187B">
      <w:pPr>
        <w:ind w:left="2268"/>
        <w:jc w:val="both"/>
      </w:pPr>
      <w:r w:rsidRPr="00A37F70">
        <w:lastRenderedPageBreak/>
        <w:t>(</w:t>
      </w:r>
      <w:r w:rsidR="00D81741">
        <w:t>Prestação de C</w:t>
      </w:r>
      <w:r w:rsidR="00F51D24">
        <w:t>ontas</w:t>
      </w:r>
      <w:r w:rsidRPr="00A37F70">
        <w:t xml:space="preserve">. </w:t>
      </w:r>
      <w:r w:rsidRPr="0044506E">
        <w:t xml:space="preserve">Processo </w:t>
      </w:r>
      <w:hyperlink r:id="rId13" w:history="1">
        <w:r w:rsidRPr="0044506E">
          <w:rPr>
            <w:rStyle w:val="Hyperlink"/>
          </w:rPr>
          <w:t>TC/</w:t>
        </w:r>
        <w:r w:rsidR="00F51D24" w:rsidRPr="0044506E">
          <w:rPr>
            <w:rStyle w:val="Hyperlink"/>
          </w:rPr>
          <w:t>003302</w:t>
        </w:r>
        <w:r w:rsidRPr="0044506E">
          <w:rPr>
            <w:rStyle w:val="Hyperlink"/>
          </w:rPr>
          <w:t>/2016</w:t>
        </w:r>
      </w:hyperlink>
      <w:r w:rsidRPr="0044506E">
        <w:t xml:space="preserve"> – Relator: Cons. </w:t>
      </w:r>
      <w:r w:rsidR="00F51D24" w:rsidRPr="0044506E">
        <w:t>Kleber Dantas Eulálio</w:t>
      </w:r>
      <w:r w:rsidRPr="0044506E">
        <w:t xml:space="preserve">. </w:t>
      </w:r>
      <w:r w:rsidR="00F51D24" w:rsidRPr="0044506E">
        <w:t>Primeira</w:t>
      </w:r>
      <w:r w:rsidRPr="0044506E">
        <w:t xml:space="preserve"> Câmara. Decisão Unânime. Acórdão nº </w:t>
      </w:r>
      <w:r w:rsidR="00F51D24" w:rsidRPr="0044506E">
        <w:t>2098</w:t>
      </w:r>
      <w:r w:rsidRPr="0044506E">
        <w:t>/201</w:t>
      </w:r>
      <w:r w:rsidR="00F51D24" w:rsidRPr="0044506E">
        <w:t>8</w:t>
      </w:r>
      <w:r w:rsidRPr="0044506E">
        <w:t xml:space="preserve"> publicado no </w:t>
      </w:r>
      <w:hyperlink r:id="rId14" w:history="1">
        <w:r w:rsidRPr="0044506E">
          <w:rPr>
            <w:rStyle w:val="Hyperlink"/>
          </w:rPr>
          <w:t>DOE/TCE-PI º 024/19</w:t>
        </w:r>
      </w:hyperlink>
      <w:proofErr w:type="gramStart"/>
      <w:r w:rsidRPr="0044506E">
        <w:t>)</w:t>
      </w:r>
      <w:proofErr w:type="gramEnd"/>
    </w:p>
    <w:p w:rsidR="00BB38F8" w:rsidRPr="00B1417C" w:rsidRDefault="00BB38F8" w:rsidP="00BB38F8">
      <w:pPr>
        <w:pStyle w:val="Ttulo1"/>
        <w:jc w:val="both"/>
      </w:pPr>
      <w:bookmarkStart w:id="5" w:name="_Toc4481060"/>
      <w:r w:rsidRPr="00B1417C">
        <w:t>PESSOAL</w:t>
      </w:r>
      <w:bookmarkEnd w:id="5"/>
    </w:p>
    <w:p w:rsidR="00E160DF" w:rsidRPr="00A37F70" w:rsidRDefault="00E160DF" w:rsidP="00E160DF">
      <w:pPr>
        <w:pStyle w:val="Ttulo2"/>
        <w:jc w:val="both"/>
      </w:pPr>
      <w:bookmarkStart w:id="6" w:name="_Toc4481061"/>
      <w:r w:rsidRPr="00B1417C">
        <w:t>Pessoal.</w:t>
      </w:r>
      <w:r w:rsidR="00A37F70" w:rsidRPr="00B1417C">
        <w:t xml:space="preserve"> </w:t>
      </w:r>
      <w:r w:rsidR="005C6977" w:rsidRPr="00B1417C">
        <w:t xml:space="preserve">Anulação </w:t>
      </w:r>
      <w:r w:rsidR="00F9052A" w:rsidRPr="00B1417C">
        <w:t>de nomeação irregular de servidor. Saneamento da irregularidade</w:t>
      </w:r>
      <w:r w:rsidRPr="00B1417C">
        <w:t>.</w:t>
      </w:r>
      <w:bookmarkEnd w:id="6"/>
    </w:p>
    <w:p w:rsidR="00112156" w:rsidRPr="00A37F70" w:rsidRDefault="00112156" w:rsidP="00112156">
      <w:pPr>
        <w:ind w:left="2268"/>
        <w:jc w:val="both"/>
        <w:rPr>
          <w:bCs/>
        </w:rPr>
      </w:pPr>
    </w:p>
    <w:p w:rsidR="00A37F70" w:rsidRPr="00A37F70" w:rsidRDefault="00A37F70" w:rsidP="00A37F70">
      <w:pPr>
        <w:ind w:left="2268"/>
        <w:jc w:val="both"/>
        <w:rPr>
          <w:bCs/>
        </w:rPr>
      </w:pPr>
      <w:r w:rsidRPr="00A37F70">
        <w:rPr>
          <w:bCs/>
        </w:rPr>
        <w:t>DENÚNCIA. PESSOAL. PRÁTICA</w:t>
      </w:r>
      <w:r>
        <w:rPr>
          <w:bCs/>
        </w:rPr>
        <w:t xml:space="preserve"> </w:t>
      </w:r>
      <w:r w:rsidRPr="00A37F70">
        <w:rPr>
          <w:bCs/>
        </w:rPr>
        <w:t>DE NEPOTISMO. PUBLICAÇÃO DE ATO</w:t>
      </w:r>
      <w:r>
        <w:rPr>
          <w:bCs/>
        </w:rPr>
        <w:t xml:space="preserve"> </w:t>
      </w:r>
      <w:r w:rsidRPr="00A37F70">
        <w:rPr>
          <w:bCs/>
        </w:rPr>
        <w:t>ANULANDO A NOMEAÇÃO DO SERVIDOR.</w:t>
      </w:r>
      <w:r>
        <w:rPr>
          <w:bCs/>
        </w:rPr>
        <w:t xml:space="preserve"> </w:t>
      </w:r>
      <w:r w:rsidRPr="00A37F70">
        <w:rPr>
          <w:bCs/>
        </w:rPr>
        <w:t>SANEAMENTO DA IRREGULARIDADE.</w:t>
      </w:r>
    </w:p>
    <w:p w:rsidR="00A37F70" w:rsidRPr="00296775" w:rsidRDefault="00A37F70" w:rsidP="00296775">
      <w:pPr>
        <w:pStyle w:val="PargrafodaLista"/>
        <w:numPr>
          <w:ilvl w:val="0"/>
          <w:numId w:val="31"/>
        </w:numPr>
        <w:ind w:left="2268" w:firstLine="0"/>
        <w:jc w:val="both"/>
        <w:rPr>
          <w:bCs/>
        </w:rPr>
      </w:pPr>
      <w:r w:rsidRPr="00296775">
        <w:rPr>
          <w:bCs/>
        </w:rPr>
        <w:t xml:space="preserve">A publicação de ato administrativo contendo a anulação da nomeação de servidor que motivou a presente denúncia sana a irregularidade mencionada. </w:t>
      </w:r>
    </w:p>
    <w:p w:rsidR="00E160DF" w:rsidRPr="00A37F70" w:rsidRDefault="00E160DF" w:rsidP="00A37F70">
      <w:pPr>
        <w:ind w:left="2268"/>
        <w:jc w:val="both"/>
      </w:pPr>
      <w:r w:rsidRPr="00A37F70">
        <w:t>(</w:t>
      </w:r>
      <w:r w:rsidR="000F16B0">
        <w:t>Denúnc</w:t>
      </w:r>
      <w:r w:rsidR="000E78DA">
        <w:t>ia</w:t>
      </w:r>
      <w:r w:rsidRPr="00A37F70">
        <w:t xml:space="preserve">. </w:t>
      </w:r>
      <w:r w:rsidRPr="00222209">
        <w:t xml:space="preserve">Processo </w:t>
      </w:r>
      <w:hyperlink r:id="rId15" w:history="1">
        <w:r w:rsidRPr="00222209">
          <w:rPr>
            <w:rStyle w:val="Hyperlink"/>
          </w:rPr>
          <w:t>TC/</w:t>
        </w:r>
        <w:r w:rsidR="000E78DA" w:rsidRPr="00222209">
          <w:rPr>
            <w:rStyle w:val="Hyperlink"/>
          </w:rPr>
          <w:t>017729</w:t>
        </w:r>
        <w:r w:rsidRPr="00222209">
          <w:rPr>
            <w:rStyle w:val="Hyperlink"/>
          </w:rPr>
          <w:t>/201</w:t>
        </w:r>
        <w:r w:rsidR="000E78DA" w:rsidRPr="00222209">
          <w:rPr>
            <w:rStyle w:val="Hyperlink"/>
          </w:rPr>
          <w:t>7</w:t>
        </w:r>
      </w:hyperlink>
      <w:r w:rsidR="000E78DA" w:rsidRPr="00222209">
        <w:t xml:space="preserve"> – Relator</w:t>
      </w:r>
      <w:r w:rsidRPr="00222209">
        <w:t>: Cons.</w:t>
      </w:r>
      <w:r w:rsidR="00112156" w:rsidRPr="00222209">
        <w:t xml:space="preserve"> </w:t>
      </w:r>
      <w:r w:rsidR="000E78DA" w:rsidRPr="00222209">
        <w:t>Joaquim Kennedy Nogueira Barros</w:t>
      </w:r>
      <w:r w:rsidRPr="00222209">
        <w:t xml:space="preserve">. </w:t>
      </w:r>
      <w:r w:rsidR="000E78DA" w:rsidRPr="00222209">
        <w:t>Segunda</w:t>
      </w:r>
      <w:r w:rsidRPr="00222209">
        <w:t xml:space="preserve"> Câmara</w:t>
      </w:r>
      <w:r w:rsidR="000E78DA" w:rsidRPr="00222209">
        <w:t>. Decisão Unânime. Acórdão nº 34</w:t>
      </w:r>
      <w:r w:rsidRPr="00222209">
        <w:t>/</w:t>
      </w:r>
      <w:r w:rsidR="00112156" w:rsidRPr="00222209">
        <w:t>20</w:t>
      </w:r>
      <w:r w:rsidRPr="00222209">
        <w:t>1</w:t>
      </w:r>
      <w:r w:rsidR="000E78DA" w:rsidRPr="00222209">
        <w:t>9</w:t>
      </w:r>
      <w:r w:rsidRPr="00222209">
        <w:t xml:space="preserve"> publicado no </w:t>
      </w:r>
      <w:hyperlink r:id="rId16" w:history="1">
        <w:r w:rsidR="00222209" w:rsidRPr="00222209">
          <w:rPr>
            <w:rStyle w:val="Hyperlink"/>
          </w:rPr>
          <w:t>DOE/TCE-PI º 024/19</w:t>
        </w:r>
      </w:hyperlink>
      <w:proofErr w:type="gramStart"/>
      <w:r w:rsidRPr="00222209">
        <w:t>)</w:t>
      </w:r>
      <w:proofErr w:type="gramEnd"/>
    </w:p>
    <w:p w:rsidR="00112156" w:rsidRPr="00A37F70" w:rsidRDefault="00112156" w:rsidP="00E160DF">
      <w:pPr>
        <w:ind w:left="2268"/>
        <w:jc w:val="both"/>
      </w:pPr>
    </w:p>
    <w:p w:rsidR="00713583" w:rsidRDefault="0022712D" w:rsidP="00713583">
      <w:pPr>
        <w:pStyle w:val="Ttulo2"/>
        <w:jc w:val="both"/>
      </w:pPr>
      <w:bookmarkStart w:id="7" w:name="_Toc4481062"/>
      <w:r w:rsidRPr="00B1417C">
        <w:t>Pessoal.</w:t>
      </w:r>
      <w:r w:rsidR="00904E41" w:rsidRPr="00B1417C">
        <w:t xml:space="preserve"> </w:t>
      </w:r>
      <w:r w:rsidR="00F13E30" w:rsidRPr="00B1417C">
        <w:t xml:space="preserve">Contratação </w:t>
      </w:r>
      <w:r w:rsidR="008E2B1D" w:rsidRPr="00B1417C">
        <w:t xml:space="preserve">para prestação de serviços esporádicos. Prestação de </w:t>
      </w:r>
      <w:r w:rsidR="00713583" w:rsidRPr="00B1417C">
        <w:t>serviços de atividade-meio</w:t>
      </w:r>
      <w:r w:rsidRPr="00B1417C">
        <w:t>.</w:t>
      </w:r>
      <w:bookmarkEnd w:id="7"/>
    </w:p>
    <w:p w:rsidR="00904E41" w:rsidRPr="00713583" w:rsidRDefault="00713583" w:rsidP="00713583">
      <w:pPr>
        <w:pStyle w:val="Ttulo2"/>
        <w:ind w:left="2268"/>
        <w:jc w:val="both"/>
        <w:rPr>
          <w:rFonts w:asciiTheme="minorHAnsi" w:eastAsiaTheme="minorHAnsi" w:hAnsiTheme="minorHAnsi" w:cstheme="minorBidi"/>
          <w:b w:val="0"/>
          <w:color w:val="auto"/>
          <w:sz w:val="22"/>
          <w:szCs w:val="22"/>
        </w:rPr>
      </w:pPr>
      <w:bookmarkStart w:id="8" w:name="_Toc4481063"/>
      <w:r w:rsidRPr="00713583">
        <w:rPr>
          <w:rFonts w:asciiTheme="minorHAnsi" w:eastAsiaTheme="minorHAnsi" w:hAnsiTheme="minorHAnsi" w:cstheme="minorBidi"/>
          <w:b w:val="0"/>
          <w:color w:val="auto"/>
          <w:sz w:val="22"/>
          <w:szCs w:val="22"/>
        </w:rPr>
        <w:t>REPRESENTAÇÃO. CONTRATAÇÃO PARA PRESTAÇÃO DE SERVIÇOS ESPORÁDICOS. IMPROCEDÊNCIA. ARQUIVAMENTO.</w:t>
      </w:r>
      <w:bookmarkEnd w:id="8"/>
    </w:p>
    <w:p w:rsidR="00904E41" w:rsidRDefault="00904E41" w:rsidP="00904E41">
      <w:pPr>
        <w:ind w:left="2268"/>
        <w:jc w:val="both"/>
        <w:rPr>
          <w:bCs/>
        </w:rPr>
      </w:pPr>
      <w:r w:rsidRPr="00904E41">
        <w:rPr>
          <w:bCs/>
        </w:rPr>
        <w:t>A contratação de servidores para a prestação de</w:t>
      </w:r>
      <w:r>
        <w:rPr>
          <w:bCs/>
        </w:rPr>
        <w:t xml:space="preserve"> </w:t>
      </w:r>
      <w:r w:rsidRPr="00904E41">
        <w:rPr>
          <w:bCs/>
        </w:rPr>
        <w:t>serviços esporádicos, de natureza temporária e</w:t>
      </w:r>
      <w:r>
        <w:rPr>
          <w:bCs/>
        </w:rPr>
        <w:t xml:space="preserve"> </w:t>
      </w:r>
      <w:r w:rsidRPr="00904E41">
        <w:rPr>
          <w:bCs/>
        </w:rPr>
        <w:t>com objetos distintos, não se tratando de atividade</w:t>
      </w:r>
      <w:r w:rsidR="00E42011">
        <w:rPr>
          <w:bCs/>
        </w:rPr>
        <w:t xml:space="preserve"> </w:t>
      </w:r>
      <w:r w:rsidRPr="00904E41">
        <w:rPr>
          <w:bCs/>
        </w:rPr>
        <w:t>fim</w:t>
      </w:r>
      <w:r>
        <w:rPr>
          <w:bCs/>
        </w:rPr>
        <w:t xml:space="preserve"> </w:t>
      </w:r>
      <w:r w:rsidRPr="00904E41">
        <w:rPr>
          <w:bCs/>
        </w:rPr>
        <w:t>da Administração Municipal, não representa</w:t>
      </w:r>
      <w:r>
        <w:rPr>
          <w:bCs/>
        </w:rPr>
        <w:t xml:space="preserve"> </w:t>
      </w:r>
      <w:r w:rsidRPr="00904E41">
        <w:rPr>
          <w:bCs/>
        </w:rPr>
        <w:t>irregularidade, pois prescinde da realização de</w:t>
      </w:r>
      <w:r>
        <w:rPr>
          <w:bCs/>
        </w:rPr>
        <w:t xml:space="preserve"> </w:t>
      </w:r>
      <w:r w:rsidRPr="00904E41">
        <w:rPr>
          <w:bCs/>
        </w:rPr>
        <w:t xml:space="preserve">concurso/teste seletivo. </w:t>
      </w:r>
    </w:p>
    <w:p w:rsidR="0022712D" w:rsidRPr="00A37F70" w:rsidRDefault="0022712D" w:rsidP="00904E41">
      <w:pPr>
        <w:ind w:left="2268"/>
        <w:jc w:val="both"/>
      </w:pPr>
      <w:r w:rsidRPr="00A37F70">
        <w:t xml:space="preserve">(Representação. </w:t>
      </w:r>
      <w:r w:rsidRPr="00897DC5">
        <w:t xml:space="preserve">Processo </w:t>
      </w:r>
      <w:hyperlink r:id="rId17" w:history="1">
        <w:r w:rsidRPr="00897DC5">
          <w:rPr>
            <w:rStyle w:val="Hyperlink"/>
          </w:rPr>
          <w:t>TC/</w:t>
        </w:r>
        <w:r w:rsidR="003321A0" w:rsidRPr="00897DC5">
          <w:rPr>
            <w:rStyle w:val="Hyperlink"/>
          </w:rPr>
          <w:t>013156</w:t>
        </w:r>
        <w:r w:rsidRPr="00897DC5">
          <w:rPr>
            <w:rStyle w:val="Hyperlink"/>
          </w:rPr>
          <w:t>/201</w:t>
        </w:r>
        <w:r w:rsidR="003321A0" w:rsidRPr="00897DC5">
          <w:rPr>
            <w:rStyle w:val="Hyperlink"/>
          </w:rPr>
          <w:t>8</w:t>
        </w:r>
      </w:hyperlink>
      <w:r w:rsidRPr="00897DC5">
        <w:t xml:space="preserve"> – Relatora: </w:t>
      </w:r>
      <w:proofErr w:type="spellStart"/>
      <w:r w:rsidRPr="00897DC5">
        <w:t>Consª</w:t>
      </w:r>
      <w:proofErr w:type="spellEnd"/>
      <w:r w:rsidRPr="00897DC5">
        <w:t xml:space="preserve">. </w:t>
      </w:r>
      <w:proofErr w:type="spellStart"/>
      <w:r w:rsidRPr="00897DC5">
        <w:t>Waltânia</w:t>
      </w:r>
      <w:proofErr w:type="spellEnd"/>
      <w:r w:rsidRPr="00897DC5">
        <w:t xml:space="preserve"> Maria N. De Sousa Leal Alvarenga. Segunda Câmara. Decisão Unânime. Ac</w:t>
      </w:r>
      <w:r w:rsidR="000C332B" w:rsidRPr="00897DC5">
        <w:t>órdão nº 38</w:t>
      </w:r>
      <w:r w:rsidRPr="00897DC5">
        <w:t>/201</w:t>
      </w:r>
      <w:r w:rsidR="000C332B" w:rsidRPr="00897DC5">
        <w:t>9</w:t>
      </w:r>
      <w:r w:rsidRPr="00897DC5">
        <w:t xml:space="preserve"> publicado no </w:t>
      </w:r>
      <w:hyperlink r:id="rId18" w:history="1">
        <w:r w:rsidR="00897DC5" w:rsidRPr="00897DC5">
          <w:rPr>
            <w:rStyle w:val="Hyperlink"/>
          </w:rPr>
          <w:t>DOE/TCE-PI nº 025/19</w:t>
        </w:r>
      </w:hyperlink>
      <w:proofErr w:type="gramStart"/>
      <w:r w:rsidRPr="00897DC5">
        <w:t>)</w:t>
      </w:r>
      <w:proofErr w:type="gramEnd"/>
    </w:p>
    <w:p w:rsidR="0022712D" w:rsidRPr="00A37F70" w:rsidRDefault="0022712D" w:rsidP="00112156">
      <w:pPr>
        <w:keepNext/>
        <w:keepLines/>
        <w:spacing w:before="200" w:after="0"/>
        <w:jc w:val="both"/>
        <w:outlineLvl w:val="1"/>
        <w:rPr>
          <w:rFonts w:asciiTheme="majorHAnsi" w:eastAsiaTheme="majorEastAsia" w:hAnsiTheme="majorHAnsi" w:cstheme="majorBidi"/>
          <w:b/>
          <w:bCs/>
          <w:color w:val="4F81BD" w:themeColor="accent1"/>
          <w:sz w:val="26"/>
          <w:szCs w:val="26"/>
        </w:rPr>
      </w:pPr>
    </w:p>
    <w:p w:rsidR="00947A91" w:rsidRPr="00A37F70" w:rsidRDefault="00947A91" w:rsidP="00947A91">
      <w:pPr>
        <w:pStyle w:val="Ttulo2"/>
        <w:jc w:val="both"/>
      </w:pPr>
      <w:bookmarkStart w:id="9" w:name="_Toc4481064"/>
      <w:r w:rsidRPr="00A37F70">
        <w:t>Pessoal</w:t>
      </w:r>
      <w:r w:rsidRPr="00B1417C">
        <w:t>.</w:t>
      </w:r>
      <w:r w:rsidR="00CE67D8" w:rsidRPr="00B1417C">
        <w:t xml:space="preserve"> </w:t>
      </w:r>
      <w:r w:rsidR="0097460C" w:rsidRPr="00B1417C">
        <w:t xml:space="preserve">Incompetência </w:t>
      </w:r>
      <w:r w:rsidR="00EC417C" w:rsidRPr="00B1417C">
        <w:t xml:space="preserve">do Tribunal de Contas do Estado </w:t>
      </w:r>
      <w:r w:rsidR="00B1417C" w:rsidRPr="00B1417C">
        <w:t>na área de D</w:t>
      </w:r>
      <w:r w:rsidR="008E4A3D" w:rsidRPr="00B1417C">
        <w:t xml:space="preserve">ireitos </w:t>
      </w:r>
      <w:r w:rsidR="00B1417C" w:rsidRPr="00B1417C">
        <w:t>T</w:t>
      </w:r>
      <w:r w:rsidR="008E4A3D" w:rsidRPr="00B1417C">
        <w:t>rabalhistas</w:t>
      </w:r>
      <w:r w:rsidRPr="00B1417C">
        <w:t>.</w:t>
      </w:r>
      <w:bookmarkEnd w:id="9"/>
    </w:p>
    <w:p w:rsidR="00947A91" w:rsidRPr="00A37F70" w:rsidRDefault="00947A91" w:rsidP="00947A91">
      <w:pPr>
        <w:ind w:left="2268"/>
        <w:jc w:val="both"/>
        <w:rPr>
          <w:bCs/>
        </w:rPr>
      </w:pPr>
    </w:p>
    <w:p w:rsidR="00CE67D8" w:rsidRPr="00CE67D8" w:rsidRDefault="00CE67D8" w:rsidP="00CE67D8">
      <w:pPr>
        <w:ind w:left="2268"/>
        <w:jc w:val="both"/>
        <w:rPr>
          <w:bCs/>
        </w:rPr>
      </w:pPr>
      <w:r w:rsidRPr="00CE67D8">
        <w:rPr>
          <w:bCs/>
        </w:rPr>
        <w:t>NÃO PAGAMENTO DE VERBAS</w:t>
      </w:r>
      <w:r>
        <w:rPr>
          <w:bCs/>
        </w:rPr>
        <w:t xml:space="preserve"> </w:t>
      </w:r>
      <w:r w:rsidRPr="00CE67D8">
        <w:rPr>
          <w:bCs/>
        </w:rPr>
        <w:t>TRABALHISTAS E PREVIDENCIÁRIAS.</w:t>
      </w:r>
      <w:r>
        <w:rPr>
          <w:bCs/>
        </w:rPr>
        <w:t xml:space="preserve"> </w:t>
      </w:r>
      <w:r w:rsidRPr="00CE67D8">
        <w:rPr>
          <w:bCs/>
        </w:rPr>
        <w:t>SERVIDORA MUNICIPAL. VINCULAÇÃO A</w:t>
      </w:r>
      <w:r>
        <w:rPr>
          <w:bCs/>
        </w:rPr>
        <w:t xml:space="preserve"> </w:t>
      </w:r>
      <w:r w:rsidRPr="00CE67D8">
        <w:rPr>
          <w:bCs/>
        </w:rPr>
        <w:t>EMPRESA TERCEIRIZADA. COMPETÊNCIA DO</w:t>
      </w:r>
      <w:r>
        <w:rPr>
          <w:bCs/>
        </w:rPr>
        <w:t xml:space="preserve"> </w:t>
      </w:r>
      <w:r w:rsidRPr="00CE67D8">
        <w:rPr>
          <w:bCs/>
        </w:rPr>
        <w:t>MINISTÉRIO PÚBLICO DO TRABALHO E DA</w:t>
      </w:r>
      <w:r>
        <w:rPr>
          <w:bCs/>
        </w:rPr>
        <w:t xml:space="preserve"> </w:t>
      </w:r>
      <w:r w:rsidRPr="00CE67D8">
        <w:rPr>
          <w:bCs/>
        </w:rPr>
        <w:t>JUSTIÇA DO TRABALHO</w:t>
      </w:r>
      <w:r>
        <w:rPr>
          <w:bCs/>
        </w:rPr>
        <w:t>.</w:t>
      </w:r>
    </w:p>
    <w:p w:rsidR="00CE67D8" w:rsidRDefault="00CE67D8" w:rsidP="00CE67D8">
      <w:pPr>
        <w:ind w:left="2268"/>
        <w:jc w:val="both"/>
        <w:rPr>
          <w:bCs/>
        </w:rPr>
      </w:pPr>
      <w:r w:rsidRPr="00CE67D8">
        <w:rPr>
          <w:bCs/>
        </w:rPr>
        <w:t>Os Tribunais de Contas, no exercício do controle</w:t>
      </w:r>
      <w:r>
        <w:rPr>
          <w:bCs/>
        </w:rPr>
        <w:t xml:space="preserve"> </w:t>
      </w:r>
      <w:r w:rsidRPr="00CE67D8">
        <w:rPr>
          <w:bCs/>
        </w:rPr>
        <w:t>externo, não tem competência para atuar na</w:t>
      </w:r>
      <w:r>
        <w:rPr>
          <w:bCs/>
        </w:rPr>
        <w:t xml:space="preserve"> </w:t>
      </w:r>
      <w:r w:rsidRPr="00CE67D8">
        <w:rPr>
          <w:bCs/>
        </w:rPr>
        <w:t>salvaguarda de direitos trabalhistas de empregados</w:t>
      </w:r>
      <w:r>
        <w:rPr>
          <w:bCs/>
        </w:rPr>
        <w:t xml:space="preserve"> </w:t>
      </w:r>
      <w:r w:rsidRPr="00CE67D8">
        <w:rPr>
          <w:bCs/>
        </w:rPr>
        <w:t xml:space="preserve">de empresa de terceirização de mão de obra. Não cabe ao Órgão de Controle Externo o papel de cobrar do Estado pagamentos que eventualmente estejam atrasados junto às empresas de terceirização de mão de obra, tendo em vista que </w:t>
      </w:r>
      <w:proofErr w:type="gramStart"/>
      <w:r w:rsidRPr="00CE67D8">
        <w:rPr>
          <w:bCs/>
        </w:rPr>
        <w:t>o não pagamento das verbas trabalhistas e previdenciárias devidas à contratada em questão é</w:t>
      </w:r>
      <w:proofErr w:type="gramEnd"/>
      <w:r w:rsidRPr="00CE67D8">
        <w:rPr>
          <w:bCs/>
        </w:rPr>
        <w:t xml:space="preserve"> de competência da Justiça do Trabalho, nos termos da CRFB/88</w:t>
      </w:r>
    </w:p>
    <w:p w:rsidR="00947A91" w:rsidRPr="00A37F70" w:rsidRDefault="00947A91" w:rsidP="00CE67D8">
      <w:pPr>
        <w:ind w:left="2268"/>
        <w:jc w:val="both"/>
      </w:pPr>
      <w:r w:rsidRPr="00A37F70">
        <w:t>(</w:t>
      </w:r>
      <w:r w:rsidR="00111D0F">
        <w:t>Representação</w:t>
      </w:r>
      <w:r w:rsidRPr="00A37F70">
        <w:t xml:space="preserve">. </w:t>
      </w:r>
      <w:r w:rsidRPr="00CF253B">
        <w:t xml:space="preserve">Processo </w:t>
      </w:r>
      <w:hyperlink r:id="rId19" w:history="1">
        <w:r w:rsidRPr="00CF253B">
          <w:rPr>
            <w:rStyle w:val="Hyperlink"/>
          </w:rPr>
          <w:t>TC/</w:t>
        </w:r>
        <w:r w:rsidR="00111D0F" w:rsidRPr="00CF253B">
          <w:rPr>
            <w:rStyle w:val="Hyperlink"/>
          </w:rPr>
          <w:t>006697</w:t>
        </w:r>
        <w:r w:rsidRPr="00CF253B">
          <w:rPr>
            <w:rStyle w:val="Hyperlink"/>
          </w:rPr>
          <w:t>/201</w:t>
        </w:r>
        <w:r w:rsidR="00111D0F" w:rsidRPr="00CF253B">
          <w:rPr>
            <w:rStyle w:val="Hyperlink"/>
          </w:rPr>
          <w:t>5</w:t>
        </w:r>
      </w:hyperlink>
      <w:r w:rsidRPr="00CF253B">
        <w:t xml:space="preserve"> – Relator: Cons. </w:t>
      </w:r>
      <w:r w:rsidR="00111D0F" w:rsidRPr="00CF253B">
        <w:t>Joaquim Kennedy Nogueira Barros</w:t>
      </w:r>
      <w:r w:rsidRPr="00CF253B">
        <w:t>.</w:t>
      </w:r>
      <w:r w:rsidR="00C936FC" w:rsidRPr="00CF253B">
        <w:t xml:space="preserve"> </w:t>
      </w:r>
      <w:r w:rsidR="00951C42" w:rsidRPr="00CF253B">
        <w:t>Segunda Câmara</w:t>
      </w:r>
      <w:r w:rsidRPr="00CF253B">
        <w:t xml:space="preserve">. Decisão Unânime. Acórdão nº </w:t>
      </w:r>
      <w:r w:rsidR="00C2411B" w:rsidRPr="00CF253B">
        <w:t>219</w:t>
      </w:r>
      <w:r w:rsidRPr="00CF253B">
        <w:t>/201</w:t>
      </w:r>
      <w:r w:rsidR="00C2411B" w:rsidRPr="00CF253B">
        <w:t>9</w:t>
      </w:r>
      <w:r w:rsidRPr="00CF253B">
        <w:t xml:space="preserve"> publicado no </w:t>
      </w:r>
      <w:hyperlink r:id="rId20" w:history="1">
        <w:r w:rsidR="00CF253B" w:rsidRPr="00CF253B">
          <w:rPr>
            <w:rStyle w:val="Hyperlink"/>
          </w:rPr>
          <w:t>DOE/TCE-PI º 037/19</w:t>
        </w:r>
      </w:hyperlink>
      <w:proofErr w:type="gramStart"/>
      <w:r w:rsidRPr="00CF253B">
        <w:t>)</w:t>
      </w:r>
      <w:proofErr w:type="gramEnd"/>
    </w:p>
    <w:p w:rsidR="006A280C" w:rsidRPr="00A37F70" w:rsidRDefault="006A280C" w:rsidP="0095428E">
      <w:pPr>
        <w:jc w:val="both"/>
      </w:pPr>
    </w:p>
    <w:p w:rsidR="00BB38F8" w:rsidRPr="00A37F70" w:rsidRDefault="00BB38F8" w:rsidP="00BB38F8">
      <w:pPr>
        <w:pStyle w:val="Ttulo1"/>
        <w:jc w:val="both"/>
      </w:pPr>
      <w:bookmarkStart w:id="10" w:name="_Toc4481065"/>
      <w:r w:rsidRPr="00A37F70">
        <w:t>PR</w:t>
      </w:r>
      <w:r w:rsidR="002B702E" w:rsidRPr="00A37F70">
        <w:t>ESTAÇÃO DE CONTAS</w:t>
      </w:r>
      <w:bookmarkEnd w:id="10"/>
    </w:p>
    <w:p w:rsidR="00535863" w:rsidRPr="00A37F70" w:rsidRDefault="00535863" w:rsidP="00535863">
      <w:pPr>
        <w:pStyle w:val="Ttulo2"/>
        <w:jc w:val="both"/>
      </w:pPr>
      <w:bookmarkStart w:id="11" w:name="_Toc4481066"/>
      <w:r w:rsidRPr="00A37F70">
        <w:t>Prestação de Contas.</w:t>
      </w:r>
      <w:r w:rsidR="0040042A">
        <w:t xml:space="preserve"> </w:t>
      </w:r>
      <w:r w:rsidR="001077DC" w:rsidRPr="00B1417C">
        <w:t xml:space="preserve">Análise de exercício financeiro de fatos e atos com </w:t>
      </w:r>
      <w:r w:rsidR="00AF1EED" w:rsidRPr="00B1417C">
        <w:t>significante tempo ocorridos</w:t>
      </w:r>
      <w:r w:rsidR="001077DC" w:rsidRPr="00B1417C">
        <w:t xml:space="preserve">. </w:t>
      </w:r>
      <w:r w:rsidR="00AF1EED" w:rsidRPr="00B1417C">
        <w:t>Ausência de mecanismos de defesa plena pelo gestor. Ausência de meios probatórios. Princípio do contraditório. Princípio da ampla defesa</w:t>
      </w:r>
      <w:r w:rsidRPr="00B1417C">
        <w:t>.</w:t>
      </w:r>
      <w:bookmarkEnd w:id="11"/>
    </w:p>
    <w:p w:rsidR="00535863" w:rsidRPr="00A37F70" w:rsidRDefault="00F915E0" w:rsidP="00F915E0">
      <w:pPr>
        <w:tabs>
          <w:tab w:val="left" w:pos="3953"/>
        </w:tabs>
        <w:ind w:left="2268"/>
        <w:jc w:val="both"/>
      </w:pPr>
      <w:r>
        <w:tab/>
      </w:r>
    </w:p>
    <w:p w:rsidR="0040042A" w:rsidRDefault="0040042A" w:rsidP="0040042A">
      <w:pPr>
        <w:ind w:left="2268"/>
        <w:jc w:val="both"/>
      </w:pPr>
      <w:r>
        <w:t>PRESTAÇÃO DE CONTAS DA CÂMARA MUNICIPAL. EXERCÍCIO FINANCEIRO DE 2012. ANÁLISE DA GESTÃO ORÇAMENTÁRIA, FINANCEIRA E PATRIMONIAL. AUSÊNCIA DE PEÇAS EXIGIDAS PELA RESOLUÇÃO TCE NO 905/2019. FRAGMENTAÇÃO DE DESPESAS. INCONSISTÊNCIAS NAS DEMONSTRAÇÕES CONTÁBEIS. DESPESA TOTAL DA CÂMARA.</w:t>
      </w:r>
    </w:p>
    <w:p w:rsidR="0040042A" w:rsidRDefault="0040042A" w:rsidP="0040042A">
      <w:pPr>
        <w:pStyle w:val="PargrafodaLista"/>
        <w:numPr>
          <w:ilvl w:val="0"/>
          <w:numId w:val="37"/>
        </w:numPr>
        <w:ind w:left="2268" w:firstLine="0"/>
        <w:jc w:val="both"/>
      </w:pPr>
      <w:r>
        <w:lastRenderedPageBreak/>
        <w:t>A Resolução TCE nº 905/009 dispõe sobre a forma e prazos para a prestação de contas. Os atrasos verificados foram de pequena monta, não sendo suficientes para prejudicar a análise das contas.</w:t>
      </w:r>
    </w:p>
    <w:p w:rsidR="0040042A" w:rsidRDefault="0040042A" w:rsidP="0040042A">
      <w:pPr>
        <w:pStyle w:val="PargrafodaLista"/>
        <w:numPr>
          <w:ilvl w:val="0"/>
          <w:numId w:val="37"/>
        </w:numPr>
        <w:ind w:left="2268" w:firstLine="0"/>
        <w:jc w:val="both"/>
      </w:pPr>
      <w:r>
        <w:t xml:space="preserve">As peças tidas como ausentes do rol exigido pela Resolução TCE nº 09/2014, não comprometeram a análise das contas do referido exercício. </w:t>
      </w:r>
    </w:p>
    <w:p w:rsidR="0040042A" w:rsidRPr="007160D4" w:rsidRDefault="0040042A" w:rsidP="0040042A">
      <w:pPr>
        <w:pStyle w:val="PargrafodaLista"/>
        <w:numPr>
          <w:ilvl w:val="0"/>
          <w:numId w:val="37"/>
        </w:numPr>
        <w:ind w:left="2268" w:firstLine="0"/>
        <w:jc w:val="both"/>
        <w:rPr>
          <w:u w:val="single"/>
        </w:rPr>
      </w:pPr>
      <w:r w:rsidRPr="007160D4">
        <w:rPr>
          <w:u w:val="single"/>
        </w:rPr>
        <w:t>O dispêndio de recursos acima do percentual autorizado pelo art. 29-A da Constituição Federal, considerando os rígidos critérios adotados por esta corte de contas nos últimos anos, poderia, por si só, macular a prestação de contas como um todo.</w:t>
      </w:r>
    </w:p>
    <w:p w:rsidR="0040042A" w:rsidRPr="007160D4" w:rsidRDefault="0040042A" w:rsidP="0040042A">
      <w:pPr>
        <w:pStyle w:val="PargrafodaLista"/>
        <w:numPr>
          <w:ilvl w:val="0"/>
          <w:numId w:val="37"/>
        </w:numPr>
        <w:ind w:left="2268" w:firstLine="0"/>
        <w:jc w:val="both"/>
        <w:rPr>
          <w:u w:val="single"/>
        </w:rPr>
      </w:pPr>
      <w:r w:rsidRPr="007160D4">
        <w:rPr>
          <w:u w:val="single"/>
        </w:rPr>
        <w:t xml:space="preserve">Contudo, não se pode olvidar que o exercício em análise remete a fatos e atos ocorridos nos idos do exercício financeiro de 2012, sendo só agora reapreciado por esta corte de contas. </w:t>
      </w:r>
    </w:p>
    <w:p w:rsidR="0040042A" w:rsidRDefault="0040042A" w:rsidP="0040042A">
      <w:pPr>
        <w:pStyle w:val="PargrafodaLista"/>
        <w:numPr>
          <w:ilvl w:val="0"/>
          <w:numId w:val="37"/>
        </w:numPr>
        <w:ind w:left="2268" w:firstLine="0"/>
        <w:jc w:val="both"/>
      </w:pPr>
      <w:r w:rsidRPr="007160D4">
        <w:rPr>
          <w:u w:val="single"/>
        </w:rPr>
        <w:t>Deveras que, ao se oportunizar o direito de defesa plena ao gestor 07 (sete anos) após o exercício em análise, é de presumir que o mesmo não tem mais os mecanismos probatórios a afastar ou justificar as incongruências desta prestação de contas</w:t>
      </w:r>
      <w:r>
        <w:t>.</w:t>
      </w:r>
      <w:r w:rsidRPr="00A37F70">
        <w:t xml:space="preserve"> </w:t>
      </w:r>
    </w:p>
    <w:p w:rsidR="00535863" w:rsidRPr="00A37F70" w:rsidRDefault="00535863" w:rsidP="0040042A">
      <w:pPr>
        <w:ind w:left="2268"/>
        <w:jc w:val="both"/>
      </w:pPr>
      <w:r w:rsidRPr="00A37F70">
        <w:t xml:space="preserve">(Prestação de Contas. </w:t>
      </w:r>
      <w:r w:rsidRPr="004E27A0">
        <w:t xml:space="preserve">Processo </w:t>
      </w:r>
      <w:hyperlink r:id="rId21" w:history="1">
        <w:r w:rsidRPr="004E27A0">
          <w:rPr>
            <w:rStyle w:val="Hyperlink"/>
          </w:rPr>
          <w:t>TC/</w:t>
        </w:r>
        <w:r w:rsidR="00F86966" w:rsidRPr="004E27A0">
          <w:rPr>
            <w:rStyle w:val="Hyperlink"/>
            <w:bCs/>
          </w:rPr>
          <w:t>52808</w:t>
        </w:r>
        <w:r w:rsidRPr="004E27A0">
          <w:rPr>
            <w:rStyle w:val="Hyperlink"/>
            <w:bCs/>
          </w:rPr>
          <w:t>/201</w:t>
        </w:r>
        <w:r w:rsidR="00F86966" w:rsidRPr="004E27A0">
          <w:rPr>
            <w:rStyle w:val="Hyperlink"/>
            <w:bCs/>
          </w:rPr>
          <w:t>2</w:t>
        </w:r>
      </w:hyperlink>
      <w:r w:rsidRPr="004E27A0">
        <w:t xml:space="preserve"> – Relator</w:t>
      </w:r>
      <w:r w:rsidR="00F86966" w:rsidRPr="004E27A0">
        <w:t>a</w:t>
      </w:r>
      <w:r w:rsidRPr="004E27A0">
        <w:t xml:space="preserve">: </w:t>
      </w:r>
      <w:proofErr w:type="spellStart"/>
      <w:r w:rsidRPr="004E27A0">
        <w:t>Cons</w:t>
      </w:r>
      <w:r w:rsidR="00F86966" w:rsidRPr="004E27A0">
        <w:t>ª</w:t>
      </w:r>
      <w:proofErr w:type="spellEnd"/>
      <w:r w:rsidRPr="004E27A0">
        <w:t xml:space="preserve">. </w:t>
      </w:r>
      <w:r w:rsidR="00F86966" w:rsidRPr="004E27A0">
        <w:t>Lilian de Almeida Veloso Nunes Martins</w:t>
      </w:r>
      <w:r w:rsidRPr="004E27A0">
        <w:t>. Segunda Câmara</w:t>
      </w:r>
      <w:r w:rsidR="00475678" w:rsidRPr="004E27A0">
        <w:t>. Decisão Unânime. Acórdão nº 146/19</w:t>
      </w:r>
      <w:r w:rsidRPr="004E27A0">
        <w:t xml:space="preserve"> publicado no </w:t>
      </w:r>
      <w:hyperlink r:id="rId22" w:history="1">
        <w:r w:rsidRPr="004E27A0">
          <w:rPr>
            <w:rStyle w:val="Hyperlink"/>
          </w:rPr>
          <w:t xml:space="preserve">DOE/TCE-PI º </w:t>
        </w:r>
        <w:r w:rsidR="00475678" w:rsidRPr="004E27A0">
          <w:rPr>
            <w:rStyle w:val="Hyperlink"/>
          </w:rPr>
          <w:t>027/19</w:t>
        </w:r>
      </w:hyperlink>
      <w:proofErr w:type="gramStart"/>
      <w:r w:rsidRPr="00A37F70">
        <w:t>)</w:t>
      </w:r>
      <w:proofErr w:type="gramEnd"/>
    </w:p>
    <w:p w:rsidR="00535863" w:rsidRDefault="00535863" w:rsidP="00244D18">
      <w:pPr>
        <w:ind w:left="2268"/>
        <w:jc w:val="both"/>
      </w:pPr>
    </w:p>
    <w:p w:rsidR="00F915E0" w:rsidRPr="00A37F70" w:rsidRDefault="00F915E0" w:rsidP="00F915E0">
      <w:pPr>
        <w:pStyle w:val="Ttulo2"/>
        <w:jc w:val="both"/>
      </w:pPr>
      <w:bookmarkStart w:id="12" w:name="_Toc4481067"/>
      <w:r w:rsidRPr="00B1417C">
        <w:t xml:space="preserve">Prestação de Contas. </w:t>
      </w:r>
      <w:r w:rsidR="009E6207" w:rsidRPr="00B1417C">
        <w:t xml:space="preserve">Órgão municipal de pequena estrutura administrativa. </w:t>
      </w:r>
      <w:proofErr w:type="spellStart"/>
      <w:r w:rsidR="009E6207" w:rsidRPr="00B1417C">
        <w:t>Irrazoabilidade</w:t>
      </w:r>
      <w:proofErr w:type="spellEnd"/>
      <w:r w:rsidR="009E6207" w:rsidRPr="00B1417C">
        <w:t xml:space="preserve"> </w:t>
      </w:r>
      <w:r w:rsidR="00B435F9" w:rsidRPr="00B1417C">
        <w:t>no julgamento por reprovação das contas. Ausência de má-fé. Ausência de dolo. Ausência d</w:t>
      </w:r>
      <w:r w:rsidR="00BD25A0" w:rsidRPr="00B1417C">
        <w:t>e dano ao erário. Princípio da r</w:t>
      </w:r>
      <w:r w:rsidR="00B435F9" w:rsidRPr="00B1417C">
        <w:t>azoabilidade</w:t>
      </w:r>
      <w:r w:rsidRPr="00B1417C">
        <w:t>.</w:t>
      </w:r>
      <w:bookmarkEnd w:id="12"/>
    </w:p>
    <w:p w:rsidR="00F915E0" w:rsidRPr="00A37F70" w:rsidRDefault="00F915E0" w:rsidP="00F915E0">
      <w:pPr>
        <w:tabs>
          <w:tab w:val="left" w:pos="3953"/>
        </w:tabs>
        <w:ind w:left="2268"/>
        <w:jc w:val="both"/>
      </w:pPr>
      <w:r>
        <w:tab/>
      </w:r>
    </w:p>
    <w:p w:rsidR="00F915E0" w:rsidRDefault="00F915E0" w:rsidP="00F915E0">
      <w:pPr>
        <w:ind w:left="2268"/>
        <w:jc w:val="both"/>
      </w:pPr>
      <w:r>
        <w:t>AUSÊNCIA DE PEÇAS. DESCUMPRIMENTO DO LIMITE LEGAL DA DESPESA COM PESSOAL.</w:t>
      </w:r>
    </w:p>
    <w:p w:rsidR="00F915E0" w:rsidRDefault="00F915E0" w:rsidP="00F915E0">
      <w:pPr>
        <w:ind w:left="2268"/>
        <w:jc w:val="both"/>
      </w:pPr>
      <w:r>
        <w:t>Considera-se a infringência aos dispositivos constitucionais precitados, mas analisando o caso concreto nos presentes autos, considerando ainda o órgão municipal de pequena estrutura administrativa, não é razoável que as falhas remanescentes, em apego ao formalismo exagerado, ensejem a reprovação das contas em apreço, haja vista a ausência de má-fé, dolo e dano ao erário. Conhece-se do Recurso e no Mérito pelo Provimento, modificando o Parecer Prévio que recomendou a Reprovação das Contas de Governo para recomendação de Aprovação com Ressalvas.</w:t>
      </w:r>
      <w:r w:rsidRPr="00A37F70">
        <w:t xml:space="preserve"> </w:t>
      </w:r>
    </w:p>
    <w:p w:rsidR="00F915E0" w:rsidRPr="00A37F70" w:rsidRDefault="00F915E0" w:rsidP="00F915E0">
      <w:pPr>
        <w:ind w:left="2268"/>
        <w:jc w:val="both"/>
      </w:pPr>
      <w:r w:rsidRPr="00A37F70">
        <w:lastRenderedPageBreak/>
        <w:t>(</w:t>
      </w:r>
      <w:r w:rsidR="00A4060A">
        <w:t>Recursos</w:t>
      </w:r>
      <w:r w:rsidRPr="00A24C05">
        <w:t xml:space="preserve">. Processo </w:t>
      </w:r>
      <w:hyperlink r:id="rId23" w:history="1">
        <w:r w:rsidRPr="00A24C05">
          <w:rPr>
            <w:rStyle w:val="Hyperlink"/>
          </w:rPr>
          <w:t>TC/</w:t>
        </w:r>
        <w:r w:rsidR="00A4060A" w:rsidRPr="00A24C05">
          <w:rPr>
            <w:rStyle w:val="Hyperlink"/>
            <w:bCs/>
          </w:rPr>
          <w:t>00444</w:t>
        </w:r>
        <w:r w:rsidR="00A24C05" w:rsidRPr="00A24C05">
          <w:rPr>
            <w:rStyle w:val="Hyperlink"/>
            <w:bCs/>
          </w:rPr>
          <w:t>2</w:t>
        </w:r>
        <w:r w:rsidRPr="00A24C05">
          <w:rPr>
            <w:rStyle w:val="Hyperlink"/>
            <w:bCs/>
          </w:rPr>
          <w:t>/201</w:t>
        </w:r>
        <w:r w:rsidR="00A4060A" w:rsidRPr="00A24C05">
          <w:rPr>
            <w:rStyle w:val="Hyperlink"/>
            <w:bCs/>
          </w:rPr>
          <w:t>8</w:t>
        </w:r>
      </w:hyperlink>
      <w:r w:rsidR="00B1417C">
        <w:t xml:space="preserve"> – Relator</w:t>
      </w:r>
      <w:r w:rsidRPr="00A24C05">
        <w:t xml:space="preserve">: Cons. </w:t>
      </w:r>
      <w:r w:rsidR="00A4060A" w:rsidRPr="00A24C05">
        <w:t>Luciano Nunes Santos.</w:t>
      </w:r>
      <w:r w:rsidRPr="00A24C05">
        <w:t xml:space="preserve"> </w:t>
      </w:r>
      <w:r w:rsidR="00A4060A" w:rsidRPr="00A24C05">
        <w:t>Plenário</w:t>
      </w:r>
      <w:r w:rsidRPr="00A24C05">
        <w:t xml:space="preserve">. Decisão Unânime. Acórdão nº </w:t>
      </w:r>
      <w:r w:rsidR="00A4060A" w:rsidRPr="00A24C05">
        <w:t>264</w:t>
      </w:r>
      <w:r w:rsidRPr="00A24C05">
        <w:t xml:space="preserve">/19 publicado no </w:t>
      </w:r>
      <w:hyperlink r:id="rId24" w:history="1">
        <w:r w:rsidRPr="00A24C05">
          <w:rPr>
            <w:rStyle w:val="Hyperlink"/>
          </w:rPr>
          <w:t xml:space="preserve">DOE/TCE-PI º </w:t>
        </w:r>
        <w:r w:rsidR="00A4060A" w:rsidRPr="00A24C05">
          <w:rPr>
            <w:rStyle w:val="Hyperlink"/>
          </w:rPr>
          <w:t>041</w:t>
        </w:r>
        <w:r w:rsidRPr="00A24C05">
          <w:rPr>
            <w:rStyle w:val="Hyperlink"/>
          </w:rPr>
          <w:t>/19</w:t>
        </w:r>
      </w:hyperlink>
      <w:proofErr w:type="gramStart"/>
      <w:r w:rsidRPr="00A24C05">
        <w:t>)</w:t>
      </w:r>
      <w:proofErr w:type="gramEnd"/>
    </w:p>
    <w:p w:rsidR="00E11FA9" w:rsidRPr="00B1417C"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13" w:name="_Toc4481068"/>
      <w:r w:rsidRPr="00B1417C">
        <w:rPr>
          <w:rFonts w:asciiTheme="majorHAnsi" w:eastAsiaTheme="majorEastAsia" w:hAnsiTheme="majorHAnsi" w:cstheme="majorBidi"/>
          <w:b/>
          <w:bCs/>
          <w:color w:val="365F91" w:themeColor="accent1" w:themeShade="BF"/>
          <w:sz w:val="28"/>
          <w:szCs w:val="28"/>
        </w:rPr>
        <w:t>PROCESSUAL</w:t>
      </w:r>
      <w:bookmarkEnd w:id="13"/>
    </w:p>
    <w:p w:rsidR="002C0E2D" w:rsidRPr="00A37F70" w:rsidRDefault="00D74AE7" w:rsidP="00697124">
      <w:pPr>
        <w:keepNext/>
        <w:keepLines/>
        <w:spacing w:before="200" w:after="0"/>
        <w:jc w:val="both"/>
        <w:outlineLvl w:val="1"/>
        <w:rPr>
          <w:rFonts w:asciiTheme="majorHAnsi" w:eastAsiaTheme="majorEastAsia" w:hAnsiTheme="majorHAnsi" w:cstheme="majorBidi"/>
          <w:b/>
          <w:bCs/>
          <w:color w:val="4F81BD" w:themeColor="accent1"/>
          <w:sz w:val="26"/>
          <w:szCs w:val="26"/>
        </w:rPr>
      </w:pPr>
      <w:bookmarkStart w:id="14" w:name="_Toc4481069"/>
      <w:r w:rsidRPr="00B1417C">
        <w:rPr>
          <w:rFonts w:asciiTheme="majorHAnsi" w:eastAsiaTheme="majorEastAsia" w:hAnsiTheme="majorHAnsi" w:cstheme="majorBidi"/>
          <w:b/>
          <w:bCs/>
          <w:color w:val="4F81BD" w:themeColor="accent1"/>
          <w:sz w:val="26"/>
          <w:szCs w:val="26"/>
        </w:rPr>
        <w:t>Processual.</w:t>
      </w:r>
      <w:r w:rsidR="006B47C1" w:rsidRPr="00B1417C">
        <w:rPr>
          <w:rFonts w:asciiTheme="majorHAnsi" w:eastAsiaTheme="majorEastAsia" w:hAnsiTheme="majorHAnsi" w:cstheme="majorBidi"/>
          <w:b/>
          <w:bCs/>
          <w:color w:val="4F81BD" w:themeColor="accent1"/>
          <w:sz w:val="26"/>
          <w:szCs w:val="26"/>
        </w:rPr>
        <w:t xml:space="preserve"> </w:t>
      </w:r>
      <w:r w:rsidR="00B67BF8" w:rsidRPr="00B1417C">
        <w:rPr>
          <w:rFonts w:asciiTheme="majorHAnsi" w:eastAsiaTheme="majorEastAsia" w:hAnsiTheme="majorHAnsi" w:cstheme="majorBidi"/>
          <w:b/>
          <w:bCs/>
          <w:color w:val="4F81BD" w:themeColor="accent1"/>
          <w:sz w:val="26"/>
          <w:szCs w:val="26"/>
        </w:rPr>
        <w:t>Rediscussão de temática já analisada. Inadequação de Pedido de Revisão. Natureza jurídica do Pedido de Revisão.</w:t>
      </w:r>
      <w:bookmarkEnd w:id="14"/>
    </w:p>
    <w:p w:rsidR="002C0E2D" w:rsidRPr="00A37F70" w:rsidRDefault="002C0E2D" w:rsidP="004F3321">
      <w:pPr>
        <w:pStyle w:val="PargrafodaLista"/>
        <w:ind w:left="2268" w:firstLine="708"/>
        <w:jc w:val="both"/>
      </w:pPr>
    </w:p>
    <w:p w:rsidR="006B47C1" w:rsidRDefault="006B47C1" w:rsidP="006B47C1">
      <w:pPr>
        <w:pStyle w:val="PargrafodaLista"/>
        <w:ind w:left="2268"/>
        <w:jc w:val="both"/>
      </w:pPr>
      <w:r>
        <w:t>PROCESSUAL. PEDIDO DE REVISÃO. AUSÊNCIA DE ELEMENTO NOVO. REPETIÇÃO DAS ALEGATIVAS APRESENTADAS EM SEDE DE RECURSO DE RECONSIDERAÇÃO. DESCUMPRIMENTO DOS REQUISITOS DE ADMISSIBILIDADE.</w:t>
      </w:r>
    </w:p>
    <w:p w:rsidR="006B47C1" w:rsidRDefault="006B47C1" w:rsidP="006B47C1">
      <w:pPr>
        <w:pStyle w:val="PargrafodaLista"/>
        <w:numPr>
          <w:ilvl w:val="0"/>
          <w:numId w:val="36"/>
        </w:numPr>
        <w:ind w:left="2268" w:firstLine="0"/>
        <w:jc w:val="both"/>
      </w:pPr>
      <w:r>
        <w:t xml:space="preserve">A revisão, além de não configurar nova oportunidade para rediscutir critérios de julgamento, também não é meio </w:t>
      </w:r>
      <w:proofErr w:type="gramStart"/>
      <w:r>
        <w:t>idôneo</w:t>
      </w:r>
      <w:proofErr w:type="gramEnd"/>
      <w:r>
        <w:t xml:space="preserve"> para sanar as lacunas probatórias ou as eventuais imperfeições da linha de defesa utilizada, mormente porque o meio adequado para tanto foi o recurso de reconsideração, previsto no art. 152 da Lei Orgânica desta Corte.</w:t>
      </w:r>
    </w:p>
    <w:p w:rsidR="00D74AE7" w:rsidRPr="00A37F70" w:rsidRDefault="006B47C1" w:rsidP="006B47C1">
      <w:pPr>
        <w:pStyle w:val="PargrafodaLista"/>
        <w:numPr>
          <w:ilvl w:val="0"/>
          <w:numId w:val="36"/>
        </w:numPr>
        <w:ind w:left="2268" w:firstLine="0"/>
        <w:jc w:val="both"/>
      </w:pPr>
      <w:r>
        <w:t>O Pedido de Revisão tem natureza jurídica similar à ação rescisória e necessita do cumprimento de determinados requisitos específicos para a sua admissão, o que não ocorreu no caso em tela, já que a peça recursal não trouxe elementos novos e nem demostrou a ocorrência da hipótese prevista no art. 440, inciso II, do Regimento Interno do TCE/PI, qual seja a falsidade ou insuficiência de documentos que fundamentaram a decisão atacada.</w:t>
      </w:r>
    </w:p>
    <w:p w:rsidR="00697124" w:rsidRPr="00A37F70" w:rsidRDefault="00697124" w:rsidP="00E66798">
      <w:pPr>
        <w:ind w:left="2268"/>
        <w:jc w:val="both"/>
      </w:pPr>
      <w:r w:rsidRPr="00A37F70">
        <w:t>(</w:t>
      </w:r>
      <w:r w:rsidR="005C4AB5" w:rsidRPr="00A37F70">
        <w:t>Re</w:t>
      </w:r>
      <w:r w:rsidR="00F86690">
        <w:t>visão</w:t>
      </w:r>
      <w:r w:rsidRPr="00A37F70">
        <w:t xml:space="preserve">. </w:t>
      </w:r>
      <w:r w:rsidRPr="00BD4990">
        <w:t xml:space="preserve">Processo </w:t>
      </w:r>
      <w:hyperlink r:id="rId25" w:history="1">
        <w:r w:rsidRPr="00BD4990">
          <w:rPr>
            <w:rStyle w:val="Hyperlink"/>
          </w:rPr>
          <w:t>TC/</w:t>
        </w:r>
        <w:r w:rsidR="00F86690" w:rsidRPr="00BD4990">
          <w:rPr>
            <w:rStyle w:val="Hyperlink"/>
          </w:rPr>
          <w:t>009469</w:t>
        </w:r>
        <w:r w:rsidR="005C4AB5" w:rsidRPr="00BD4990">
          <w:rPr>
            <w:rStyle w:val="Hyperlink"/>
          </w:rPr>
          <w:t>/2018</w:t>
        </w:r>
      </w:hyperlink>
      <w:r w:rsidR="00F86690" w:rsidRPr="00BD4990">
        <w:t xml:space="preserve"> – Relator</w:t>
      </w:r>
      <w:r w:rsidR="00D74AE7" w:rsidRPr="00BD4990">
        <w:t xml:space="preserve">: Cons. </w:t>
      </w:r>
      <w:r w:rsidR="00F86690" w:rsidRPr="00BD4990">
        <w:t>Joaquim Kennedy Nogueira Barros</w:t>
      </w:r>
      <w:r w:rsidRPr="00BD4990">
        <w:t xml:space="preserve">. </w:t>
      </w:r>
      <w:r w:rsidR="00D74AE7" w:rsidRPr="00BD4990">
        <w:t>Plenário</w:t>
      </w:r>
      <w:r w:rsidRPr="00BD4990">
        <w:t xml:space="preserve">. Decisão </w:t>
      </w:r>
      <w:r w:rsidR="00F86690" w:rsidRPr="00BD4990">
        <w:t>Unânime</w:t>
      </w:r>
      <w:r w:rsidRPr="00BD4990">
        <w:t xml:space="preserve">. </w:t>
      </w:r>
      <w:r w:rsidR="00D74AE7" w:rsidRPr="00BD4990">
        <w:t>Acórdão</w:t>
      </w:r>
      <w:r w:rsidRPr="00BD4990">
        <w:t xml:space="preserve"> nº </w:t>
      </w:r>
      <w:r w:rsidR="00F86690" w:rsidRPr="00BD4990">
        <w:t>64</w:t>
      </w:r>
      <w:r w:rsidRPr="00BD4990">
        <w:t>/</w:t>
      </w:r>
      <w:r w:rsidR="00D74AE7" w:rsidRPr="00BD4990">
        <w:t>20</w:t>
      </w:r>
      <w:r w:rsidRPr="00BD4990">
        <w:t>1</w:t>
      </w:r>
      <w:r w:rsidR="00F86690" w:rsidRPr="00BD4990">
        <w:t>9</w:t>
      </w:r>
      <w:r w:rsidRPr="00BD4990">
        <w:t xml:space="preserve"> publicado no </w:t>
      </w:r>
      <w:hyperlink r:id="rId26" w:history="1">
        <w:r w:rsidRPr="00BD4990">
          <w:rPr>
            <w:rStyle w:val="Hyperlink"/>
          </w:rPr>
          <w:t xml:space="preserve">DOE/TCE-PI º </w:t>
        </w:r>
        <w:r w:rsidR="00F86690" w:rsidRPr="00BD4990">
          <w:rPr>
            <w:rStyle w:val="Hyperlink"/>
          </w:rPr>
          <w:t>026</w:t>
        </w:r>
        <w:r w:rsidRPr="00BD4990">
          <w:rPr>
            <w:rStyle w:val="Hyperlink"/>
          </w:rPr>
          <w:t>/18</w:t>
        </w:r>
      </w:hyperlink>
      <w:r w:rsidRPr="00BD4990">
        <w:t>)</w:t>
      </w:r>
      <w:r w:rsidR="000E15EE" w:rsidRPr="00BD4990">
        <w:t>.</w:t>
      </w:r>
    </w:p>
    <w:p w:rsidR="004F3321" w:rsidRDefault="004F3321" w:rsidP="004F3321">
      <w:pPr>
        <w:keepNext/>
        <w:keepLines/>
        <w:spacing w:before="200" w:after="0"/>
        <w:jc w:val="both"/>
        <w:outlineLvl w:val="1"/>
        <w:rPr>
          <w:rFonts w:asciiTheme="majorHAnsi" w:eastAsiaTheme="majorEastAsia" w:hAnsiTheme="majorHAnsi" w:cstheme="majorBidi"/>
          <w:b/>
          <w:bCs/>
          <w:color w:val="4F81BD" w:themeColor="accent1"/>
          <w:sz w:val="26"/>
          <w:szCs w:val="26"/>
        </w:rPr>
      </w:pPr>
    </w:p>
    <w:p w:rsidR="004F3321" w:rsidRPr="00B1417C" w:rsidRDefault="004F3321" w:rsidP="004F3321">
      <w:pPr>
        <w:keepNext/>
        <w:keepLines/>
        <w:spacing w:before="200" w:after="0"/>
        <w:jc w:val="both"/>
        <w:outlineLvl w:val="1"/>
        <w:rPr>
          <w:rFonts w:asciiTheme="majorHAnsi" w:eastAsiaTheme="majorEastAsia" w:hAnsiTheme="majorHAnsi" w:cstheme="majorBidi"/>
          <w:b/>
          <w:bCs/>
          <w:color w:val="4F81BD" w:themeColor="accent1"/>
          <w:sz w:val="26"/>
          <w:szCs w:val="26"/>
        </w:rPr>
      </w:pPr>
      <w:bookmarkStart w:id="15" w:name="_Toc4481070"/>
      <w:r w:rsidRPr="00B1417C">
        <w:rPr>
          <w:rFonts w:asciiTheme="majorHAnsi" w:eastAsiaTheme="majorEastAsia" w:hAnsiTheme="majorHAnsi" w:cstheme="majorBidi"/>
          <w:b/>
          <w:bCs/>
          <w:color w:val="4F81BD" w:themeColor="accent1"/>
          <w:sz w:val="26"/>
          <w:szCs w:val="26"/>
        </w:rPr>
        <w:t xml:space="preserve">Processual. </w:t>
      </w:r>
      <w:r w:rsidR="007962A6" w:rsidRPr="00B1417C">
        <w:rPr>
          <w:rFonts w:asciiTheme="majorHAnsi" w:eastAsiaTheme="majorEastAsia" w:hAnsiTheme="majorHAnsi" w:cstheme="majorBidi"/>
          <w:b/>
          <w:bCs/>
          <w:color w:val="4F81BD" w:themeColor="accent1"/>
          <w:sz w:val="26"/>
          <w:szCs w:val="26"/>
        </w:rPr>
        <w:t xml:space="preserve">Ausência de apresentação de provas documentais. </w:t>
      </w:r>
      <w:r w:rsidR="00862C04" w:rsidRPr="00B1417C">
        <w:rPr>
          <w:rFonts w:asciiTheme="majorHAnsi" w:eastAsiaTheme="majorEastAsia" w:hAnsiTheme="majorHAnsi" w:cstheme="majorBidi"/>
          <w:b/>
          <w:bCs/>
          <w:color w:val="4F81BD" w:themeColor="accent1"/>
          <w:sz w:val="26"/>
          <w:szCs w:val="26"/>
        </w:rPr>
        <w:t>Ausência de providências contra responsáveis pelas falhas. Não aplicação de multa específica.</w:t>
      </w:r>
      <w:bookmarkEnd w:id="15"/>
    </w:p>
    <w:p w:rsidR="004F3321" w:rsidRPr="00A37F70" w:rsidRDefault="004F3321" w:rsidP="004F3321">
      <w:pPr>
        <w:pStyle w:val="PargrafodaLista"/>
        <w:ind w:left="2268" w:firstLine="708"/>
        <w:jc w:val="both"/>
      </w:pPr>
    </w:p>
    <w:p w:rsidR="004F3321" w:rsidRDefault="004F3321" w:rsidP="004F3321">
      <w:pPr>
        <w:ind w:left="2268"/>
        <w:jc w:val="both"/>
      </w:pPr>
      <w:r>
        <w:t xml:space="preserve">PRESTAÇÃO DE CONTAS. PREFEITURA MUNICIPAL DE CRISTINO CASTRO. EXERCÍCIO 2016. DENÚNCIA TC 019572/2016 APENSA AOS AUTOS. IRREGULARIDADES NA TRANSIÇÃO GOVERNAMENTAL. </w:t>
      </w:r>
      <w:r>
        <w:lastRenderedPageBreak/>
        <w:t>ATRASO NO PAGAMENTO DAS VERBAS TRABALHISTAS DOS SERVIDORES MUNICIPAIS. ATRASOS NO PREENCHIMENTO DA GFIP À PREVIDÊNCIA SOCIAL. AUSÊNCIA DE REPASSE DE CONTRIBUIÇÕES PREVIDENCIÁRIAS. PROCEDÊNCIA. NÃO APLICAÇÃO DE MULTA ESPECÍFICA.</w:t>
      </w:r>
    </w:p>
    <w:p w:rsidR="004F3321" w:rsidRDefault="004F3321" w:rsidP="004F3321">
      <w:pPr>
        <w:pStyle w:val="PargrafodaLista"/>
        <w:numPr>
          <w:ilvl w:val="0"/>
          <w:numId w:val="39"/>
        </w:numPr>
        <w:ind w:left="2268" w:firstLine="0"/>
        <w:jc w:val="both"/>
      </w:pPr>
      <w:r>
        <w:t>Apesar de ter formulado Defesa referente a esses quesitos, Gestor não apresentou, nos autos, documentos capazes de comprovar suas alegações, bem como não tomou todas as medidas necessárias para responsabilização daqueles que aponta como reais responsáveis pelas falhas listadas.</w:t>
      </w:r>
      <w:r w:rsidRPr="00A37F70">
        <w:t xml:space="preserve"> </w:t>
      </w:r>
    </w:p>
    <w:p w:rsidR="009F2038" w:rsidRPr="00A914C7" w:rsidRDefault="004F3321" w:rsidP="0095428E">
      <w:pPr>
        <w:ind w:left="2268"/>
        <w:jc w:val="both"/>
      </w:pPr>
      <w:r w:rsidRPr="00A37F70">
        <w:t>(</w:t>
      </w:r>
      <w:r w:rsidR="00FB359F">
        <w:t>Prestação de Contas</w:t>
      </w:r>
      <w:r w:rsidRPr="00A37F70">
        <w:t xml:space="preserve">. Processo </w:t>
      </w:r>
      <w:hyperlink r:id="rId27" w:history="1">
        <w:r w:rsidR="00D704C9" w:rsidRPr="00D704C9">
          <w:rPr>
            <w:rStyle w:val="Hyperlink"/>
          </w:rPr>
          <w:t>TC/002946/2016</w:t>
        </w:r>
      </w:hyperlink>
      <w:r w:rsidR="00D704C9">
        <w:t xml:space="preserve"> </w:t>
      </w:r>
      <w:r>
        <w:t>– Relator</w:t>
      </w:r>
      <w:r w:rsidR="00B1417C">
        <w:t>a</w:t>
      </w:r>
      <w:r w:rsidRPr="00A37F70">
        <w:t xml:space="preserve">: </w:t>
      </w:r>
      <w:proofErr w:type="spellStart"/>
      <w:r w:rsidRPr="00F86690">
        <w:t>Cons</w:t>
      </w:r>
      <w:r w:rsidR="00FB359F">
        <w:t>ª</w:t>
      </w:r>
      <w:proofErr w:type="spellEnd"/>
      <w:r w:rsidRPr="00F86690">
        <w:t xml:space="preserve">. </w:t>
      </w:r>
      <w:r w:rsidR="00FB359F">
        <w:t>Lilian d</w:t>
      </w:r>
      <w:r w:rsidR="00FB359F" w:rsidRPr="00FB359F">
        <w:t>e Almeida Veloso Nunes Martins</w:t>
      </w:r>
      <w:r w:rsidRPr="00F86690">
        <w:t xml:space="preserve">. </w:t>
      </w:r>
      <w:r w:rsidR="00FB359F">
        <w:t>Segunda Câmara</w:t>
      </w:r>
      <w:r w:rsidRPr="00A37F70">
        <w:t xml:space="preserve">. Decisão </w:t>
      </w:r>
      <w:r>
        <w:t>Unânime</w:t>
      </w:r>
      <w:r w:rsidRPr="00A37F70">
        <w:t xml:space="preserve">. Acórdão nº </w:t>
      </w:r>
      <w:r w:rsidR="00FB359F">
        <w:t>41</w:t>
      </w:r>
      <w:r w:rsidRPr="00A37F70">
        <w:t>/</w:t>
      </w:r>
      <w:r w:rsidRPr="00D704C9">
        <w:t xml:space="preserve">2019 publicado no </w:t>
      </w:r>
      <w:hyperlink r:id="rId28" w:history="1">
        <w:r w:rsidR="00D704C9" w:rsidRPr="00D704C9">
          <w:rPr>
            <w:rStyle w:val="Hyperlink"/>
          </w:rPr>
          <w:t>DOE/TCE-PI º 039/19</w:t>
        </w:r>
      </w:hyperlink>
      <w:proofErr w:type="gramStart"/>
      <w:r w:rsidRPr="00A37F70">
        <w:t>)</w:t>
      </w:r>
      <w:proofErr w:type="gramEnd"/>
    </w:p>
    <w:sectPr w:rsidR="009F2038" w:rsidRPr="00A914C7" w:rsidSect="002820DA">
      <w:head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392" w:rsidRDefault="005F4392" w:rsidP="002820DA">
      <w:pPr>
        <w:spacing w:after="0" w:line="240" w:lineRule="auto"/>
      </w:pPr>
      <w:r>
        <w:separator/>
      </w:r>
    </w:p>
  </w:endnote>
  <w:endnote w:type="continuationSeparator" w:id="0">
    <w:p w:rsidR="005F4392" w:rsidRDefault="005F4392"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392" w:rsidRDefault="005F4392" w:rsidP="002820DA">
      <w:pPr>
        <w:spacing w:after="0" w:line="240" w:lineRule="auto"/>
      </w:pPr>
      <w:r>
        <w:separator/>
      </w:r>
    </w:p>
  </w:footnote>
  <w:footnote w:type="continuationSeparator" w:id="0">
    <w:p w:rsidR="005F4392" w:rsidRDefault="005F4392"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5F4392" w:rsidTr="00B97A73">
      <w:trPr>
        <w:trHeight w:val="908"/>
        <w:jc w:val="center"/>
      </w:trPr>
      <w:tc>
        <w:tcPr>
          <w:tcW w:w="1560" w:type="dxa"/>
        </w:tcPr>
        <w:p w:rsidR="005F4392" w:rsidRDefault="005F4392"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5F4392" w:rsidRDefault="005F4392" w:rsidP="00B97A73">
          <w:pPr>
            <w:rPr>
              <w:rFonts w:ascii="Arial" w:hAnsi="Arial"/>
              <w:sz w:val="48"/>
            </w:rPr>
          </w:pPr>
          <w:r>
            <w:rPr>
              <w:rFonts w:ascii="Arial" w:hAnsi="Arial"/>
              <w:sz w:val="48"/>
            </w:rPr>
            <w:t>Estado do Piauí</w:t>
          </w:r>
        </w:p>
        <w:p w:rsidR="005F4392" w:rsidRDefault="005F4392" w:rsidP="00B97A73">
          <w:r>
            <w:rPr>
              <w:rFonts w:ascii="Arial" w:hAnsi="Arial"/>
              <w:sz w:val="48"/>
            </w:rPr>
            <w:t>Tribunal de Contas</w:t>
          </w:r>
        </w:p>
      </w:tc>
      <w:tc>
        <w:tcPr>
          <w:tcW w:w="1559" w:type="dxa"/>
          <w:vAlign w:val="center"/>
        </w:tcPr>
        <w:p w:rsidR="005F4392" w:rsidRDefault="005F4392"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5F4392" w:rsidRDefault="005F43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9A5304B"/>
    <w:multiLevelType w:val="hybridMultilevel"/>
    <w:tmpl w:val="E2DA5322"/>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6">
    <w:nsid w:val="0BB71265"/>
    <w:multiLevelType w:val="hybridMultilevel"/>
    <w:tmpl w:val="2F72A064"/>
    <w:lvl w:ilvl="0" w:tplc="79C28C26">
      <w:start w:val="1"/>
      <w:numFmt w:val="decimal"/>
      <w:lvlText w:val="%1."/>
      <w:lvlJc w:val="left"/>
      <w:pPr>
        <w:ind w:left="3630" w:hanging="795"/>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7">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0F957813"/>
    <w:multiLevelType w:val="hybridMultilevel"/>
    <w:tmpl w:val="A1F8331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11">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6212BCE"/>
    <w:multiLevelType w:val="hybridMultilevel"/>
    <w:tmpl w:val="49FA8E5A"/>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1E734CEB"/>
    <w:multiLevelType w:val="hybridMultilevel"/>
    <w:tmpl w:val="170A4DD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27785835"/>
    <w:multiLevelType w:val="hybridMultilevel"/>
    <w:tmpl w:val="AF107DB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29502B30"/>
    <w:multiLevelType w:val="hybridMultilevel"/>
    <w:tmpl w:val="F8544458"/>
    <w:lvl w:ilvl="0" w:tplc="0416000F">
      <w:start w:val="1"/>
      <w:numFmt w:val="decimal"/>
      <w:lvlText w:val="%1."/>
      <w:lvlJc w:val="left"/>
      <w:pPr>
        <w:ind w:left="3555" w:hanging="360"/>
      </w:pPr>
    </w:lvl>
    <w:lvl w:ilvl="1" w:tplc="04160019" w:tentative="1">
      <w:start w:val="1"/>
      <w:numFmt w:val="lowerLetter"/>
      <w:lvlText w:val="%2."/>
      <w:lvlJc w:val="left"/>
      <w:pPr>
        <w:ind w:left="4275" w:hanging="360"/>
      </w:pPr>
    </w:lvl>
    <w:lvl w:ilvl="2" w:tplc="0416001B" w:tentative="1">
      <w:start w:val="1"/>
      <w:numFmt w:val="lowerRoman"/>
      <w:lvlText w:val="%3."/>
      <w:lvlJc w:val="right"/>
      <w:pPr>
        <w:ind w:left="4995" w:hanging="180"/>
      </w:pPr>
    </w:lvl>
    <w:lvl w:ilvl="3" w:tplc="0416000F" w:tentative="1">
      <w:start w:val="1"/>
      <w:numFmt w:val="decimal"/>
      <w:lvlText w:val="%4."/>
      <w:lvlJc w:val="left"/>
      <w:pPr>
        <w:ind w:left="5715" w:hanging="360"/>
      </w:pPr>
    </w:lvl>
    <w:lvl w:ilvl="4" w:tplc="04160019" w:tentative="1">
      <w:start w:val="1"/>
      <w:numFmt w:val="lowerLetter"/>
      <w:lvlText w:val="%5."/>
      <w:lvlJc w:val="left"/>
      <w:pPr>
        <w:ind w:left="6435" w:hanging="360"/>
      </w:pPr>
    </w:lvl>
    <w:lvl w:ilvl="5" w:tplc="0416001B" w:tentative="1">
      <w:start w:val="1"/>
      <w:numFmt w:val="lowerRoman"/>
      <w:lvlText w:val="%6."/>
      <w:lvlJc w:val="right"/>
      <w:pPr>
        <w:ind w:left="7155" w:hanging="180"/>
      </w:pPr>
    </w:lvl>
    <w:lvl w:ilvl="6" w:tplc="0416000F" w:tentative="1">
      <w:start w:val="1"/>
      <w:numFmt w:val="decimal"/>
      <w:lvlText w:val="%7."/>
      <w:lvlJc w:val="left"/>
      <w:pPr>
        <w:ind w:left="7875" w:hanging="360"/>
      </w:pPr>
    </w:lvl>
    <w:lvl w:ilvl="7" w:tplc="04160019" w:tentative="1">
      <w:start w:val="1"/>
      <w:numFmt w:val="lowerLetter"/>
      <w:lvlText w:val="%8."/>
      <w:lvlJc w:val="left"/>
      <w:pPr>
        <w:ind w:left="8595" w:hanging="360"/>
      </w:pPr>
    </w:lvl>
    <w:lvl w:ilvl="8" w:tplc="0416001B" w:tentative="1">
      <w:start w:val="1"/>
      <w:numFmt w:val="lowerRoman"/>
      <w:lvlText w:val="%9."/>
      <w:lvlJc w:val="right"/>
      <w:pPr>
        <w:ind w:left="9315" w:hanging="180"/>
      </w:pPr>
    </w:lvl>
  </w:abstractNum>
  <w:abstractNum w:abstractNumId="20">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38B23D83"/>
    <w:multiLevelType w:val="hybridMultilevel"/>
    <w:tmpl w:val="2EE0C8A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3">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622F7BA2"/>
    <w:multiLevelType w:val="hybridMultilevel"/>
    <w:tmpl w:val="0E0E89B2"/>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7CF21EBE"/>
    <w:multiLevelType w:val="hybridMultilevel"/>
    <w:tmpl w:val="45762CE6"/>
    <w:lvl w:ilvl="0" w:tplc="308841D8">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6"/>
  </w:num>
  <w:num w:numId="3">
    <w:abstractNumId w:val="26"/>
  </w:num>
  <w:num w:numId="4">
    <w:abstractNumId w:val="14"/>
  </w:num>
  <w:num w:numId="5">
    <w:abstractNumId w:val="13"/>
  </w:num>
  <w:num w:numId="6">
    <w:abstractNumId w:val="7"/>
  </w:num>
  <w:num w:numId="7">
    <w:abstractNumId w:val="17"/>
  </w:num>
  <w:num w:numId="8">
    <w:abstractNumId w:val="1"/>
  </w:num>
  <w:num w:numId="9">
    <w:abstractNumId w:val="11"/>
  </w:num>
  <w:num w:numId="10">
    <w:abstractNumId w:val="31"/>
  </w:num>
  <w:num w:numId="11">
    <w:abstractNumId w:val="29"/>
  </w:num>
  <w:num w:numId="12">
    <w:abstractNumId w:val="27"/>
  </w:num>
  <w:num w:numId="13">
    <w:abstractNumId w:val="23"/>
  </w:num>
  <w:num w:numId="14">
    <w:abstractNumId w:val="28"/>
  </w:num>
  <w:num w:numId="15">
    <w:abstractNumId w:val="20"/>
  </w:num>
  <w:num w:numId="16">
    <w:abstractNumId w:val="9"/>
  </w:num>
  <w:num w:numId="17">
    <w:abstractNumId w:val="39"/>
  </w:num>
  <w:num w:numId="18">
    <w:abstractNumId w:val="21"/>
  </w:num>
  <w:num w:numId="19">
    <w:abstractNumId w:val="16"/>
  </w:num>
  <w:num w:numId="20">
    <w:abstractNumId w:val="32"/>
  </w:num>
  <w:num w:numId="21">
    <w:abstractNumId w:val="3"/>
  </w:num>
  <w:num w:numId="22">
    <w:abstractNumId w:val="25"/>
  </w:num>
  <w:num w:numId="23">
    <w:abstractNumId w:val="24"/>
  </w:num>
  <w:num w:numId="24">
    <w:abstractNumId w:val="37"/>
  </w:num>
  <w:num w:numId="25">
    <w:abstractNumId w:val="35"/>
  </w:num>
  <w:num w:numId="26">
    <w:abstractNumId w:val="2"/>
  </w:num>
  <w:num w:numId="27">
    <w:abstractNumId w:val="34"/>
  </w:num>
  <w:num w:numId="28">
    <w:abstractNumId w:val="4"/>
  </w:num>
  <w:num w:numId="29">
    <w:abstractNumId w:val="30"/>
  </w:num>
  <w:num w:numId="30">
    <w:abstractNumId w:val="19"/>
  </w:num>
  <w:num w:numId="31">
    <w:abstractNumId w:val="6"/>
  </w:num>
  <w:num w:numId="32">
    <w:abstractNumId w:val="22"/>
  </w:num>
  <w:num w:numId="33">
    <w:abstractNumId w:val="8"/>
  </w:num>
  <w:num w:numId="34">
    <w:abstractNumId w:val="38"/>
  </w:num>
  <w:num w:numId="35">
    <w:abstractNumId w:val="33"/>
  </w:num>
  <w:num w:numId="36">
    <w:abstractNumId w:val="15"/>
  </w:num>
  <w:num w:numId="37">
    <w:abstractNumId w:val="18"/>
  </w:num>
  <w:num w:numId="38">
    <w:abstractNumId w:val="5"/>
  </w:num>
  <w:num w:numId="3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29A8"/>
    <w:rsid w:val="00037C09"/>
    <w:rsid w:val="0004021F"/>
    <w:rsid w:val="00040DAB"/>
    <w:rsid w:val="00041D6F"/>
    <w:rsid w:val="000426B2"/>
    <w:rsid w:val="00047F55"/>
    <w:rsid w:val="00050D44"/>
    <w:rsid w:val="00052CAC"/>
    <w:rsid w:val="00054D87"/>
    <w:rsid w:val="00062E25"/>
    <w:rsid w:val="000667F7"/>
    <w:rsid w:val="0006700D"/>
    <w:rsid w:val="00076775"/>
    <w:rsid w:val="0007785F"/>
    <w:rsid w:val="00080353"/>
    <w:rsid w:val="0008778A"/>
    <w:rsid w:val="000942DD"/>
    <w:rsid w:val="00094E6D"/>
    <w:rsid w:val="000979EE"/>
    <w:rsid w:val="00097C4D"/>
    <w:rsid w:val="000A1BB6"/>
    <w:rsid w:val="000A5BED"/>
    <w:rsid w:val="000A6F36"/>
    <w:rsid w:val="000A7909"/>
    <w:rsid w:val="000B369B"/>
    <w:rsid w:val="000B36F9"/>
    <w:rsid w:val="000B4599"/>
    <w:rsid w:val="000C332B"/>
    <w:rsid w:val="000C51E1"/>
    <w:rsid w:val="000C539D"/>
    <w:rsid w:val="000C60E8"/>
    <w:rsid w:val="000D0D20"/>
    <w:rsid w:val="000D2EA4"/>
    <w:rsid w:val="000D667D"/>
    <w:rsid w:val="000E12AE"/>
    <w:rsid w:val="000E15EE"/>
    <w:rsid w:val="000E55AC"/>
    <w:rsid w:val="000E6166"/>
    <w:rsid w:val="000E78DA"/>
    <w:rsid w:val="000E7AEF"/>
    <w:rsid w:val="000F16B0"/>
    <w:rsid w:val="000F27DB"/>
    <w:rsid w:val="001059D3"/>
    <w:rsid w:val="001077DC"/>
    <w:rsid w:val="00111D0F"/>
    <w:rsid w:val="00112156"/>
    <w:rsid w:val="001126AE"/>
    <w:rsid w:val="00112ADF"/>
    <w:rsid w:val="0011418C"/>
    <w:rsid w:val="00120B62"/>
    <w:rsid w:val="00130956"/>
    <w:rsid w:val="00136668"/>
    <w:rsid w:val="0013746C"/>
    <w:rsid w:val="0013762C"/>
    <w:rsid w:val="00137B51"/>
    <w:rsid w:val="00137FF9"/>
    <w:rsid w:val="00142989"/>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05D3"/>
    <w:rsid w:val="00212287"/>
    <w:rsid w:val="002135AB"/>
    <w:rsid w:val="00213E68"/>
    <w:rsid w:val="0021509C"/>
    <w:rsid w:val="00221C3F"/>
    <w:rsid w:val="00222209"/>
    <w:rsid w:val="00223B69"/>
    <w:rsid w:val="00225423"/>
    <w:rsid w:val="002254BE"/>
    <w:rsid w:val="002257D3"/>
    <w:rsid w:val="0022712D"/>
    <w:rsid w:val="00231552"/>
    <w:rsid w:val="00237A61"/>
    <w:rsid w:val="002401D0"/>
    <w:rsid w:val="00244779"/>
    <w:rsid w:val="00244D18"/>
    <w:rsid w:val="002450CD"/>
    <w:rsid w:val="00250A87"/>
    <w:rsid w:val="002539D4"/>
    <w:rsid w:val="0028070B"/>
    <w:rsid w:val="002820DA"/>
    <w:rsid w:val="0028376F"/>
    <w:rsid w:val="00286C02"/>
    <w:rsid w:val="00291ED1"/>
    <w:rsid w:val="00293C66"/>
    <w:rsid w:val="00293EE7"/>
    <w:rsid w:val="00296775"/>
    <w:rsid w:val="002B082E"/>
    <w:rsid w:val="002B36F5"/>
    <w:rsid w:val="002B55A2"/>
    <w:rsid w:val="002B5F91"/>
    <w:rsid w:val="002B702E"/>
    <w:rsid w:val="002B7269"/>
    <w:rsid w:val="002B729F"/>
    <w:rsid w:val="002B77D3"/>
    <w:rsid w:val="002C0E2D"/>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74E2"/>
    <w:rsid w:val="003277A4"/>
    <w:rsid w:val="0033120B"/>
    <w:rsid w:val="003313A3"/>
    <w:rsid w:val="003321A0"/>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86665"/>
    <w:rsid w:val="0039268A"/>
    <w:rsid w:val="003938C5"/>
    <w:rsid w:val="003941A3"/>
    <w:rsid w:val="00397B61"/>
    <w:rsid w:val="003A187B"/>
    <w:rsid w:val="003A59D9"/>
    <w:rsid w:val="003B1AB5"/>
    <w:rsid w:val="003B2A4B"/>
    <w:rsid w:val="003B46E4"/>
    <w:rsid w:val="003B5863"/>
    <w:rsid w:val="003C4435"/>
    <w:rsid w:val="003D257A"/>
    <w:rsid w:val="003D35C3"/>
    <w:rsid w:val="003D6961"/>
    <w:rsid w:val="003D7A39"/>
    <w:rsid w:val="003E1084"/>
    <w:rsid w:val="003E10E5"/>
    <w:rsid w:val="003E7B28"/>
    <w:rsid w:val="003F092E"/>
    <w:rsid w:val="003F0A02"/>
    <w:rsid w:val="003F1DCA"/>
    <w:rsid w:val="003F2438"/>
    <w:rsid w:val="003F3C2C"/>
    <w:rsid w:val="0040042A"/>
    <w:rsid w:val="0040433C"/>
    <w:rsid w:val="00405437"/>
    <w:rsid w:val="00405D05"/>
    <w:rsid w:val="004115A4"/>
    <w:rsid w:val="004161E1"/>
    <w:rsid w:val="004251CB"/>
    <w:rsid w:val="00427798"/>
    <w:rsid w:val="0043606E"/>
    <w:rsid w:val="004401B6"/>
    <w:rsid w:val="004414FB"/>
    <w:rsid w:val="00444661"/>
    <w:rsid w:val="0044506E"/>
    <w:rsid w:val="004460E4"/>
    <w:rsid w:val="0045012D"/>
    <w:rsid w:val="00450F95"/>
    <w:rsid w:val="00455BDA"/>
    <w:rsid w:val="00464352"/>
    <w:rsid w:val="00471A8A"/>
    <w:rsid w:val="00474577"/>
    <w:rsid w:val="00475678"/>
    <w:rsid w:val="00475C01"/>
    <w:rsid w:val="00475E4B"/>
    <w:rsid w:val="0047687F"/>
    <w:rsid w:val="00486C2E"/>
    <w:rsid w:val="00487735"/>
    <w:rsid w:val="0049051D"/>
    <w:rsid w:val="004A537E"/>
    <w:rsid w:val="004A78AF"/>
    <w:rsid w:val="004B0EE1"/>
    <w:rsid w:val="004B15BC"/>
    <w:rsid w:val="004B1FBA"/>
    <w:rsid w:val="004B5422"/>
    <w:rsid w:val="004B6731"/>
    <w:rsid w:val="004C0AD8"/>
    <w:rsid w:val="004C1D9E"/>
    <w:rsid w:val="004C38D5"/>
    <w:rsid w:val="004C4B65"/>
    <w:rsid w:val="004D1E4B"/>
    <w:rsid w:val="004D3F4A"/>
    <w:rsid w:val="004D5B0F"/>
    <w:rsid w:val="004D63D3"/>
    <w:rsid w:val="004D7E67"/>
    <w:rsid w:val="004E27A0"/>
    <w:rsid w:val="004E399C"/>
    <w:rsid w:val="004E57C5"/>
    <w:rsid w:val="004F2440"/>
    <w:rsid w:val="004F3321"/>
    <w:rsid w:val="004F3E19"/>
    <w:rsid w:val="004F462E"/>
    <w:rsid w:val="004F59E2"/>
    <w:rsid w:val="004F798E"/>
    <w:rsid w:val="00501BBB"/>
    <w:rsid w:val="00501BC1"/>
    <w:rsid w:val="00502686"/>
    <w:rsid w:val="005030E6"/>
    <w:rsid w:val="00506110"/>
    <w:rsid w:val="00510585"/>
    <w:rsid w:val="00510867"/>
    <w:rsid w:val="00515533"/>
    <w:rsid w:val="005202C1"/>
    <w:rsid w:val="005203BE"/>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352"/>
    <w:rsid w:val="00563807"/>
    <w:rsid w:val="0056469B"/>
    <w:rsid w:val="005730AE"/>
    <w:rsid w:val="00574FCA"/>
    <w:rsid w:val="00577E1C"/>
    <w:rsid w:val="00590AA4"/>
    <w:rsid w:val="00596DFC"/>
    <w:rsid w:val="0059793F"/>
    <w:rsid w:val="00597D32"/>
    <w:rsid w:val="005A56C7"/>
    <w:rsid w:val="005B204F"/>
    <w:rsid w:val="005B415D"/>
    <w:rsid w:val="005B6338"/>
    <w:rsid w:val="005C2AD1"/>
    <w:rsid w:val="005C4AB5"/>
    <w:rsid w:val="005C6977"/>
    <w:rsid w:val="005D12D5"/>
    <w:rsid w:val="005D17AD"/>
    <w:rsid w:val="005D3566"/>
    <w:rsid w:val="005D4485"/>
    <w:rsid w:val="005E0768"/>
    <w:rsid w:val="005E23CB"/>
    <w:rsid w:val="005E6BF0"/>
    <w:rsid w:val="005F0693"/>
    <w:rsid w:val="005F2C35"/>
    <w:rsid w:val="005F4392"/>
    <w:rsid w:val="005F532A"/>
    <w:rsid w:val="005F70F5"/>
    <w:rsid w:val="0060514D"/>
    <w:rsid w:val="00612718"/>
    <w:rsid w:val="00627D4C"/>
    <w:rsid w:val="00636C95"/>
    <w:rsid w:val="006412E9"/>
    <w:rsid w:val="006414BE"/>
    <w:rsid w:val="00644E2F"/>
    <w:rsid w:val="0064577D"/>
    <w:rsid w:val="0064685C"/>
    <w:rsid w:val="0065004F"/>
    <w:rsid w:val="00650581"/>
    <w:rsid w:val="00650B0E"/>
    <w:rsid w:val="00650F7E"/>
    <w:rsid w:val="00651DB1"/>
    <w:rsid w:val="00652385"/>
    <w:rsid w:val="0065305D"/>
    <w:rsid w:val="006566C2"/>
    <w:rsid w:val="00661135"/>
    <w:rsid w:val="006644FC"/>
    <w:rsid w:val="0066733D"/>
    <w:rsid w:val="006700D5"/>
    <w:rsid w:val="00672D16"/>
    <w:rsid w:val="00674F7C"/>
    <w:rsid w:val="00676FBE"/>
    <w:rsid w:val="00683D48"/>
    <w:rsid w:val="00684289"/>
    <w:rsid w:val="006911EF"/>
    <w:rsid w:val="00693AB6"/>
    <w:rsid w:val="006940B3"/>
    <w:rsid w:val="0069523A"/>
    <w:rsid w:val="00696302"/>
    <w:rsid w:val="00697124"/>
    <w:rsid w:val="006A1028"/>
    <w:rsid w:val="006A191A"/>
    <w:rsid w:val="006A280C"/>
    <w:rsid w:val="006B0E6E"/>
    <w:rsid w:val="006B11B7"/>
    <w:rsid w:val="006B40A1"/>
    <w:rsid w:val="006B47C1"/>
    <w:rsid w:val="006B706C"/>
    <w:rsid w:val="006C2540"/>
    <w:rsid w:val="006C2C55"/>
    <w:rsid w:val="006D07BE"/>
    <w:rsid w:val="006E02B2"/>
    <w:rsid w:val="006E5159"/>
    <w:rsid w:val="006E5931"/>
    <w:rsid w:val="006F1A7A"/>
    <w:rsid w:val="006F5066"/>
    <w:rsid w:val="00704CE5"/>
    <w:rsid w:val="00706451"/>
    <w:rsid w:val="00706770"/>
    <w:rsid w:val="00710176"/>
    <w:rsid w:val="00713583"/>
    <w:rsid w:val="007160D4"/>
    <w:rsid w:val="00723A08"/>
    <w:rsid w:val="007253BF"/>
    <w:rsid w:val="00726343"/>
    <w:rsid w:val="00730FD0"/>
    <w:rsid w:val="00734913"/>
    <w:rsid w:val="0073650F"/>
    <w:rsid w:val="0074402D"/>
    <w:rsid w:val="00756D3A"/>
    <w:rsid w:val="007865AD"/>
    <w:rsid w:val="0079346F"/>
    <w:rsid w:val="0079383E"/>
    <w:rsid w:val="00794393"/>
    <w:rsid w:val="007962A6"/>
    <w:rsid w:val="007A05F2"/>
    <w:rsid w:val="007A4742"/>
    <w:rsid w:val="007A570E"/>
    <w:rsid w:val="007A61BF"/>
    <w:rsid w:val="007B0B9E"/>
    <w:rsid w:val="007B0F32"/>
    <w:rsid w:val="007B245F"/>
    <w:rsid w:val="007B48AA"/>
    <w:rsid w:val="007B6713"/>
    <w:rsid w:val="007C3C68"/>
    <w:rsid w:val="007C4C26"/>
    <w:rsid w:val="007D20AB"/>
    <w:rsid w:val="007D4E84"/>
    <w:rsid w:val="007E1758"/>
    <w:rsid w:val="007E331E"/>
    <w:rsid w:val="007F01C9"/>
    <w:rsid w:val="007F0B28"/>
    <w:rsid w:val="008070E9"/>
    <w:rsid w:val="00810BC9"/>
    <w:rsid w:val="00811E4F"/>
    <w:rsid w:val="0081374B"/>
    <w:rsid w:val="00814B94"/>
    <w:rsid w:val="008157AE"/>
    <w:rsid w:val="00815DFB"/>
    <w:rsid w:val="008168E3"/>
    <w:rsid w:val="00817E56"/>
    <w:rsid w:val="0083112F"/>
    <w:rsid w:val="00833531"/>
    <w:rsid w:val="00833E9C"/>
    <w:rsid w:val="00843D16"/>
    <w:rsid w:val="00845B4F"/>
    <w:rsid w:val="00847444"/>
    <w:rsid w:val="00847EC1"/>
    <w:rsid w:val="0085007A"/>
    <w:rsid w:val="008527CF"/>
    <w:rsid w:val="00854BE8"/>
    <w:rsid w:val="008565B0"/>
    <w:rsid w:val="00862C04"/>
    <w:rsid w:val="00865A98"/>
    <w:rsid w:val="008703E0"/>
    <w:rsid w:val="008815F4"/>
    <w:rsid w:val="008836C1"/>
    <w:rsid w:val="00884539"/>
    <w:rsid w:val="00890B6A"/>
    <w:rsid w:val="008946C7"/>
    <w:rsid w:val="00897DC5"/>
    <w:rsid w:val="008A3EC2"/>
    <w:rsid w:val="008A5DE5"/>
    <w:rsid w:val="008B0197"/>
    <w:rsid w:val="008B5427"/>
    <w:rsid w:val="008D1E58"/>
    <w:rsid w:val="008D34C5"/>
    <w:rsid w:val="008E2B1D"/>
    <w:rsid w:val="008E4A3D"/>
    <w:rsid w:val="008F2038"/>
    <w:rsid w:val="008F41CF"/>
    <w:rsid w:val="008F4747"/>
    <w:rsid w:val="008F6BBB"/>
    <w:rsid w:val="00902874"/>
    <w:rsid w:val="00904E41"/>
    <w:rsid w:val="0090789D"/>
    <w:rsid w:val="0091470E"/>
    <w:rsid w:val="00916EBF"/>
    <w:rsid w:val="009219EA"/>
    <w:rsid w:val="009237D3"/>
    <w:rsid w:val="00924636"/>
    <w:rsid w:val="009250DF"/>
    <w:rsid w:val="00926230"/>
    <w:rsid w:val="009306FE"/>
    <w:rsid w:val="0093115D"/>
    <w:rsid w:val="0093256F"/>
    <w:rsid w:val="0093263D"/>
    <w:rsid w:val="00932E25"/>
    <w:rsid w:val="0093369C"/>
    <w:rsid w:val="00934450"/>
    <w:rsid w:val="0093604A"/>
    <w:rsid w:val="00937F99"/>
    <w:rsid w:val="00940AAF"/>
    <w:rsid w:val="00946B75"/>
    <w:rsid w:val="00947874"/>
    <w:rsid w:val="00947A91"/>
    <w:rsid w:val="00951A65"/>
    <w:rsid w:val="00951C42"/>
    <w:rsid w:val="0095428E"/>
    <w:rsid w:val="00961DCB"/>
    <w:rsid w:val="00963342"/>
    <w:rsid w:val="00970E3F"/>
    <w:rsid w:val="0097460C"/>
    <w:rsid w:val="00976252"/>
    <w:rsid w:val="00984809"/>
    <w:rsid w:val="00987B9D"/>
    <w:rsid w:val="00991BC6"/>
    <w:rsid w:val="00992934"/>
    <w:rsid w:val="0099464A"/>
    <w:rsid w:val="00996D26"/>
    <w:rsid w:val="00997438"/>
    <w:rsid w:val="009A0821"/>
    <w:rsid w:val="009A127C"/>
    <w:rsid w:val="009A1ED8"/>
    <w:rsid w:val="009A2847"/>
    <w:rsid w:val="009A33F7"/>
    <w:rsid w:val="009A7C77"/>
    <w:rsid w:val="009B0859"/>
    <w:rsid w:val="009B15A8"/>
    <w:rsid w:val="009B1A41"/>
    <w:rsid w:val="009B20CD"/>
    <w:rsid w:val="009B20F2"/>
    <w:rsid w:val="009B7E21"/>
    <w:rsid w:val="009C01EE"/>
    <w:rsid w:val="009D03F8"/>
    <w:rsid w:val="009D0A2D"/>
    <w:rsid w:val="009D1C3D"/>
    <w:rsid w:val="009D34C3"/>
    <w:rsid w:val="009D3514"/>
    <w:rsid w:val="009D423A"/>
    <w:rsid w:val="009E21C5"/>
    <w:rsid w:val="009E6207"/>
    <w:rsid w:val="009E7286"/>
    <w:rsid w:val="009E771F"/>
    <w:rsid w:val="009F1E12"/>
    <w:rsid w:val="009F2038"/>
    <w:rsid w:val="009F207C"/>
    <w:rsid w:val="009F3257"/>
    <w:rsid w:val="00A00508"/>
    <w:rsid w:val="00A06403"/>
    <w:rsid w:val="00A07890"/>
    <w:rsid w:val="00A2122E"/>
    <w:rsid w:val="00A24C05"/>
    <w:rsid w:val="00A265A6"/>
    <w:rsid w:val="00A278A0"/>
    <w:rsid w:val="00A30082"/>
    <w:rsid w:val="00A3072E"/>
    <w:rsid w:val="00A31D38"/>
    <w:rsid w:val="00A33AA4"/>
    <w:rsid w:val="00A3780F"/>
    <w:rsid w:val="00A37F70"/>
    <w:rsid w:val="00A4060A"/>
    <w:rsid w:val="00A412CD"/>
    <w:rsid w:val="00A41BA0"/>
    <w:rsid w:val="00A45CF6"/>
    <w:rsid w:val="00A474B8"/>
    <w:rsid w:val="00A50921"/>
    <w:rsid w:val="00A523A9"/>
    <w:rsid w:val="00A643BA"/>
    <w:rsid w:val="00A67185"/>
    <w:rsid w:val="00A7650F"/>
    <w:rsid w:val="00A864FE"/>
    <w:rsid w:val="00A914C7"/>
    <w:rsid w:val="00AA3821"/>
    <w:rsid w:val="00AA4615"/>
    <w:rsid w:val="00AB4EBC"/>
    <w:rsid w:val="00AB6823"/>
    <w:rsid w:val="00AB6DDB"/>
    <w:rsid w:val="00AC1920"/>
    <w:rsid w:val="00AC1996"/>
    <w:rsid w:val="00AC1F4E"/>
    <w:rsid w:val="00AC3F3C"/>
    <w:rsid w:val="00AD0F5C"/>
    <w:rsid w:val="00AE237E"/>
    <w:rsid w:val="00AE4704"/>
    <w:rsid w:val="00AE773D"/>
    <w:rsid w:val="00AF0890"/>
    <w:rsid w:val="00AF0980"/>
    <w:rsid w:val="00AF0DEA"/>
    <w:rsid w:val="00AF1EED"/>
    <w:rsid w:val="00B001BB"/>
    <w:rsid w:val="00B002B5"/>
    <w:rsid w:val="00B1111C"/>
    <w:rsid w:val="00B123B8"/>
    <w:rsid w:val="00B1417C"/>
    <w:rsid w:val="00B14678"/>
    <w:rsid w:val="00B16454"/>
    <w:rsid w:val="00B2194C"/>
    <w:rsid w:val="00B26AC0"/>
    <w:rsid w:val="00B27365"/>
    <w:rsid w:val="00B30E61"/>
    <w:rsid w:val="00B41F13"/>
    <w:rsid w:val="00B42FF2"/>
    <w:rsid w:val="00B435F9"/>
    <w:rsid w:val="00B4429A"/>
    <w:rsid w:val="00B57222"/>
    <w:rsid w:val="00B578B6"/>
    <w:rsid w:val="00B613E9"/>
    <w:rsid w:val="00B675FB"/>
    <w:rsid w:val="00B67BF8"/>
    <w:rsid w:val="00B830F8"/>
    <w:rsid w:val="00B851C8"/>
    <w:rsid w:val="00B86D83"/>
    <w:rsid w:val="00B9739D"/>
    <w:rsid w:val="00B97A73"/>
    <w:rsid w:val="00B97F46"/>
    <w:rsid w:val="00BA1385"/>
    <w:rsid w:val="00BB2481"/>
    <w:rsid w:val="00BB38F8"/>
    <w:rsid w:val="00BB39B7"/>
    <w:rsid w:val="00BB4BC4"/>
    <w:rsid w:val="00BB51F7"/>
    <w:rsid w:val="00BB6799"/>
    <w:rsid w:val="00BB687F"/>
    <w:rsid w:val="00BC00A5"/>
    <w:rsid w:val="00BC0699"/>
    <w:rsid w:val="00BC26C5"/>
    <w:rsid w:val="00BC2CF2"/>
    <w:rsid w:val="00BC3C00"/>
    <w:rsid w:val="00BC412C"/>
    <w:rsid w:val="00BC4D70"/>
    <w:rsid w:val="00BC4F10"/>
    <w:rsid w:val="00BC513F"/>
    <w:rsid w:val="00BC5718"/>
    <w:rsid w:val="00BD25A0"/>
    <w:rsid w:val="00BD4990"/>
    <w:rsid w:val="00BD4D73"/>
    <w:rsid w:val="00BD5D3A"/>
    <w:rsid w:val="00BE24D7"/>
    <w:rsid w:val="00BE34A4"/>
    <w:rsid w:val="00BE5D19"/>
    <w:rsid w:val="00BE6760"/>
    <w:rsid w:val="00BF7962"/>
    <w:rsid w:val="00C03358"/>
    <w:rsid w:val="00C12C00"/>
    <w:rsid w:val="00C147C2"/>
    <w:rsid w:val="00C14D66"/>
    <w:rsid w:val="00C17A11"/>
    <w:rsid w:val="00C210FF"/>
    <w:rsid w:val="00C2411B"/>
    <w:rsid w:val="00C27FB9"/>
    <w:rsid w:val="00C31F27"/>
    <w:rsid w:val="00C375F2"/>
    <w:rsid w:val="00C378FD"/>
    <w:rsid w:val="00C4031B"/>
    <w:rsid w:val="00C40F58"/>
    <w:rsid w:val="00C41DFD"/>
    <w:rsid w:val="00C42000"/>
    <w:rsid w:val="00C43545"/>
    <w:rsid w:val="00C4389C"/>
    <w:rsid w:val="00C4629E"/>
    <w:rsid w:val="00C52F07"/>
    <w:rsid w:val="00C544E0"/>
    <w:rsid w:val="00C619A4"/>
    <w:rsid w:val="00C62523"/>
    <w:rsid w:val="00C653C9"/>
    <w:rsid w:val="00C71836"/>
    <w:rsid w:val="00C81AEB"/>
    <w:rsid w:val="00C84C39"/>
    <w:rsid w:val="00C85D14"/>
    <w:rsid w:val="00C86F31"/>
    <w:rsid w:val="00C9172B"/>
    <w:rsid w:val="00C92A9A"/>
    <w:rsid w:val="00C936FC"/>
    <w:rsid w:val="00CA17BE"/>
    <w:rsid w:val="00CA549C"/>
    <w:rsid w:val="00CA62B3"/>
    <w:rsid w:val="00CA7FF6"/>
    <w:rsid w:val="00CC1507"/>
    <w:rsid w:val="00CC2285"/>
    <w:rsid w:val="00CC57F2"/>
    <w:rsid w:val="00CC5932"/>
    <w:rsid w:val="00CC6CE4"/>
    <w:rsid w:val="00CD6CCF"/>
    <w:rsid w:val="00CE5424"/>
    <w:rsid w:val="00CE67D8"/>
    <w:rsid w:val="00CE779D"/>
    <w:rsid w:val="00CF253B"/>
    <w:rsid w:val="00CF2B08"/>
    <w:rsid w:val="00CF2F65"/>
    <w:rsid w:val="00CF5046"/>
    <w:rsid w:val="00CF5AF5"/>
    <w:rsid w:val="00CF707A"/>
    <w:rsid w:val="00D03E18"/>
    <w:rsid w:val="00D06EED"/>
    <w:rsid w:val="00D14DF6"/>
    <w:rsid w:val="00D21589"/>
    <w:rsid w:val="00D220CD"/>
    <w:rsid w:val="00D23E52"/>
    <w:rsid w:val="00D371CA"/>
    <w:rsid w:val="00D40CF2"/>
    <w:rsid w:val="00D4150F"/>
    <w:rsid w:val="00D41928"/>
    <w:rsid w:val="00D46AC4"/>
    <w:rsid w:val="00D63268"/>
    <w:rsid w:val="00D640BF"/>
    <w:rsid w:val="00D66D16"/>
    <w:rsid w:val="00D704C9"/>
    <w:rsid w:val="00D73BF3"/>
    <w:rsid w:val="00D74AE7"/>
    <w:rsid w:val="00D76E1F"/>
    <w:rsid w:val="00D774F6"/>
    <w:rsid w:val="00D80607"/>
    <w:rsid w:val="00D8072E"/>
    <w:rsid w:val="00D81741"/>
    <w:rsid w:val="00D8378C"/>
    <w:rsid w:val="00D84B01"/>
    <w:rsid w:val="00D947FD"/>
    <w:rsid w:val="00D94E5E"/>
    <w:rsid w:val="00D97288"/>
    <w:rsid w:val="00DA2C80"/>
    <w:rsid w:val="00DB6663"/>
    <w:rsid w:val="00DB721A"/>
    <w:rsid w:val="00DC3925"/>
    <w:rsid w:val="00DD241A"/>
    <w:rsid w:val="00DD2E5E"/>
    <w:rsid w:val="00DE07AF"/>
    <w:rsid w:val="00DE15A3"/>
    <w:rsid w:val="00DE2870"/>
    <w:rsid w:val="00DE3047"/>
    <w:rsid w:val="00DE6C44"/>
    <w:rsid w:val="00DF0767"/>
    <w:rsid w:val="00E030EF"/>
    <w:rsid w:val="00E04D51"/>
    <w:rsid w:val="00E07D7D"/>
    <w:rsid w:val="00E101A0"/>
    <w:rsid w:val="00E11D11"/>
    <w:rsid w:val="00E11FA9"/>
    <w:rsid w:val="00E12A29"/>
    <w:rsid w:val="00E160DF"/>
    <w:rsid w:val="00E17123"/>
    <w:rsid w:val="00E20889"/>
    <w:rsid w:val="00E23660"/>
    <w:rsid w:val="00E310BB"/>
    <w:rsid w:val="00E32B6B"/>
    <w:rsid w:val="00E36F22"/>
    <w:rsid w:val="00E42011"/>
    <w:rsid w:val="00E50B8B"/>
    <w:rsid w:val="00E53402"/>
    <w:rsid w:val="00E537B7"/>
    <w:rsid w:val="00E57C6A"/>
    <w:rsid w:val="00E6542E"/>
    <w:rsid w:val="00E65759"/>
    <w:rsid w:val="00E66798"/>
    <w:rsid w:val="00E7304F"/>
    <w:rsid w:val="00E767F4"/>
    <w:rsid w:val="00E807AF"/>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417C"/>
    <w:rsid w:val="00EC4491"/>
    <w:rsid w:val="00EC5EFD"/>
    <w:rsid w:val="00EC6AEE"/>
    <w:rsid w:val="00EC6BC4"/>
    <w:rsid w:val="00ED1D40"/>
    <w:rsid w:val="00ED32F7"/>
    <w:rsid w:val="00ED6196"/>
    <w:rsid w:val="00ED69DD"/>
    <w:rsid w:val="00EE15E8"/>
    <w:rsid w:val="00EE22D5"/>
    <w:rsid w:val="00EE33FD"/>
    <w:rsid w:val="00EE6FFA"/>
    <w:rsid w:val="00EF1E04"/>
    <w:rsid w:val="00EF506D"/>
    <w:rsid w:val="00F00B4C"/>
    <w:rsid w:val="00F03475"/>
    <w:rsid w:val="00F04D69"/>
    <w:rsid w:val="00F06663"/>
    <w:rsid w:val="00F06F12"/>
    <w:rsid w:val="00F10026"/>
    <w:rsid w:val="00F10282"/>
    <w:rsid w:val="00F1234B"/>
    <w:rsid w:val="00F137F1"/>
    <w:rsid w:val="00F13CB6"/>
    <w:rsid w:val="00F13D41"/>
    <w:rsid w:val="00F13E30"/>
    <w:rsid w:val="00F14F46"/>
    <w:rsid w:val="00F24F7B"/>
    <w:rsid w:val="00F31B10"/>
    <w:rsid w:val="00F403BA"/>
    <w:rsid w:val="00F451DD"/>
    <w:rsid w:val="00F51B3C"/>
    <w:rsid w:val="00F51D24"/>
    <w:rsid w:val="00F5203C"/>
    <w:rsid w:val="00F5270D"/>
    <w:rsid w:val="00F52827"/>
    <w:rsid w:val="00F52D82"/>
    <w:rsid w:val="00F557A3"/>
    <w:rsid w:val="00F57D6A"/>
    <w:rsid w:val="00F63422"/>
    <w:rsid w:val="00F638D2"/>
    <w:rsid w:val="00F7028D"/>
    <w:rsid w:val="00F807FE"/>
    <w:rsid w:val="00F86690"/>
    <w:rsid w:val="00F86966"/>
    <w:rsid w:val="00F87453"/>
    <w:rsid w:val="00F9052A"/>
    <w:rsid w:val="00F915E0"/>
    <w:rsid w:val="00F95F71"/>
    <w:rsid w:val="00FA463A"/>
    <w:rsid w:val="00FA4B14"/>
    <w:rsid w:val="00FB1B09"/>
    <w:rsid w:val="00FB359F"/>
    <w:rsid w:val="00FB49CB"/>
    <w:rsid w:val="00FC0380"/>
    <w:rsid w:val="00FC5B61"/>
    <w:rsid w:val="00FD0A48"/>
    <w:rsid w:val="00FD5486"/>
    <w:rsid w:val="00FE2072"/>
    <w:rsid w:val="00FE3D4C"/>
    <w:rsid w:val="00FF0EC0"/>
    <w:rsid w:val="00FF1BFB"/>
    <w:rsid w:val="00FF1ED9"/>
    <w:rsid w:val="00FF28BC"/>
    <w:rsid w:val="00FF41C3"/>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0&amp;n_processo=003302%2F2016" TargetMode="External"/><Relationship Id="rId18" Type="http://schemas.openxmlformats.org/officeDocument/2006/relationships/hyperlink" Target="https://www.tce.pi.gov.br/download.php?type=publicacao&amp;id=12557" TargetMode="External"/><Relationship Id="rId26" Type="http://schemas.openxmlformats.org/officeDocument/2006/relationships/hyperlink" Target="https://www.tce.pi.gov.br/download.php?type=publicacao&amp;id=12558" TargetMode="External"/><Relationship Id="rId3" Type="http://schemas.openxmlformats.org/officeDocument/2006/relationships/numbering" Target="numbering.xml"/><Relationship Id="rId21" Type="http://schemas.openxmlformats.org/officeDocument/2006/relationships/hyperlink" Target="https://www.tce.pi.gov.br/fiscalizado/pesquisa-de-processos/?n_tipo=0&amp;n_processo=52808%2F2012+" TargetMode="External"/><Relationship Id="rId7" Type="http://schemas.openxmlformats.org/officeDocument/2006/relationships/webSettings" Target="webSettings.xml"/><Relationship Id="rId12" Type="http://schemas.openxmlformats.org/officeDocument/2006/relationships/hyperlink" Target="https://www.tce.pi.gov.br/download.php?type=publicacao&amp;id=12556" TargetMode="External"/><Relationship Id="rId17" Type="http://schemas.openxmlformats.org/officeDocument/2006/relationships/hyperlink" Target="https://www.tce.pi.gov.br/fiscalizado/pesquisa-de-processos/?n_tipo=0&amp;n_processo=013156%2F2018+" TargetMode="External"/><Relationship Id="rId25" Type="http://schemas.openxmlformats.org/officeDocument/2006/relationships/hyperlink" Target="https://www.tce.pi.gov.br/fiscalizado/pesquisa-de-processos/?n_tipo=0&amp;n_processo=009469%2F2018+" TargetMode="External"/><Relationship Id="rId2" Type="http://schemas.openxmlformats.org/officeDocument/2006/relationships/customXml" Target="../customXml/item2.xml"/><Relationship Id="rId16" Type="http://schemas.openxmlformats.org/officeDocument/2006/relationships/hyperlink" Target="https://www.tce.pi.gov.br/download.php?type=publicacao&amp;id=12556" TargetMode="External"/><Relationship Id="rId20" Type="http://schemas.openxmlformats.org/officeDocument/2006/relationships/hyperlink" Target="https://www.tce.pi.gov.br/download.php?type=publicacao&amp;id=1256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0&amp;n_processo=016213%2F2018" TargetMode="External"/><Relationship Id="rId24" Type="http://schemas.openxmlformats.org/officeDocument/2006/relationships/hyperlink" Target="https://www.tce.pi.gov.br/download.php?type=publicacao&amp;id=12573"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0&amp;n_processo=017729%2F2017+" TargetMode="External"/><Relationship Id="rId23" Type="http://schemas.openxmlformats.org/officeDocument/2006/relationships/hyperlink" Target="http://www.tce.pi.gov.br/fiscalizado/pesquisa-de-processos/?n_tipo=0&amp;n_processo=004442%2F2018+" TargetMode="External"/><Relationship Id="rId28" Type="http://schemas.openxmlformats.org/officeDocument/2006/relationships/hyperlink" Target="https://www.tce.pi.gov.br/download.php?type=publicacao&amp;id=12571" TargetMode="Externa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6697%2F2015"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12556" TargetMode="External"/><Relationship Id="rId22" Type="http://schemas.openxmlformats.org/officeDocument/2006/relationships/hyperlink" Target="https://www.tce.pi.gov.br/download.php?type=publicacao&amp;id=12559" TargetMode="External"/><Relationship Id="rId27" Type="http://schemas.openxmlformats.org/officeDocument/2006/relationships/hyperlink" Target="http://www.tce.pi.gov.br/fiscalizado/pesquisa-de-processos/?n_tipo=0&amp;n_processo=002946%2F2016"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novembro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335F3-12FA-4E1F-A25F-388B5A99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1989</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12710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FEVEREIRO - 2019</dc:creator>
  <cp:lastModifiedBy>Iana Cavalcanti Reis</cp:lastModifiedBy>
  <cp:revision>7</cp:revision>
  <cp:lastPrinted>2018-01-18T17:26:00Z</cp:lastPrinted>
  <dcterms:created xsi:type="dcterms:W3CDTF">2019-03-19T11:06:00Z</dcterms:created>
  <dcterms:modified xsi:type="dcterms:W3CDTF">2019-03-26T11:24:00Z</dcterms:modified>
</cp:coreProperties>
</file>