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77777777" w:rsidR="00937F99" w:rsidRDefault="00937F99">
      <w:bookmarkStart w:id="0" w:name="_GoBack"/>
      <w:bookmarkEnd w:id="0"/>
      <w:r>
        <w:t xml:space="preserve"> </w:t>
      </w:r>
    </w:p>
    <w:sdt>
      <w:sdtPr>
        <w:id w:val="-899279946"/>
        <w:docPartObj>
          <w:docPartGallery w:val="Cover Pages"/>
          <w:docPartUnique/>
        </w:docPartObj>
      </w:sdtPr>
      <w:sdtEndPr>
        <w:rPr>
          <w:b/>
          <w:bCs/>
        </w:rPr>
      </w:sdtEndPr>
      <w:sdtContent>
        <w:p w14:paraId="13EAA51A" w14:textId="77777777"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14:paraId="3D52D948" w14:textId="77777777"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69F0F5A">
                  <v:rect id="Retângulo 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spid="_x0000_s1026" fillcolor="#333 [257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v:fill type="gradientRadial" color2="black [960]" focus="100%" focussize="" focusposition=".5,.5" rotate="t"/>
                    <v:textbox inset="18pt,,108pt,7.2pt">
                      <w:txbxContent>
                        <w:sdt>
                          <w:sdtPr>
                            <w:rPr>
                              <w:rFonts w:asciiTheme="majorHAnsi" w:hAnsiTheme="majorHAnsi" w:eastAsiaTheme="majorEastAsia"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5F4392" w:rsidRDefault="005F4392" w14:paraId="33CC53C4" wp14:textId="77777777">
                              <w:pPr>
                                <w:pStyle w:val="SemEspaamento"/>
                                <w:rPr>
                                  <w:rFonts w:asciiTheme="majorHAnsi" w:hAnsiTheme="majorHAnsi" w:eastAsiaTheme="majorEastAsia" w:cstheme="majorBidi"/>
                                  <w:color w:val="FFFFFF" w:themeColor="background1"/>
                                  <w:sz w:val="84"/>
                                  <w:szCs w:val="84"/>
                                </w:rPr>
                              </w:pPr>
                              <w:r>
                                <w:rPr>
                                  <w:rFonts w:asciiTheme="majorHAnsi" w:hAnsiTheme="majorHAnsi" w:eastAsiaTheme="majorEastAsia" w:cstheme="majorBidi"/>
                                  <w:color w:val="FFFFFF" w:themeColor="background1"/>
                                  <w:sz w:val="84"/>
                                  <w:szCs w:val="84"/>
                                </w:rPr>
                                <w:t>Boletim de Jurisprudência</w:t>
                              </w:r>
                            </w:p>
                          </w:sdtContent>
                        </w:sdt>
                      </w:txbxContent>
                    </v:textbox>
                    <w10:wrap anchorx="margin" anchory="margin"/>
                  </v:rect>
                </w:pict>
              </mc:Fallback>
            </mc:AlternateContent>
          </w:r>
        </w:p>
        <w:p w14:paraId="672A6659" w14:textId="77777777" w:rsidR="002820DA" w:rsidRPr="00A914C7" w:rsidRDefault="002820DA"/>
        <w:p w14:paraId="0A37501D" w14:textId="77777777" w:rsidR="002820DA" w:rsidRPr="00A914C7" w:rsidRDefault="002820DA"/>
        <w:p w14:paraId="5DAB6C7B" w14:textId="77777777" w:rsidR="002820DA" w:rsidRPr="00A914C7" w:rsidRDefault="002820DA"/>
        <w:p w14:paraId="23A35ABB" w14:textId="77777777"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14:paraId="794D949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14:paraId="09D2AD5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14:paraId="207CCF61" w14:textId="77777777"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408B29A">
                  <v:shapetype id="_x0000_t202" coordsize="21600,21600" o:spt="202" path="m,l,21600r21600,l21600,xe">
                    <v:stroke joinstyle="miter"/>
                    <v:path gradientshapeok="t" o:connecttype="rect"/>
                  </v:shapetype>
                  <v:shape id="Caixa de Texto 386"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5F4392" w:rsidRDefault="005F4392" w14:paraId="3297423A" wp14:textId="77777777">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5F4392" w:rsidRDefault="005F4392" w14:paraId="6598428E" wp14:textId="77777777">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5F4392" w:rsidP="00AE773D" w:rsidRDefault="005F4392" w14:paraId="05C2A4D3" wp14:textId="7777777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14:paraId="51FC0EA9" w14:textId="77777777" w:rsidR="005F4392" w:rsidRDefault="005F439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FEVEREIRO - 20</w:t>
                                    </w:r>
                                    <w:r w:rsidR="004E05EA">
                                      <w:rPr>
                                        <w:rFonts w:asciiTheme="majorHAnsi" w:eastAsiaTheme="majorEastAsia" w:hAnsiTheme="majorHAnsi"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14:paraId="5D1AC6AC" w14:textId="77777777"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4E05EA">
                                      <w:rPr>
                                        <w:color w:val="1F497D" w:themeColor="text2"/>
                                      </w:rPr>
                                      <w:t>fevereiro</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14:paraId="02EB378F" w14:textId="77777777" w:rsidR="005F4392" w:rsidRDefault="005F439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A71D6D8">
                  <v:shape id="Caixa de Texto 387"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v:textbox inset=",14.4pt,,7.2pt">
                      <w:txbxContent>
                        <w:sdt>
                          <w:sdtPr>
                            <w:rPr>
                              <w:rFonts w:asciiTheme="majorHAnsi" w:hAnsiTheme="majorHAnsi" w:eastAsiaTheme="majorEastAsia"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5F4392" w:rsidRDefault="005F4392" w14:paraId="3553E208" wp14:textId="77777777">
                              <w:pPr>
                                <w:suppressOverlap/>
                                <w:rPr>
                                  <w:rFonts w:asciiTheme="majorHAnsi" w:hAnsiTheme="majorHAnsi" w:eastAsiaTheme="majorEastAsia" w:cstheme="majorBidi"/>
                                  <w:color w:val="1F497D" w:themeColor="text2"/>
                                  <w:sz w:val="40"/>
                                  <w:szCs w:val="40"/>
                                </w:rPr>
                              </w:pPr>
                              <w:r>
                                <w:rPr>
                                  <w:rFonts w:asciiTheme="majorHAnsi" w:hAnsiTheme="majorHAnsi" w:eastAsiaTheme="majorEastAsia" w:cstheme="majorBidi"/>
                                  <w:color w:val="1F497D" w:themeColor="text2"/>
                                  <w:sz w:val="40"/>
                                  <w:szCs w:val="40"/>
                                </w:rPr>
                                <w:t>EDIÇÃO OFICIAL – FEVEREIRO - 20</w:t>
                              </w:r>
                              <w:r w:rsidR="004E05EA">
                                <w:rPr>
                                  <w:rFonts w:asciiTheme="majorHAnsi" w:hAnsiTheme="majorHAnsi" w:eastAsiaTheme="majorEastAsia"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5F4392" w:rsidP="004F3E19" w:rsidRDefault="005F4392" w14:paraId="1137B3DE" wp14:textId="77777777">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4E05EA">
                                <w:rPr>
                                  <w:color w:val="1F497D" w:themeColor="text2"/>
                                </w:rPr>
                                <w:t>fevereiro</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5F4392" w:rsidRDefault="005F4392" w14:paraId="6A05A809" wp14:textId="77777777"/>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941773F">
                  <v:rect id="Retângulo 388"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spid="_x0000_s1026" fillcolor="white [2577]"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v:fill type="gradientRadial" color2="#4c4c4c [961]" focus="100%" focussize="" focusposition=".5,.5" rotate="t"/>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00565A0">
                  <v:group id="Grupo 7" style="position:absolute;margin-left:0;margin-top:0;width:58.3pt;height:61.2pt;rotation:90;z-index:251661312;mso-left-percent:750;mso-top-percent:490;mso-position-horizontal-relative:page;mso-position-vertical-relative:page;mso-left-percent:750;mso-top-percent:490;mso-width-relative:margin;mso-height-relative:margin" coordsize="1565,590" coordorigin="10217,9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AutoShape 8" style="position:absolute;left:11100;top:9410;width:682;height:590;visibility:visible;mso-wrap-style:square;v-text-anchor:top" o:spid="_x0000_s1027" fillcolor="#c4bc96 [2414]" stroked="f" strokecolor="white" type="#_x0000_t55" adj="1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v:shape id="AutoShape 9" style="position:absolute;left:10659;top:9410;width:682;height:590;visibility:visible;mso-wrap-style:square;v-text-anchor:top" o:spid="_x0000_s1028" fillcolor="#938953 [1614]" stroked="f" strokecolor="white" type="#_x0000_t55" adj="1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v:shape id="AutoShape 10" style="position:absolute;left:10217;top:9410;width:682;height:590;visibility:visible;mso-wrap-style:square;v-text-anchor:top" o:spid="_x0000_s1029" fillcolor="#484329 [814]" stroked="f" strokecolor="white" type="#_x0000_t55" adj="1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14:paraId="2D32F493" w14:textId="77777777" w:rsidR="00333CF2" w:rsidRPr="00A914C7" w:rsidRDefault="00333CF2" w:rsidP="00723A08">
          <w:pPr>
            <w:pStyle w:val="CabealhodoSumrio"/>
            <w:tabs>
              <w:tab w:val="left" w:pos="5638"/>
            </w:tabs>
            <w:jc w:val="both"/>
          </w:pPr>
          <w:r w:rsidRPr="00A914C7">
            <w:t>Sumário</w:t>
          </w:r>
          <w:r w:rsidR="00723A08" w:rsidRPr="00A914C7">
            <w:tab/>
          </w:r>
        </w:p>
        <w:p w14:paraId="607ED181" w14:textId="77777777" w:rsidR="00952F67"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31966595" w:history="1">
            <w:r w:rsidR="00952F67" w:rsidRPr="000D613D">
              <w:rPr>
                <w:rStyle w:val="Hyperlink"/>
                <w:noProof/>
              </w:rPr>
              <w:t>DESPESA</w:t>
            </w:r>
            <w:r w:rsidR="00952F67">
              <w:rPr>
                <w:noProof/>
                <w:webHidden/>
              </w:rPr>
              <w:tab/>
            </w:r>
            <w:r w:rsidR="00952F67">
              <w:rPr>
                <w:noProof/>
                <w:webHidden/>
              </w:rPr>
              <w:fldChar w:fldCharType="begin"/>
            </w:r>
            <w:r w:rsidR="00952F67">
              <w:rPr>
                <w:noProof/>
                <w:webHidden/>
              </w:rPr>
              <w:instrText xml:space="preserve"> PAGEREF _Toc31966595 \h </w:instrText>
            </w:r>
            <w:r w:rsidR="00952F67">
              <w:rPr>
                <w:noProof/>
                <w:webHidden/>
              </w:rPr>
            </w:r>
            <w:r w:rsidR="00952F67">
              <w:rPr>
                <w:noProof/>
                <w:webHidden/>
              </w:rPr>
              <w:fldChar w:fldCharType="separate"/>
            </w:r>
            <w:r w:rsidR="00952F67">
              <w:rPr>
                <w:noProof/>
                <w:webHidden/>
              </w:rPr>
              <w:t>2</w:t>
            </w:r>
            <w:r w:rsidR="00952F67">
              <w:rPr>
                <w:noProof/>
                <w:webHidden/>
              </w:rPr>
              <w:fldChar w:fldCharType="end"/>
            </w:r>
          </w:hyperlink>
        </w:p>
        <w:p w14:paraId="5BBB5289" w14:textId="77777777" w:rsidR="00952F67" w:rsidRDefault="00DA1881">
          <w:pPr>
            <w:pStyle w:val="Sumrio2"/>
            <w:tabs>
              <w:tab w:val="right" w:leader="dot" w:pos="8494"/>
            </w:tabs>
            <w:rPr>
              <w:noProof/>
            </w:rPr>
          </w:pPr>
          <w:hyperlink w:anchor="_Toc31966596" w:history="1">
            <w:r w:rsidR="00952F67" w:rsidRPr="000D613D">
              <w:rPr>
                <w:rStyle w:val="Hyperlink"/>
                <w:noProof/>
              </w:rPr>
              <w:t>Despesa. Concessão de diárias a Vereador. Ausência de comprovação de realização da viagem.</w:t>
            </w:r>
            <w:r w:rsidR="00952F67">
              <w:rPr>
                <w:noProof/>
                <w:webHidden/>
              </w:rPr>
              <w:tab/>
            </w:r>
            <w:r w:rsidR="00952F67">
              <w:rPr>
                <w:noProof/>
                <w:webHidden/>
              </w:rPr>
              <w:fldChar w:fldCharType="begin"/>
            </w:r>
            <w:r w:rsidR="00952F67">
              <w:rPr>
                <w:noProof/>
                <w:webHidden/>
              </w:rPr>
              <w:instrText xml:space="preserve"> PAGEREF _Toc31966596 \h </w:instrText>
            </w:r>
            <w:r w:rsidR="00952F67">
              <w:rPr>
                <w:noProof/>
                <w:webHidden/>
              </w:rPr>
            </w:r>
            <w:r w:rsidR="00952F67">
              <w:rPr>
                <w:noProof/>
                <w:webHidden/>
              </w:rPr>
              <w:fldChar w:fldCharType="separate"/>
            </w:r>
            <w:r w:rsidR="00952F67">
              <w:rPr>
                <w:noProof/>
                <w:webHidden/>
              </w:rPr>
              <w:t>2</w:t>
            </w:r>
            <w:r w:rsidR="00952F67">
              <w:rPr>
                <w:noProof/>
                <w:webHidden/>
              </w:rPr>
              <w:fldChar w:fldCharType="end"/>
            </w:r>
          </w:hyperlink>
        </w:p>
        <w:p w14:paraId="37C7B6C8" w14:textId="77777777" w:rsidR="00952F67" w:rsidRDefault="00DA1881">
          <w:pPr>
            <w:pStyle w:val="Sumrio1"/>
            <w:tabs>
              <w:tab w:val="right" w:leader="dot" w:pos="8494"/>
            </w:tabs>
            <w:rPr>
              <w:rFonts w:eastAsiaTheme="minorEastAsia"/>
              <w:noProof/>
              <w:lang w:eastAsia="pt-BR"/>
            </w:rPr>
          </w:pPr>
          <w:hyperlink w:anchor="_Toc31966597" w:history="1">
            <w:r w:rsidR="00952F67" w:rsidRPr="000D613D">
              <w:rPr>
                <w:rStyle w:val="Hyperlink"/>
                <w:noProof/>
              </w:rPr>
              <w:t>EDUCAÇÃO</w:t>
            </w:r>
            <w:r w:rsidR="00952F67">
              <w:rPr>
                <w:noProof/>
                <w:webHidden/>
              </w:rPr>
              <w:tab/>
            </w:r>
            <w:r w:rsidR="00952F67">
              <w:rPr>
                <w:noProof/>
                <w:webHidden/>
              </w:rPr>
              <w:fldChar w:fldCharType="begin"/>
            </w:r>
            <w:r w:rsidR="00952F67">
              <w:rPr>
                <w:noProof/>
                <w:webHidden/>
              </w:rPr>
              <w:instrText xml:space="preserve"> PAGEREF _Toc31966597 \h </w:instrText>
            </w:r>
            <w:r w:rsidR="00952F67">
              <w:rPr>
                <w:noProof/>
                <w:webHidden/>
              </w:rPr>
            </w:r>
            <w:r w:rsidR="00952F67">
              <w:rPr>
                <w:noProof/>
                <w:webHidden/>
              </w:rPr>
              <w:fldChar w:fldCharType="separate"/>
            </w:r>
            <w:r w:rsidR="00952F67">
              <w:rPr>
                <w:noProof/>
                <w:webHidden/>
              </w:rPr>
              <w:t>2</w:t>
            </w:r>
            <w:r w:rsidR="00952F67">
              <w:rPr>
                <w:noProof/>
                <w:webHidden/>
              </w:rPr>
              <w:fldChar w:fldCharType="end"/>
            </w:r>
          </w:hyperlink>
        </w:p>
        <w:p w14:paraId="71A6343C" w14:textId="77777777" w:rsidR="00952F67" w:rsidRDefault="00DA1881">
          <w:pPr>
            <w:pStyle w:val="Sumrio2"/>
            <w:tabs>
              <w:tab w:val="right" w:leader="dot" w:pos="8494"/>
            </w:tabs>
            <w:rPr>
              <w:noProof/>
            </w:rPr>
          </w:pPr>
          <w:hyperlink w:anchor="_Toc31966598" w:history="1">
            <w:r w:rsidR="00952F67" w:rsidRPr="000D613D">
              <w:rPr>
                <w:rStyle w:val="Hyperlink"/>
                <w:noProof/>
              </w:rPr>
              <w:t>Educação. Recursos do FUNDEB. Pagamento de débitos de exercícios anteriores. Utilização de outros recursos para pagamento das despesas do FUNDEB.</w:t>
            </w:r>
            <w:r w:rsidR="00952F67">
              <w:rPr>
                <w:noProof/>
                <w:webHidden/>
              </w:rPr>
              <w:tab/>
            </w:r>
            <w:r w:rsidR="00952F67">
              <w:rPr>
                <w:noProof/>
                <w:webHidden/>
              </w:rPr>
              <w:fldChar w:fldCharType="begin"/>
            </w:r>
            <w:r w:rsidR="00952F67">
              <w:rPr>
                <w:noProof/>
                <w:webHidden/>
              </w:rPr>
              <w:instrText xml:space="preserve"> PAGEREF _Toc31966598 \h </w:instrText>
            </w:r>
            <w:r w:rsidR="00952F67">
              <w:rPr>
                <w:noProof/>
                <w:webHidden/>
              </w:rPr>
            </w:r>
            <w:r w:rsidR="00952F67">
              <w:rPr>
                <w:noProof/>
                <w:webHidden/>
              </w:rPr>
              <w:fldChar w:fldCharType="separate"/>
            </w:r>
            <w:r w:rsidR="00952F67">
              <w:rPr>
                <w:noProof/>
                <w:webHidden/>
              </w:rPr>
              <w:t>2</w:t>
            </w:r>
            <w:r w:rsidR="00952F67">
              <w:rPr>
                <w:noProof/>
                <w:webHidden/>
              </w:rPr>
              <w:fldChar w:fldCharType="end"/>
            </w:r>
          </w:hyperlink>
        </w:p>
        <w:p w14:paraId="3BECB5CB" w14:textId="77777777" w:rsidR="00952F67" w:rsidRDefault="00DA1881">
          <w:pPr>
            <w:pStyle w:val="Sumrio1"/>
            <w:tabs>
              <w:tab w:val="right" w:leader="dot" w:pos="8494"/>
            </w:tabs>
            <w:rPr>
              <w:rFonts w:eastAsiaTheme="minorEastAsia"/>
              <w:noProof/>
              <w:lang w:eastAsia="pt-BR"/>
            </w:rPr>
          </w:pPr>
          <w:hyperlink w:anchor="_Toc31966599" w:history="1">
            <w:r w:rsidR="00952F67" w:rsidRPr="000D613D">
              <w:rPr>
                <w:rStyle w:val="Hyperlink"/>
                <w:noProof/>
              </w:rPr>
              <w:t>PESSOAL</w:t>
            </w:r>
            <w:r w:rsidR="00952F67">
              <w:rPr>
                <w:noProof/>
                <w:webHidden/>
              </w:rPr>
              <w:tab/>
            </w:r>
            <w:r w:rsidR="00952F67">
              <w:rPr>
                <w:noProof/>
                <w:webHidden/>
              </w:rPr>
              <w:fldChar w:fldCharType="begin"/>
            </w:r>
            <w:r w:rsidR="00952F67">
              <w:rPr>
                <w:noProof/>
                <w:webHidden/>
              </w:rPr>
              <w:instrText xml:space="preserve"> PAGEREF _Toc31966599 \h </w:instrText>
            </w:r>
            <w:r w:rsidR="00952F67">
              <w:rPr>
                <w:noProof/>
                <w:webHidden/>
              </w:rPr>
            </w:r>
            <w:r w:rsidR="00952F67">
              <w:rPr>
                <w:noProof/>
                <w:webHidden/>
              </w:rPr>
              <w:fldChar w:fldCharType="separate"/>
            </w:r>
            <w:r w:rsidR="00952F67">
              <w:rPr>
                <w:noProof/>
                <w:webHidden/>
              </w:rPr>
              <w:t>3</w:t>
            </w:r>
            <w:r w:rsidR="00952F67">
              <w:rPr>
                <w:noProof/>
                <w:webHidden/>
              </w:rPr>
              <w:fldChar w:fldCharType="end"/>
            </w:r>
          </w:hyperlink>
        </w:p>
        <w:p w14:paraId="3716A986" w14:textId="77777777" w:rsidR="00952F67" w:rsidRDefault="00DA1881">
          <w:pPr>
            <w:pStyle w:val="Sumrio2"/>
            <w:tabs>
              <w:tab w:val="right" w:leader="dot" w:pos="8494"/>
            </w:tabs>
            <w:rPr>
              <w:noProof/>
            </w:rPr>
          </w:pPr>
          <w:hyperlink w:anchor="_Toc31966600" w:history="1">
            <w:r w:rsidR="00952F67" w:rsidRPr="000D613D">
              <w:rPr>
                <w:rStyle w:val="Hyperlink"/>
                <w:noProof/>
              </w:rPr>
              <w:t>Pessoal. Não concessão de aposentadoria integral. Saneamento da irregularidade.</w:t>
            </w:r>
            <w:r w:rsidR="00952F67">
              <w:rPr>
                <w:noProof/>
                <w:webHidden/>
              </w:rPr>
              <w:tab/>
            </w:r>
            <w:r w:rsidR="00952F67">
              <w:rPr>
                <w:noProof/>
                <w:webHidden/>
              </w:rPr>
              <w:fldChar w:fldCharType="begin"/>
            </w:r>
            <w:r w:rsidR="00952F67">
              <w:rPr>
                <w:noProof/>
                <w:webHidden/>
              </w:rPr>
              <w:instrText xml:space="preserve"> PAGEREF _Toc31966600 \h </w:instrText>
            </w:r>
            <w:r w:rsidR="00952F67">
              <w:rPr>
                <w:noProof/>
                <w:webHidden/>
              </w:rPr>
            </w:r>
            <w:r w:rsidR="00952F67">
              <w:rPr>
                <w:noProof/>
                <w:webHidden/>
              </w:rPr>
              <w:fldChar w:fldCharType="separate"/>
            </w:r>
            <w:r w:rsidR="00952F67">
              <w:rPr>
                <w:noProof/>
                <w:webHidden/>
              </w:rPr>
              <w:t>3</w:t>
            </w:r>
            <w:r w:rsidR="00952F67">
              <w:rPr>
                <w:noProof/>
                <w:webHidden/>
              </w:rPr>
              <w:fldChar w:fldCharType="end"/>
            </w:r>
          </w:hyperlink>
        </w:p>
        <w:p w14:paraId="635C526A" w14:textId="77777777" w:rsidR="00952F67" w:rsidRDefault="00DA1881">
          <w:pPr>
            <w:pStyle w:val="Sumrio2"/>
            <w:tabs>
              <w:tab w:val="right" w:leader="dot" w:pos="8494"/>
            </w:tabs>
            <w:rPr>
              <w:noProof/>
            </w:rPr>
          </w:pPr>
          <w:hyperlink w:anchor="_Toc31966601" w:history="1">
            <w:r w:rsidR="00952F67" w:rsidRPr="000D613D">
              <w:rPr>
                <w:rStyle w:val="Hyperlink"/>
                <w:noProof/>
              </w:rPr>
              <w:t>Pessoal. Contratação para prestação de serviços esporádicos. Prestação de serviços de atividade-meio.</w:t>
            </w:r>
            <w:r w:rsidR="00952F67">
              <w:rPr>
                <w:noProof/>
                <w:webHidden/>
              </w:rPr>
              <w:tab/>
            </w:r>
            <w:r w:rsidR="00952F67">
              <w:rPr>
                <w:noProof/>
                <w:webHidden/>
              </w:rPr>
              <w:fldChar w:fldCharType="begin"/>
            </w:r>
            <w:r w:rsidR="00952F67">
              <w:rPr>
                <w:noProof/>
                <w:webHidden/>
              </w:rPr>
              <w:instrText xml:space="preserve"> PAGEREF _Toc31966601 \h </w:instrText>
            </w:r>
            <w:r w:rsidR="00952F67">
              <w:rPr>
                <w:noProof/>
                <w:webHidden/>
              </w:rPr>
            </w:r>
            <w:r w:rsidR="00952F67">
              <w:rPr>
                <w:noProof/>
                <w:webHidden/>
              </w:rPr>
              <w:fldChar w:fldCharType="separate"/>
            </w:r>
            <w:r w:rsidR="00952F67">
              <w:rPr>
                <w:noProof/>
                <w:webHidden/>
              </w:rPr>
              <w:t>3</w:t>
            </w:r>
            <w:r w:rsidR="00952F67">
              <w:rPr>
                <w:noProof/>
                <w:webHidden/>
              </w:rPr>
              <w:fldChar w:fldCharType="end"/>
            </w:r>
          </w:hyperlink>
        </w:p>
        <w:p w14:paraId="2D381EF8" w14:textId="77777777" w:rsidR="00952F67" w:rsidRDefault="00DA1881">
          <w:pPr>
            <w:pStyle w:val="Sumrio2"/>
            <w:tabs>
              <w:tab w:val="right" w:leader="dot" w:pos="8494"/>
            </w:tabs>
            <w:rPr>
              <w:noProof/>
            </w:rPr>
          </w:pPr>
          <w:hyperlink w:anchor="_Toc31966602" w:history="1">
            <w:r w:rsidR="00952F67" w:rsidRPr="000D613D">
              <w:rPr>
                <w:rStyle w:val="Hyperlink"/>
                <w:rFonts w:eastAsiaTheme="minorHAnsi"/>
                <w:noProof/>
              </w:rPr>
              <w:t>REPRESENTAÇÃO. CONTRATAÇÃO PARA PRESTAÇÃO DE SERVIÇOS ESPORÁDICOS. IMPROCEDÊNCIA. ARQUIVAMENTO.</w:t>
            </w:r>
            <w:r w:rsidR="00952F67">
              <w:rPr>
                <w:noProof/>
                <w:webHidden/>
              </w:rPr>
              <w:tab/>
            </w:r>
            <w:r w:rsidR="00952F67">
              <w:rPr>
                <w:noProof/>
                <w:webHidden/>
              </w:rPr>
              <w:fldChar w:fldCharType="begin"/>
            </w:r>
            <w:r w:rsidR="00952F67">
              <w:rPr>
                <w:noProof/>
                <w:webHidden/>
              </w:rPr>
              <w:instrText xml:space="preserve"> PAGEREF _Toc31966602 \h </w:instrText>
            </w:r>
            <w:r w:rsidR="00952F67">
              <w:rPr>
                <w:noProof/>
                <w:webHidden/>
              </w:rPr>
            </w:r>
            <w:r w:rsidR="00952F67">
              <w:rPr>
                <w:noProof/>
                <w:webHidden/>
              </w:rPr>
              <w:fldChar w:fldCharType="separate"/>
            </w:r>
            <w:r w:rsidR="00952F67">
              <w:rPr>
                <w:noProof/>
                <w:webHidden/>
              </w:rPr>
              <w:t>3</w:t>
            </w:r>
            <w:r w:rsidR="00952F67">
              <w:rPr>
                <w:noProof/>
                <w:webHidden/>
              </w:rPr>
              <w:fldChar w:fldCharType="end"/>
            </w:r>
          </w:hyperlink>
        </w:p>
        <w:p w14:paraId="6836E996" w14:textId="77777777" w:rsidR="00952F67" w:rsidRDefault="00DA1881">
          <w:pPr>
            <w:pStyle w:val="Sumrio1"/>
            <w:tabs>
              <w:tab w:val="right" w:leader="dot" w:pos="8494"/>
            </w:tabs>
            <w:rPr>
              <w:rFonts w:eastAsiaTheme="minorEastAsia"/>
              <w:noProof/>
              <w:lang w:eastAsia="pt-BR"/>
            </w:rPr>
          </w:pPr>
          <w:hyperlink w:anchor="_Toc31966603" w:history="1">
            <w:r w:rsidR="00952F67" w:rsidRPr="000D613D">
              <w:rPr>
                <w:rStyle w:val="Hyperlink"/>
                <w:noProof/>
              </w:rPr>
              <w:t>PRESTAÇÃO DE CONTAS</w:t>
            </w:r>
            <w:r w:rsidR="00952F67">
              <w:rPr>
                <w:noProof/>
                <w:webHidden/>
              </w:rPr>
              <w:tab/>
            </w:r>
            <w:r w:rsidR="00952F67">
              <w:rPr>
                <w:noProof/>
                <w:webHidden/>
              </w:rPr>
              <w:fldChar w:fldCharType="begin"/>
            </w:r>
            <w:r w:rsidR="00952F67">
              <w:rPr>
                <w:noProof/>
                <w:webHidden/>
              </w:rPr>
              <w:instrText xml:space="preserve"> PAGEREF _Toc31966603 \h </w:instrText>
            </w:r>
            <w:r w:rsidR="00952F67">
              <w:rPr>
                <w:noProof/>
                <w:webHidden/>
              </w:rPr>
            </w:r>
            <w:r w:rsidR="00952F67">
              <w:rPr>
                <w:noProof/>
                <w:webHidden/>
              </w:rPr>
              <w:fldChar w:fldCharType="separate"/>
            </w:r>
            <w:r w:rsidR="00952F67">
              <w:rPr>
                <w:noProof/>
                <w:webHidden/>
              </w:rPr>
              <w:t>4</w:t>
            </w:r>
            <w:r w:rsidR="00952F67">
              <w:rPr>
                <w:noProof/>
                <w:webHidden/>
              </w:rPr>
              <w:fldChar w:fldCharType="end"/>
            </w:r>
          </w:hyperlink>
        </w:p>
        <w:p w14:paraId="7AB99614" w14:textId="77777777" w:rsidR="00952F67" w:rsidRDefault="00DA1881">
          <w:pPr>
            <w:pStyle w:val="Sumrio2"/>
            <w:tabs>
              <w:tab w:val="right" w:leader="dot" w:pos="8494"/>
            </w:tabs>
            <w:rPr>
              <w:noProof/>
            </w:rPr>
          </w:pPr>
          <w:hyperlink w:anchor="_Toc31966604" w:history="1">
            <w:r w:rsidR="00952F67" w:rsidRPr="000D613D">
              <w:rPr>
                <w:rStyle w:val="Hyperlink"/>
                <w:noProof/>
              </w:rPr>
              <w:t>Prestação de Contas. Análise de exercício financeiro de fatos e atos com significante tempo ocorridos. Ausência de mecanismos de defesa plena pelo gestor. Ausência de meios probatórios. Princípio do contraditório. Princípio da ampla defesa.</w:t>
            </w:r>
            <w:r w:rsidR="00952F67">
              <w:rPr>
                <w:noProof/>
                <w:webHidden/>
              </w:rPr>
              <w:tab/>
            </w:r>
            <w:r w:rsidR="00952F67">
              <w:rPr>
                <w:noProof/>
                <w:webHidden/>
              </w:rPr>
              <w:fldChar w:fldCharType="begin"/>
            </w:r>
            <w:r w:rsidR="00952F67">
              <w:rPr>
                <w:noProof/>
                <w:webHidden/>
              </w:rPr>
              <w:instrText xml:space="preserve"> PAGEREF _Toc31966604 \h </w:instrText>
            </w:r>
            <w:r w:rsidR="00952F67">
              <w:rPr>
                <w:noProof/>
                <w:webHidden/>
              </w:rPr>
            </w:r>
            <w:r w:rsidR="00952F67">
              <w:rPr>
                <w:noProof/>
                <w:webHidden/>
              </w:rPr>
              <w:fldChar w:fldCharType="separate"/>
            </w:r>
            <w:r w:rsidR="00952F67">
              <w:rPr>
                <w:noProof/>
                <w:webHidden/>
              </w:rPr>
              <w:t>4</w:t>
            </w:r>
            <w:r w:rsidR="00952F67">
              <w:rPr>
                <w:noProof/>
                <w:webHidden/>
              </w:rPr>
              <w:fldChar w:fldCharType="end"/>
            </w:r>
          </w:hyperlink>
        </w:p>
        <w:p w14:paraId="7D5AF7D0" w14:textId="77777777" w:rsidR="00952F67" w:rsidRDefault="00DA1881">
          <w:pPr>
            <w:pStyle w:val="Sumrio2"/>
            <w:tabs>
              <w:tab w:val="right" w:leader="dot" w:pos="8494"/>
            </w:tabs>
            <w:rPr>
              <w:noProof/>
            </w:rPr>
          </w:pPr>
          <w:hyperlink w:anchor="_Toc31966605" w:history="1">
            <w:r w:rsidR="00952F67" w:rsidRPr="000D613D">
              <w:rPr>
                <w:rStyle w:val="Hyperlink"/>
                <w:noProof/>
              </w:rPr>
              <w:t>Prestação de Contas. Órgão municipal de pequena estrutura administrativa. Irrazoabilidade no julgamento por reprovação das contas. Ausência de má-fé. Ausência de dolo. Ausência de dano ao erário. Princípio da razoabilidade.</w:t>
            </w:r>
            <w:r w:rsidR="00952F67">
              <w:rPr>
                <w:noProof/>
                <w:webHidden/>
              </w:rPr>
              <w:tab/>
            </w:r>
            <w:r w:rsidR="00952F67">
              <w:rPr>
                <w:noProof/>
                <w:webHidden/>
              </w:rPr>
              <w:fldChar w:fldCharType="begin"/>
            </w:r>
            <w:r w:rsidR="00952F67">
              <w:rPr>
                <w:noProof/>
                <w:webHidden/>
              </w:rPr>
              <w:instrText xml:space="preserve"> PAGEREF _Toc31966605 \h </w:instrText>
            </w:r>
            <w:r w:rsidR="00952F67">
              <w:rPr>
                <w:noProof/>
                <w:webHidden/>
              </w:rPr>
            </w:r>
            <w:r w:rsidR="00952F67">
              <w:rPr>
                <w:noProof/>
                <w:webHidden/>
              </w:rPr>
              <w:fldChar w:fldCharType="separate"/>
            </w:r>
            <w:r w:rsidR="00952F67">
              <w:rPr>
                <w:noProof/>
                <w:webHidden/>
              </w:rPr>
              <w:t>5</w:t>
            </w:r>
            <w:r w:rsidR="00952F67">
              <w:rPr>
                <w:noProof/>
                <w:webHidden/>
              </w:rPr>
              <w:fldChar w:fldCharType="end"/>
            </w:r>
          </w:hyperlink>
        </w:p>
        <w:p w14:paraId="248787FD" w14:textId="77777777" w:rsidR="00952F67" w:rsidRDefault="00DA1881">
          <w:pPr>
            <w:pStyle w:val="Sumrio1"/>
            <w:tabs>
              <w:tab w:val="right" w:leader="dot" w:pos="8494"/>
            </w:tabs>
            <w:rPr>
              <w:rFonts w:eastAsiaTheme="minorEastAsia"/>
              <w:noProof/>
              <w:lang w:eastAsia="pt-BR"/>
            </w:rPr>
          </w:pPr>
          <w:hyperlink w:anchor="_Toc31966606" w:history="1">
            <w:r w:rsidR="00952F67" w:rsidRPr="000D613D">
              <w:rPr>
                <w:rStyle w:val="Hyperlink"/>
                <w:rFonts w:asciiTheme="majorHAnsi" w:eastAsiaTheme="majorEastAsia" w:hAnsiTheme="majorHAnsi" w:cstheme="majorBidi"/>
                <w:b/>
                <w:bCs/>
                <w:noProof/>
              </w:rPr>
              <w:t>PROCESSUAL</w:t>
            </w:r>
            <w:r w:rsidR="00952F67">
              <w:rPr>
                <w:noProof/>
                <w:webHidden/>
              </w:rPr>
              <w:tab/>
            </w:r>
            <w:r w:rsidR="00952F67">
              <w:rPr>
                <w:noProof/>
                <w:webHidden/>
              </w:rPr>
              <w:fldChar w:fldCharType="begin"/>
            </w:r>
            <w:r w:rsidR="00952F67">
              <w:rPr>
                <w:noProof/>
                <w:webHidden/>
              </w:rPr>
              <w:instrText xml:space="preserve"> PAGEREF _Toc31966606 \h </w:instrText>
            </w:r>
            <w:r w:rsidR="00952F67">
              <w:rPr>
                <w:noProof/>
                <w:webHidden/>
              </w:rPr>
            </w:r>
            <w:r w:rsidR="00952F67">
              <w:rPr>
                <w:noProof/>
                <w:webHidden/>
              </w:rPr>
              <w:fldChar w:fldCharType="separate"/>
            </w:r>
            <w:r w:rsidR="00952F67">
              <w:rPr>
                <w:noProof/>
                <w:webHidden/>
              </w:rPr>
              <w:t>5</w:t>
            </w:r>
            <w:r w:rsidR="00952F67">
              <w:rPr>
                <w:noProof/>
                <w:webHidden/>
              </w:rPr>
              <w:fldChar w:fldCharType="end"/>
            </w:r>
          </w:hyperlink>
        </w:p>
        <w:p w14:paraId="6EEE6F76" w14:textId="77777777" w:rsidR="00952F67" w:rsidRDefault="00DA1881">
          <w:pPr>
            <w:pStyle w:val="Sumrio2"/>
            <w:tabs>
              <w:tab w:val="right" w:leader="dot" w:pos="8494"/>
            </w:tabs>
            <w:rPr>
              <w:noProof/>
            </w:rPr>
          </w:pPr>
          <w:hyperlink w:anchor="_Toc31966607" w:history="1">
            <w:r w:rsidR="00952F67" w:rsidRPr="000D613D">
              <w:rPr>
                <w:rStyle w:val="Hyperlink"/>
                <w:rFonts w:asciiTheme="majorHAnsi" w:eastAsiaTheme="majorEastAsia" w:hAnsiTheme="majorHAnsi" w:cstheme="majorBidi"/>
                <w:b/>
                <w:bCs/>
                <w:noProof/>
              </w:rPr>
              <w:t>Processual. Rediscussão de temática já analisada. Inadequação de Pedido de Revisão. Natureza jurídica do Pedido de Revisão.</w:t>
            </w:r>
            <w:r w:rsidR="00952F67">
              <w:rPr>
                <w:noProof/>
                <w:webHidden/>
              </w:rPr>
              <w:tab/>
            </w:r>
            <w:r w:rsidR="00952F67">
              <w:rPr>
                <w:noProof/>
                <w:webHidden/>
              </w:rPr>
              <w:fldChar w:fldCharType="begin"/>
            </w:r>
            <w:r w:rsidR="00952F67">
              <w:rPr>
                <w:noProof/>
                <w:webHidden/>
              </w:rPr>
              <w:instrText xml:space="preserve"> PAGEREF _Toc31966607 \h </w:instrText>
            </w:r>
            <w:r w:rsidR="00952F67">
              <w:rPr>
                <w:noProof/>
                <w:webHidden/>
              </w:rPr>
            </w:r>
            <w:r w:rsidR="00952F67">
              <w:rPr>
                <w:noProof/>
                <w:webHidden/>
              </w:rPr>
              <w:fldChar w:fldCharType="separate"/>
            </w:r>
            <w:r w:rsidR="00952F67">
              <w:rPr>
                <w:noProof/>
                <w:webHidden/>
              </w:rPr>
              <w:t>5</w:t>
            </w:r>
            <w:r w:rsidR="00952F67">
              <w:rPr>
                <w:noProof/>
                <w:webHidden/>
              </w:rPr>
              <w:fldChar w:fldCharType="end"/>
            </w:r>
          </w:hyperlink>
        </w:p>
        <w:p w14:paraId="152E5AE0" w14:textId="77777777" w:rsidR="00952F67" w:rsidRDefault="00DA1881">
          <w:pPr>
            <w:pStyle w:val="Sumrio2"/>
            <w:tabs>
              <w:tab w:val="right" w:leader="dot" w:pos="8494"/>
            </w:tabs>
            <w:rPr>
              <w:noProof/>
            </w:rPr>
          </w:pPr>
          <w:hyperlink w:anchor="_Toc31966608" w:history="1">
            <w:r w:rsidR="00952F67" w:rsidRPr="000D613D">
              <w:rPr>
                <w:rStyle w:val="Hyperlink"/>
                <w:rFonts w:asciiTheme="majorHAnsi" w:eastAsiaTheme="majorEastAsia" w:hAnsiTheme="majorHAnsi" w:cstheme="majorBidi"/>
                <w:b/>
                <w:bCs/>
                <w:noProof/>
              </w:rPr>
              <w:t>Processual. Ausência de apresentação de provas documentais. Ausência de providências contra responsáveis pelas falhas. Não aplicação de multa específica.</w:t>
            </w:r>
            <w:r w:rsidR="00952F67">
              <w:rPr>
                <w:noProof/>
                <w:webHidden/>
              </w:rPr>
              <w:tab/>
            </w:r>
            <w:r w:rsidR="00952F67">
              <w:rPr>
                <w:noProof/>
                <w:webHidden/>
              </w:rPr>
              <w:fldChar w:fldCharType="begin"/>
            </w:r>
            <w:r w:rsidR="00952F67">
              <w:rPr>
                <w:noProof/>
                <w:webHidden/>
              </w:rPr>
              <w:instrText xml:space="preserve"> PAGEREF _Toc31966608 \h </w:instrText>
            </w:r>
            <w:r w:rsidR="00952F67">
              <w:rPr>
                <w:noProof/>
                <w:webHidden/>
              </w:rPr>
            </w:r>
            <w:r w:rsidR="00952F67">
              <w:rPr>
                <w:noProof/>
                <w:webHidden/>
              </w:rPr>
              <w:fldChar w:fldCharType="separate"/>
            </w:r>
            <w:r w:rsidR="00952F67">
              <w:rPr>
                <w:noProof/>
                <w:webHidden/>
              </w:rPr>
              <w:t>6</w:t>
            </w:r>
            <w:r w:rsidR="00952F67">
              <w:rPr>
                <w:noProof/>
                <w:webHidden/>
              </w:rPr>
              <w:fldChar w:fldCharType="end"/>
            </w:r>
          </w:hyperlink>
        </w:p>
        <w:p w14:paraId="5A39BBE3" w14:textId="77777777" w:rsidR="00333CF2" w:rsidRPr="00A914C7" w:rsidRDefault="00333CF2" w:rsidP="002820DA">
          <w:pPr>
            <w:jc w:val="both"/>
          </w:pPr>
          <w:r w:rsidRPr="00A914C7">
            <w:rPr>
              <w:b/>
              <w:bCs/>
            </w:rPr>
            <w:fldChar w:fldCharType="end"/>
          </w:r>
        </w:p>
      </w:sdtContent>
    </w:sdt>
    <w:p w14:paraId="41C8F396" w14:textId="77777777" w:rsidR="00723A08" w:rsidRPr="00A914C7" w:rsidRDefault="00723A08" w:rsidP="00EA2E20">
      <w:pPr>
        <w:pStyle w:val="Ttulo1"/>
        <w:jc w:val="both"/>
      </w:pPr>
    </w:p>
    <w:p w14:paraId="72A3D3EC" w14:textId="77777777" w:rsidR="00BB38F8" w:rsidRPr="00A914C7" w:rsidRDefault="00BB38F8" w:rsidP="00723A08"/>
    <w:p w14:paraId="0D0B940D" w14:textId="77777777" w:rsidR="00BB38F8" w:rsidRPr="00A914C7" w:rsidRDefault="00BB38F8">
      <w:r>
        <w:br w:type="page"/>
      </w:r>
    </w:p>
    <w:p w14:paraId="56654051" w14:textId="71960840" w:rsidR="6A1504BF" w:rsidRDefault="6A1504BF" w:rsidP="6A1504BF">
      <w:pPr>
        <w:pStyle w:val="Ttulo1"/>
        <w:jc w:val="both"/>
      </w:pPr>
      <w:r>
        <w:lastRenderedPageBreak/>
        <w:t>CONTRATO</w:t>
      </w:r>
    </w:p>
    <w:p w14:paraId="0E27B00A" w14:textId="77777777" w:rsidR="005203BE" w:rsidRPr="00A37F70" w:rsidRDefault="005203BE" w:rsidP="2C180DEE">
      <w:pPr>
        <w:tabs>
          <w:tab w:val="left" w:pos="2325"/>
        </w:tabs>
        <w:ind w:left="2268"/>
      </w:pPr>
    </w:p>
    <w:p w14:paraId="0E2C8F9E" w14:textId="75C2D182" w:rsidR="6A1504BF" w:rsidRDefault="6A1504BF" w:rsidP="6A1504BF">
      <w:pPr>
        <w:pStyle w:val="Ttulo2"/>
        <w:jc w:val="both"/>
      </w:pPr>
      <w:r>
        <w:t>Contrato. Ausência de justificativa e autorização para prorrogação e vigência de contrato.</w:t>
      </w:r>
    </w:p>
    <w:p w14:paraId="7F67A80E" w14:textId="77777777" w:rsidR="6A1504BF" w:rsidRDefault="6A1504BF" w:rsidP="6A1504BF">
      <w:pPr>
        <w:ind w:left="2268"/>
      </w:pPr>
    </w:p>
    <w:p w14:paraId="564573AB" w14:textId="0C5CA8DA" w:rsidR="6A1504BF" w:rsidRDefault="6A1504BF" w:rsidP="6A1504BF">
      <w:pPr>
        <w:ind w:left="2268"/>
        <w:jc w:val="both"/>
        <w:rPr>
          <w:rFonts w:ascii="Calibri" w:eastAsia="Calibri" w:hAnsi="Calibri" w:cs="Calibri"/>
        </w:rPr>
      </w:pPr>
      <w:r w:rsidRPr="6A1504BF">
        <w:rPr>
          <w:rFonts w:ascii="Calibri" w:eastAsia="Calibri" w:hAnsi="Calibri" w:cs="Calibri"/>
        </w:rPr>
        <w:t xml:space="preserve">Ausência de justificativa e autorização para as prorrogações da vigência do contrato. </w:t>
      </w:r>
    </w:p>
    <w:p w14:paraId="6ADB0DB0" w14:textId="6C5ADBA4" w:rsidR="6A1504BF" w:rsidRDefault="6A1504BF" w:rsidP="6A1504BF">
      <w:pPr>
        <w:ind w:left="2268"/>
        <w:jc w:val="both"/>
        <w:rPr>
          <w:rFonts w:ascii="Calibri" w:eastAsia="Calibri" w:hAnsi="Calibri" w:cs="Calibri"/>
        </w:rPr>
      </w:pPr>
      <w:r w:rsidRPr="6A1504BF">
        <w:rPr>
          <w:rFonts w:ascii="Calibri" w:eastAsia="Calibri" w:hAnsi="Calibri" w:cs="Calibri"/>
        </w:rPr>
        <w:t>1. A duração dos contratos fica adstrita à vigência dos respectivos critérios orçamentários, exceto quanto à prestação de serviços a serem executados de forma contínua, que poderão ter a duração prorrogada por iguais e sucessivos períodos com vistas à obtenção de preços e condições mais vantajosas para a administração, como dispõe o art. 57 da Lei 8666/93.</w:t>
      </w:r>
    </w:p>
    <w:p w14:paraId="563E703F" w14:textId="1853B32A" w:rsidR="6A1504BF" w:rsidRDefault="6A1504BF" w:rsidP="6A1504BF">
      <w:pPr>
        <w:ind w:left="2268"/>
        <w:jc w:val="both"/>
      </w:pPr>
      <w:r>
        <w:t xml:space="preserve">(Prestação de Contas. Processo </w:t>
      </w:r>
      <w:hyperlink r:id="rId11">
        <w:r w:rsidRPr="6A1504BF">
          <w:rPr>
            <w:rStyle w:val="Hyperlink"/>
          </w:rPr>
          <w:t>TC/006056/2017</w:t>
        </w:r>
      </w:hyperlink>
      <w:r>
        <w:t xml:space="preserve"> – Relator: Cons. Subst. Jackson Nobre Veras. Primeira Câmara. Decisão Unânime. Acórdão nº 361/2020 publicado no </w:t>
      </w:r>
      <w:hyperlink r:id="rId12">
        <w:r w:rsidRPr="6A1504BF">
          <w:rPr>
            <w:rStyle w:val="Hyperlink"/>
          </w:rPr>
          <w:t>DOE/TCE-PI º 078/20</w:t>
        </w:r>
      </w:hyperlink>
      <w:proofErr w:type="gramStart"/>
      <w:r>
        <w:t>)</w:t>
      </w:r>
      <w:proofErr w:type="gramEnd"/>
    </w:p>
    <w:p w14:paraId="66E45411" w14:textId="6344D320" w:rsidR="6A1504BF" w:rsidRDefault="6A1504BF" w:rsidP="6A1504BF">
      <w:pPr>
        <w:ind w:left="2268"/>
        <w:jc w:val="both"/>
      </w:pPr>
    </w:p>
    <w:p w14:paraId="60061E4C" w14:textId="77777777" w:rsidR="005203BE" w:rsidRDefault="005203BE" w:rsidP="005203BE">
      <w:pPr>
        <w:tabs>
          <w:tab w:val="left" w:pos="1032"/>
        </w:tabs>
        <w:jc w:val="both"/>
      </w:pPr>
    </w:p>
    <w:p w14:paraId="329279B8" w14:textId="0EE5B4CF" w:rsidR="2C180DEE" w:rsidRDefault="6A1504BF" w:rsidP="2C180DEE">
      <w:pPr>
        <w:pStyle w:val="Ttulo1"/>
        <w:jc w:val="both"/>
      </w:pPr>
      <w:r>
        <w:t>LICITAÇÃO</w:t>
      </w:r>
    </w:p>
    <w:p w14:paraId="44EAFD9C" w14:textId="77777777" w:rsidR="00A00508" w:rsidRPr="00A37F70" w:rsidRDefault="00A00508" w:rsidP="00A00508"/>
    <w:p w14:paraId="7E289020" w14:textId="41C8E639" w:rsidR="00A00508" w:rsidRPr="00A37F70" w:rsidRDefault="6A1504BF" w:rsidP="00A00508">
      <w:pPr>
        <w:pStyle w:val="Ttulo2"/>
        <w:jc w:val="both"/>
      </w:pPr>
      <w:bookmarkStart w:id="1" w:name="_Toc31966598"/>
      <w:r>
        <w:t xml:space="preserve">Licitação. Procedimento licitatório com o mesmo objeto. Contrato vigente. </w:t>
      </w:r>
      <w:bookmarkEnd w:id="1"/>
    </w:p>
    <w:p w14:paraId="4B94D5A5" w14:textId="77777777" w:rsidR="00A00508" w:rsidRPr="00A37F70" w:rsidRDefault="00A00508" w:rsidP="2C180DEE">
      <w:pPr>
        <w:tabs>
          <w:tab w:val="left" w:pos="2325"/>
        </w:tabs>
        <w:ind w:left="2268"/>
      </w:pPr>
    </w:p>
    <w:p w14:paraId="497A7056" w14:textId="102143D8" w:rsidR="6A1504BF" w:rsidRDefault="6A1504BF" w:rsidP="6A1504BF">
      <w:pPr>
        <w:ind w:left="2268"/>
        <w:jc w:val="both"/>
        <w:rPr>
          <w:rFonts w:ascii="Calibri" w:eastAsia="Calibri" w:hAnsi="Calibri" w:cs="Calibri"/>
        </w:rPr>
      </w:pPr>
      <w:r w:rsidRPr="6A1504BF">
        <w:rPr>
          <w:rFonts w:ascii="Calibri" w:eastAsia="Calibri" w:hAnsi="Calibri" w:cs="Calibri"/>
        </w:rPr>
        <w:t xml:space="preserve">LICITAÇÃO. ABERTURA DE LICITAÇÃO COM MESMO OBJETO DE CONTRATO VIGENTE. POSSIBILIDADE. </w:t>
      </w:r>
    </w:p>
    <w:p w14:paraId="06A772F9" w14:textId="32C70CB7" w:rsidR="6A1504BF" w:rsidRDefault="6A1504BF" w:rsidP="6A1504BF">
      <w:pPr>
        <w:ind w:left="2268"/>
        <w:jc w:val="both"/>
        <w:rPr>
          <w:rFonts w:ascii="Calibri" w:eastAsia="Calibri" w:hAnsi="Calibri" w:cs="Calibri"/>
        </w:rPr>
      </w:pPr>
      <w:r w:rsidRPr="6A1504BF">
        <w:rPr>
          <w:rFonts w:ascii="Calibri" w:eastAsia="Calibri" w:hAnsi="Calibri" w:cs="Calibri"/>
        </w:rPr>
        <w:t>1. Na legislação não existe qualquer impedimento para que um órgão proceda à abertura de uma nova licitação com objeto idêntico ao de um contrato ainda vigente, já que pode ser motivada por necessidade ulterior ou ser uma providência antecipatória do encerramento do contrato vigente, para se evitar paralisação de serviços.</w:t>
      </w:r>
    </w:p>
    <w:p w14:paraId="418E4708" w14:textId="62024B7B" w:rsidR="00A00508" w:rsidRPr="00A37F70" w:rsidRDefault="6A1504BF" w:rsidP="003A187B">
      <w:pPr>
        <w:ind w:left="2268"/>
        <w:jc w:val="both"/>
      </w:pPr>
      <w:r>
        <w:lastRenderedPageBreak/>
        <w:t xml:space="preserve">(Representação. Processo </w:t>
      </w:r>
      <w:hyperlink r:id="rId13">
        <w:r w:rsidRPr="6A1504BF">
          <w:rPr>
            <w:rStyle w:val="Hyperlink"/>
          </w:rPr>
          <w:t>TC/009269/2019</w:t>
        </w:r>
      </w:hyperlink>
      <w:r>
        <w:t xml:space="preserve"> – Relator: Cons. Subst. </w:t>
      </w:r>
      <w:proofErr w:type="spellStart"/>
      <w:r>
        <w:t>Jaylson</w:t>
      </w:r>
      <w:proofErr w:type="spellEnd"/>
      <w:r>
        <w:t xml:space="preserve"> </w:t>
      </w:r>
      <w:proofErr w:type="spellStart"/>
      <w:r>
        <w:t>Fabianh</w:t>
      </w:r>
      <w:proofErr w:type="spellEnd"/>
      <w:r>
        <w:t xml:space="preserve"> Lopes Campelo. Primeira Câmara. Decisão Unânime. Acórdão nº 357/2020 publicado no </w:t>
      </w:r>
      <w:hyperlink r:id="rId14">
        <w:r w:rsidRPr="6A1504BF">
          <w:rPr>
            <w:rStyle w:val="Hyperlink"/>
          </w:rPr>
          <w:t>DOE/TCE-PI º 062/20</w:t>
        </w:r>
      </w:hyperlink>
      <w:proofErr w:type="gramStart"/>
      <w:r>
        <w:t>)</w:t>
      </w:r>
      <w:proofErr w:type="gramEnd"/>
    </w:p>
    <w:p w14:paraId="049F31CB" w14:textId="17E60D65" w:rsidR="006A280C" w:rsidRPr="00A37F70" w:rsidRDefault="006A280C" w:rsidP="2C180DEE">
      <w:pPr>
        <w:jc w:val="both"/>
      </w:pPr>
    </w:p>
    <w:p w14:paraId="1F573CB8" w14:textId="5AA91AD6" w:rsidR="00E11FA9" w:rsidRPr="00B1417C" w:rsidRDefault="6A1504BF" w:rsidP="2C180DEE">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 w:name="_Toc31966606"/>
      <w:r w:rsidRPr="6A1504BF">
        <w:rPr>
          <w:rFonts w:asciiTheme="majorHAnsi" w:eastAsiaTheme="majorEastAsia" w:hAnsiTheme="majorHAnsi" w:cstheme="majorBidi"/>
          <w:b/>
          <w:bCs/>
          <w:color w:val="365F91" w:themeColor="accent1" w:themeShade="BF"/>
          <w:sz w:val="28"/>
          <w:szCs w:val="28"/>
        </w:rPr>
        <w:t>PREVIDÊNCIA</w:t>
      </w:r>
      <w:bookmarkEnd w:id="2"/>
    </w:p>
    <w:p w14:paraId="263DE7AB" w14:textId="4CB701C2" w:rsidR="6A1504BF" w:rsidRDefault="6A1504BF" w:rsidP="6A1504BF">
      <w:pPr>
        <w:spacing w:before="200" w:after="0"/>
        <w:jc w:val="both"/>
        <w:rPr>
          <w:rFonts w:asciiTheme="majorHAnsi" w:eastAsiaTheme="majorEastAsia" w:hAnsiTheme="majorHAnsi" w:cstheme="majorBidi"/>
          <w:b/>
          <w:bCs/>
          <w:color w:val="4F80BD"/>
          <w:sz w:val="26"/>
          <w:szCs w:val="26"/>
        </w:rPr>
      </w:pPr>
      <w:bookmarkStart w:id="3" w:name="_Toc31966607"/>
      <w:r w:rsidRPr="6A1504BF">
        <w:rPr>
          <w:rFonts w:asciiTheme="majorHAnsi" w:eastAsiaTheme="majorEastAsia" w:hAnsiTheme="majorHAnsi" w:cstheme="majorBidi"/>
          <w:b/>
          <w:bCs/>
          <w:color w:val="4F80BD"/>
          <w:sz w:val="26"/>
          <w:szCs w:val="26"/>
        </w:rPr>
        <w:t xml:space="preserve">Previdência. </w:t>
      </w:r>
      <w:bookmarkEnd w:id="3"/>
      <w:r w:rsidRPr="6A1504BF">
        <w:rPr>
          <w:rFonts w:asciiTheme="majorHAnsi" w:eastAsiaTheme="majorEastAsia" w:hAnsiTheme="majorHAnsi" w:cstheme="majorBidi"/>
          <w:b/>
          <w:bCs/>
          <w:color w:val="4F80BD"/>
          <w:sz w:val="26"/>
          <w:szCs w:val="26"/>
        </w:rPr>
        <w:t>Ausência de recolhimento de contribuição. Déficit atuarial.</w:t>
      </w:r>
    </w:p>
    <w:p w14:paraId="4B99056E" w14:textId="77777777" w:rsidR="002C0E2D" w:rsidRPr="00A37F70" w:rsidRDefault="002C0E2D" w:rsidP="004F3321">
      <w:pPr>
        <w:pStyle w:val="PargrafodaLista"/>
        <w:ind w:left="2268" w:firstLine="708"/>
        <w:jc w:val="both"/>
      </w:pPr>
    </w:p>
    <w:p w14:paraId="090A6D30" w14:textId="1E002299" w:rsidR="6A1504BF" w:rsidRDefault="6A1504BF" w:rsidP="6A1504BF">
      <w:pPr>
        <w:pStyle w:val="PargrafodaLista"/>
        <w:numPr>
          <w:ilvl w:val="0"/>
          <w:numId w:val="36"/>
        </w:numPr>
        <w:ind w:left="2268" w:firstLine="0"/>
        <w:jc w:val="both"/>
        <w:rPr>
          <w:rFonts w:eastAsiaTheme="minorEastAsia"/>
        </w:rPr>
      </w:pPr>
      <w:r w:rsidRPr="6A1504BF">
        <w:t xml:space="preserve">Previdência. Falhas graves na receita de contribuição, em regime de parcelamento AFETANDO o equilíbrio financeiro e atuarial. IRREGULARIDADE. 1-A ausência de recolhimento de contribuições previdenciárias patronais e ausência adoção de medidas visando </w:t>
      </w:r>
      <w:proofErr w:type="gramStart"/>
      <w:r w:rsidRPr="6A1504BF">
        <w:t>a</w:t>
      </w:r>
      <w:proofErr w:type="gramEnd"/>
      <w:r w:rsidRPr="6A1504BF">
        <w:t xml:space="preserve"> regularização da dívida pretérita para com o Instituto de Previdência afronta o Princípio do Equilíbrio Financeiro e Atuarial.</w:t>
      </w:r>
    </w:p>
    <w:p w14:paraId="436EA067" w14:textId="6804A9B1" w:rsidR="00697124" w:rsidRPr="00A37F70" w:rsidRDefault="6A1504BF" w:rsidP="00E66798">
      <w:pPr>
        <w:ind w:left="2268"/>
        <w:jc w:val="both"/>
      </w:pPr>
      <w:r>
        <w:t xml:space="preserve">(Prestação de Contas. Processo </w:t>
      </w:r>
      <w:hyperlink r:id="rId15">
        <w:r w:rsidRPr="6A1504BF">
          <w:rPr>
            <w:rStyle w:val="Hyperlink"/>
          </w:rPr>
          <w:t>TC/05429/2015</w:t>
        </w:r>
      </w:hyperlink>
      <w:r>
        <w:t xml:space="preserve"> – Relator: Cons. Kleber Dantas Eulálio. Primeira Câmara. Decisão Unânime. Acórdão nº 343/2020 publicado no </w:t>
      </w:r>
      <w:hyperlink r:id="rId16">
        <w:r w:rsidRPr="6A1504BF">
          <w:rPr>
            <w:rStyle w:val="Hyperlink"/>
          </w:rPr>
          <w:t>DOE/TCE-PI º 070/20</w:t>
        </w:r>
      </w:hyperlink>
      <w:r>
        <w:t>).</w:t>
      </w:r>
    </w:p>
    <w:p w14:paraId="4A461840" w14:textId="75E18382" w:rsidR="2C180DEE" w:rsidRDefault="2C180DEE" w:rsidP="2C180DEE">
      <w:pPr>
        <w:ind w:left="1416"/>
        <w:jc w:val="both"/>
      </w:pPr>
    </w:p>
    <w:sectPr w:rsidR="2C180DEE" w:rsidSect="002820DA">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78278" w14:textId="77777777" w:rsidR="00684133" w:rsidRDefault="00684133" w:rsidP="002820DA">
      <w:pPr>
        <w:spacing w:after="0" w:line="240" w:lineRule="auto"/>
      </w:pPr>
      <w:r>
        <w:separator/>
      </w:r>
    </w:p>
  </w:endnote>
  <w:endnote w:type="continuationSeparator" w:id="0">
    <w:p w14:paraId="1FC39945" w14:textId="77777777" w:rsidR="00684133" w:rsidRDefault="00684133"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1D779" w14:textId="77777777" w:rsidR="00684133" w:rsidRDefault="00684133" w:rsidP="002820DA">
      <w:pPr>
        <w:spacing w:after="0" w:line="240" w:lineRule="auto"/>
      </w:pPr>
      <w:r>
        <w:separator/>
      </w:r>
    </w:p>
  </w:footnote>
  <w:footnote w:type="continuationSeparator" w:id="0">
    <w:p w14:paraId="3CF2D8B6" w14:textId="77777777" w:rsidR="00684133" w:rsidRDefault="00684133"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5F4392" w14:paraId="2FB06A84" w14:textId="77777777" w:rsidTr="00B97A73">
      <w:trPr>
        <w:trHeight w:val="908"/>
        <w:jc w:val="center"/>
      </w:trPr>
      <w:tc>
        <w:tcPr>
          <w:tcW w:w="1560" w:type="dxa"/>
        </w:tcPr>
        <w:p w14:paraId="0562CB0E" w14:textId="77777777" w:rsidR="005F4392" w:rsidRDefault="005F439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14:paraId="1C8E6A58" w14:textId="77777777" w:rsidR="005F4392" w:rsidRDefault="005F4392" w:rsidP="00B97A73">
          <w:pPr>
            <w:rPr>
              <w:rFonts w:ascii="Arial" w:hAnsi="Arial"/>
              <w:sz w:val="48"/>
            </w:rPr>
          </w:pPr>
          <w:r>
            <w:rPr>
              <w:rFonts w:ascii="Arial" w:hAnsi="Arial"/>
              <w:sz w:val="48"/>
            </w:rPr>
            <w:t>Estado do Piauí</w:t>
          </w:r>
        </w:p>
        <w:p w14:paraId="6695AF56" w14:textId="77777777" w:rsidR="005F4392" w:rsidRDefault="005F4392" w:rsidP="00B97A73">
          <w:r>
            <w:rPr>
              <w:rFonts w:ascii="Arial" w:hAnsi="Arial"/>
              <w:sz w:val="48"/>
            </w:rPr>
            <w:t>Tribunal de Contas</w:t>
          </w:r>
        </w:p>
      </w:tc>
      <w:tc>
        <w:tcPr>
          <w:tcW w:w="1559" w:type="dxa"/>
          <w:vAlign w:val="center"/>
        </w:tcPr>
        <w:p w14:paraId="34CE0A41" w14:textId="77777777" w:rsidR="005F4392" w:rsidRDefault="005F439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14:paraId="62EBF3C5" w14:textId="77777777" w:rsidR="005F4392" w:rsidRDefault="005F43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9A5304B"/>
    <w:multiLevelType w:val="hybridMultilevel"/>
    <w:tmpl w:val="E2DA5322"/>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6">
    <w:nsid w:val="0BB71265"/>
    <w:multiLevelType w:val="hybridMultilevel"/>
    <w:tmpl w:val="2F72A064"/>
    <w:lvl w:ilvl="0" w:tplc="79C28C26">
      <w:start w:val="1"/>
      <w:numFmt w:val="decimal"/>
      <w:lvlText w:val="%1."/>
      <w:lvlJc w:val="left"/>
      <w:pPr>
        <w:ind w:left="3630" w:hanging="795"/>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7">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0F957813"/>
    <w:multiLevelType w:val="hybridMultilevel"/>
    <w:tmpl w:val="A1F8331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11">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6212BCE"/>
    <w:multiLevelType w:val="hybridMultilevel"/>
    <w:tmpl w:val="49FA8E5A"/>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1E734CEB"/>
    <w:multiLevelType w:val="hybridMultilevel"/>
    <w:tmpl w:val="170A4DD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27785835"/>
    <w:multiLevelType w:val="hybridMultilevel"/>
    <w:tmpl w:val="AF107DB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29502B30"/>
    <w:multiLevelType w:val="hybridMultilevel"/>
    <w:tmpl w:val="F8544458"/>
    <w:lvl w:ilvl="0" w:tplc="0416000F">
      <w:start w:val="1"/>
      <w:numFmt w:val="decimal"/>
      <w:lvlText w:val="%1."/>
      <w:lvlJc w:val="left"/>
      <w:pPr>
        <w:ind w:left="3555" w:hanging="360"/>
      </w:pPr>
    </w:lvl>
    <w:lvl w:ilvl="1" w:tplc="04160019" w:tentative="1">
      <w:start w:val="1"/>
      <w:numFmt w:val="lowerLetter"/>
      <w:lvlText w:val="%2."/>
      <w:lvlJc w:val="left"/>
      <w:pPr>
        <w:ind w:left="4275" w:hanging="360"/>
      </w:pPr>
    </w:lvl>
    <w:lvl w:ilvl="2" w:tplc="0416001B" w:tentative="1">
      <w:start w:val="1"/>
      <w:numFmt w:val="lowerRoman"/>
      <w:lvlText w:val="%3."/>
      <w:lvlJc w:val="right"/>
      <w:pPr>
        <w:ind w:left="4995" w:hanging="180"/>
      </w:pPr>
    </w:lvl>
    <w:lvl w:ilvl="3" w:tplc="0416000F" w:tentative="1">
      <w:start w:val="1"/>
      <w:numFmt w:val="decimal"/>
      <w:lvlText w:val="%4."/>
      <w:lvlJc w:val="left"/>
      <w:pPr>
        <w:ind w:left="5715" w:hanging="360"/>
      </w:pPr>
    </w:lvl>
    <w:lvl w:ilvl="4" w:tplc="04160019" w:tentative="1">
      <w:start w:val="1"/>
      <w:numFmt w:val="lowerLetter"/>
      <w:lvlText w:val="%5."/>
      <w:lvlJc w:val="left"/>
      <w:pPr>
        <w:ind w:left="6435" w:hanging="360"/>
      </w:pPr>
    </w:lvl>
    <w:lvl w:ilvl="5" w:tplc="0416001B" w:tentative="1">
      <w:start w:val="1"/>
      <w:numFmt w:val="lowerRoman"/>
      <w:lvlText w:val="%6."/>
      <w:lvlJc w:val="right"/>
      <w:pPr>
        <w:ind w:left="7155" w:hanging="180"/>
      </w:pPr>
    </w:lvl>
    <w:lvl w:ilvl="6" w:tplc="0416000F" w:tentative="1">
      <w:start w:val="1"/>
      <w:numFmt w:val="decimal"/>
      <w:lvlText w:val="%7."/>
      <w:lvlJc w:val="left"/>
      <w:pPr>
        <w:ind w:left="7875" w:hanging="360"/>
      </w:pPr>
    </w:lvl>
    <w:lvl w:ilvl="7" w:tplc="04160019" w:tentative="1">
      <w:start w:val="1"/>
      <w:numFmt w:val="lowerLetter"/>
      <w:lvlText w:val="%8."/>
      <w:lvlJc w:val="left"/>
      <w:pPr>
        <w:ind w:left="8595" w:hanging="360"/>
      </w:pPr>
    </w:lvl>
    <w:lvl w:ilvl="8" w:tplc="0416001B" w:tentative="1">
      <w:start w:val="1"/>
      <w:numFmt w:val="lowerRoman"/>
      <w:lvlText w:val="%9."/>
      <w:lvlJc w:val="right"/>
      <w:pPr>
        <w:ind w:left="9315" w:hanging="180"/>
      </w:pPr>
    </w:lvl>
  </w:abstractNum>
  <w:abstractNum w:abstractNumId="20">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B23D83"/>
    <w:multiLevelType w:val="hybridMultilevel"/>
    <w:tmpl w:val="2EE0C8A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3">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622F7BA2"/>
    <w:multiLevelType w:val="hybridMultilevel"/>
    <w:tmpl w:val="0E0E89B2"/>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CF21EBE"/>
    <w:multiLevelType w:val="hybridMultilevel"/>
    <w:tmpl w:val="45762CE6"/>
    <w:lvl w:ilvl="0" w:tplc="308841D8">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6"/>
  </w:num>
  <w:num w:numId="3">
    <w:abstractNumId w:val="26"/>
  </w:num>
  <w:num w:numId="4">
    <w:abstractNumId w:val="14"/>
  </w:num>
  <w:num w:numId="5">
    <w:abstractNumId w:val="13"/>
  </w:num>
  <w:num w:numId="6">
    <w:abstractNumId w:val="7"/>
  </w:num>
  <w:num w:numId="7">
    <w:abstractNumId w:val="17"/>
  </w:num>
  <w:num w:numId="8">
    <w:abstractNumId w:val="1"/>
  </w:num>
  <w:num w:numId="9">
    <w:abstractNumId w:val="11"/>
  </w:num>
  <w:num w:numId="10">
    <w:abstractNumId w:val="31"/>
  </w:num>
  <w:num w:numId="11">
    <w:abstractNumId w:val="29"/>
  </w:num>
  <w:num w:numId="12">
    <w:abstractNumId w:val="27"/>
  </w:num>
  <w:num w:numId="13">
    <w:abstractNumId w:val="23"/>
  </w:num>
  <w:num w:numId="14">
    <w:abstractNumId w:val="28"/>
  </w:num>
  <w:num w:numId="15">
    <w:abstractNumId w:val="20"/>
  </w:num>
  <w:num w:numId="16">
    <w:abstractNumId w:val="9"/>
  </w:num>
  <w:num w:numId="17">
    <w:abstractNumId w:val="39"/>
  </w:num>
  <w:num w:numId="18">
    <w:abstractNumId w:val="21"/>
  </w:num>
  <w:num w:numId="19">
    <w:abstractNumId w:val="16"/>
  </w:num>
  <w:num w:numId="20">
    <w:abstractNumId w:val="32"/>
  </w:num>
  <w:num w:numId="21">
    <w:abstractNumId w:val="3"/>
  </w:num>
  <w:num w:numId="22">
    <w:abstractNumId w:val="25"/>
  </w:num>
  <w:num w:numId="23">
    <w:abstractNumId w:val="24"/>
  </w:num>
  <w:num w:numId="24">
    <w:abstractNumId w:val="37"/>
  </w:num>
  <w:num w:numId="25">
    <w:abstractNumId w:val="35"/>
  </w:num>
  <w:num w:numId="26">
    <w:abstractNumId w:val="2"/>
  </w:num>
  <w:num w:numId="27">
    <w:abstractNumId w:val="34"/>
  </w:num>
  <w:num w:numId="28">
    <w:abstractNumId w:val="4"/>
  </w:num>
  <w:num w:numId="29">
    <w:abstractNumId w:val="30"/>
  </w:num>
  <w:num w:numId="30">
    <w:abstractNumId w:val="19"/>
  </w:num>
  <w:num w:numId="31">
    <w:abstractNumId w:val="6"/>
  </w:num>
  <w:num w:numId="32">
    <w:abstractNumId w:val="22"/>
  </w:num>
  <w:num w:numId="33">
    <w:abstractNumId w:val="8"/>
  </w:num>
  <w:num w:numId="34">
    <w:abstractNumId w:val="38"/>
  </w:num>
  <w:num w:numId="35">
    <w:abstractNumId w:val="33"/>
  </w:num>
  <w:num w:numId="36">
    <w:abstractNumId w:val="15"/>
  </w:num>
  <w:num w:numId="37">
    <w:abstractNumId w:val="18"/>
  </w:num>
  <w:num w:numId="38">
    <w:abstractNumId w:val="5"/>
  </w:num>
  <w:num w:numId="3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29A8"/>
    <w:rsid w:val="00037C09"/>
    <w:rsid w:val="0004021F"/>
    <w:rsid w:val="00040DAB"/>
    <w:rsid w:val="00041D6F"/>
    <w:rsid w:val="000426B2"/>
    <w:rsid w:val="00047F55"/>
    <w:rsid w:val="00050D44"/>
    <w:rsid w:val="00052CAC"/>
    <w:rsid w:val="00054D87"/>
    <w:rsid w:val="00062E25"/>
    <w:rsid w:val="000667F7"/>
    <w:rsid w:val="0006700D"/>
    <w:rsid w:val="00076775"/>
    <w:rsid w:val="0007785F"/>
    <w:rsid w:val="00080353"/>
    <w:rsid w:val="0008778A"/>
    <w:rsid w:val="000942DD"/>
    <w:rsid w:val="00094E6D"/>
    <w:rsid w:val="000979EE"/>
    <w:rsid w:val="00097C4D"/>
    <w:rsid w:val="000A1BB6"/>
    <w:rsid w:val="000A5BED"/>
    <w:rsid w:val="000A6F36"/>
    <w:rsid w:val="000A7909"/>
    <w:rsid w:val="000B369B"/>
    <w:rsid w:val="000B36F9"/>
    <w:rsid w:val="000B4599"/>
    <w:rsid w:val="000C332B"/>
    <w:rsid w:val="000C51E1"/>
    <w:rsid w:val="000C539D"/>
    <w:rsid w:val="000C60E8"/>
    <w:rsid w:val="000D0D20"/>
    <w:rsid w:val="000D2EA4"/>
    <w:rsid w:val="000D667D"/>
    <w:rsid w:val="000E12AE"/>
    <w:rsid w:val="000E15EE"/>
    <w:rsid w:val="000E55AC"/>
    <w:rsid w:val="000E6166"/>
    <w:rsid w:val="000E78DA"/>
    <w:rsid w:val="000E7AEF"/>
    <w:rsid w:val="000F16B0"/>
    <w:rsid w:val="000F27DB"/>
    <w:rsid w:val="001059D3"/>
    <w:rsid w:val="001077DC"/>
    <w:rsid w:val="00111D0F"/>
    <w:rsid w:val="00112156"/>
    <w:rsid w:val="001126AE"/>
    <w:rsid w:val="00112ADF"/>
    <w:rsid w:val="0011418C"/>
    <w:rsid w:val="00120B62"/>
    <w:rsid w:val="00130956"/>
    <w:rsid w:val="00136668"/>
    <w:rsid w:val="0013746C"/>
    <w:rsid w:val="0013762C"/>
    <w:rsid w:val="00137B51"/>
    <w:rsid w:val="00137FF9"/>
    <w:rsid w:val="00142989"/>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05D3"/>
    <w:rsid w:val="00212287"/>
    <w:rsid w:val="002135AB"/>
    <w:rsid w:val="00213E68"/>
    <w:rsid w:val="0021509C"/>
    <w:rsid w:val="00215FC4"/>
    <w:rsid w:val="00221C3F"/>
    <w:rsid w:val="00222209"/>
    <w:rsid w:val="00223B69"/>
    <w:rsid w:val="00225423"/>
    <w:rsid w:val="002254BE"/>
    <w:rsid w:val="002257D3"/>
    <w:rsid w:val="0022712D"/>
    <w:rsid w:val="00231552"/>
    <w:rsid w:val="00237A61"/>
    <w:rsid w:val="002401D0"/>
    <w:rsid w:val="00244779"/>
    <w:rsid w:val="00244D18"/>
    <w:rsid w:val="002450CD"/>
    <w:rsid w:val="00250A87"/>
    <w:rsid w:val="002539D4"/>
    <w:rsid w:val="0028070B"/>
    <w:rsid w:val="002820DA"/>
    <w:rsid w:val="0028376F"/>
    <w:rsid w:val="00286C02"/>
    <w:rsid w:val="00291ED1"/>
    <w:rsid w:val="00293C66"/>
    <w:rsid w:val="00293EE7"/>
    <w:rsid w:val="00296775"/>
    <w:rsid w:val="002B082E"/>
    <w:rsid w:val="002B36F5"/>
    <w:rsid w:val="002B55A2"/>
    <w:rsid w:val="002B5F91"/>
    <w:rsid w:val="002B702E"/>
    <w:rsid w:val="002B7269"/>
    <w:rsid w:val="002B729F"/>
    <w:rsid w:val="002B77D3"/>
    <w:rsid w:val="002C0E2D"/>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1A0"/>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86665"/>
    <w:rsid w:val="0039268A"/>
    <w:rsid w:val="003938C5"/>
    <w:rsid w:val="003941A3"/>
    <w:rsid w:val="00397B61"/>
    <w:rsid w:val="003A187B"/>
    <w:rsid w:val="003A59D9"/>
    <w:rsid w:val="003B1AB5"/>
    <w:rsid w:val="003B2A4B"/>
    <w:rsid w:val="003B46E4"/>
    <w:rsid w:val="003B5863"/>
    <w:rsid w:val="003C4435"/>
    <w:rsid w:val="003D257A"/>
    <w:rsid w:val="003D35C3"/>
    <w:rsid w:val="003D6961"/>
    <w:rsid w:val="003D7A39"/>
    <w:rsid w:val="003E0806"/>
    <w:rsid w:val="003E1084"/>
    <w:rsid w:val="003E10E5"/>
    <w:rsid w:val="003E7B28"/>
    <w:rsid w:val="003F092E"/>
    <w:rsid w:val="003F0A02"/>
    <w:rsid w:val="003F1DCA"/>
    <w:rsid w:val="003F2438"/>
    <w:rsid w:val="003F3C2C"/>
    <w:rsid w:val="0040042A"/>
    <w:rsid w:val="0040433C"/>
    <w:rsid w:val="00405437"/>
    <w:rsid w:val="00405D05"/>
    <w:rsid w:val="004115A4"/>
    <w:rsid w:val="004161E1"/>
    <w:rsid w:val="004251CB"/>
    <w:rsid w:val="00427798"/>
    <w:rsid w:val="0043606E"/>
    <w:rsid w:val="004401B6"/>
    <w:rsid w:val="004414FB"/>
    <w:rsid w:val="00444661"/>
    <w:rsid w:val="0044506E"/>
    <w:rsid w:val="004460E4"/>
    <w:rsid w:val="0045012D"/>
    <w:rsid w:val="00450F95"/>
    <w:rsid w:val="00455BDA"/>
    <w:rsid w:val="00464352"/>
    <w:rsid w:val="00471A8A"/>
    <w:rsid w:val="00474577"/>
    <w:rsid w:val="00475678"/>
    <w:rsid w:val="00475C01"/>
    <w:rsid w:val="00475E4B"/>
    <w:rsid w:val="0047687F"/>
    <w:rsid w:val="00486C2E"/>
    <w:rsid w:val="00487735"/>
    <w:rsid w:val="0049051D"/>
    <w:rsid w:val="004A537E"/>
    <w:rsid w:val="004A78AF"/>
    <w:rsid w:val="004B0EE1"/>
    <w:rsid w:val="004B15BC"/>
    <w:rsid w:val="004B1FBA"/>
    <w:rsid w:val="004B5422"/>
    <w:rsid w:val="004B6731"/>
    <w:rsid w:val="004C0AD8"/>
    <w:rsid w:val="004C1D9E"/>
    <w:rsid w:val="004C38D5"/>
    <w:rsid w:val="004C4B65"/>
    <w:rsid w:val="004D1E4B"/>
    <w:rsid w:val="004D3F4A"/>
    <w:rsid w:val="004D5B0F"/>
    <w:rsid w:val="004D63D3"/>
    <w:rsid w:val="004D7E67"/>
    <w:rsid w:val="004E05EA"/>
    <w:rsid w:val="004E27A0"/>
    <w:rsid w:val="004E399C"/>
    <w:rsid w:val="004E57C5"/>
    <w:rsid w:val="004F2440"/>
    <w:rsid w:val="004F3321"/>
    <w:rsid w:val="004F3E19"/>
    <w:rsid w:val="004F462E"/>
    <w:rsid w:val="004F59E2"/>
    <w:rsid w:val="004F798E"/>
    <w:rsid w:val="00501BBB"/>
    <w:rsid w:val="00501BC1"/>
    <w:rsid w:val="00502686"/>
    <w:rsid w:val="005030E6"/>
    <w:rsid w:val="00506110"/>
    <w:rsid w:val="00510585"/>
    <w:rsid w:val="00510867"/>
    <w:rsid w:val="00515533"/>
    <w:rsid w:val="005202C1"/>
    <w:rsid w:val="005203BE"/>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352"/>
    <w:rsid w:val="00563807"/>
    <w:rsid w:val="0056469B"/>
    <w:rsid w:val="005730AE"/>
    <w:rsid w:val="00574FCA"/>
    <w:rsid w:val="00577E1C"/>
    <w:rsid w:val="00590AA4"/>
    <w:rsid w:val="00596DFC"/>
    <w:rsid w:val="0059793F"/>
    <w:rsid w:val="00597D32"/>
    <w:rsid w:val="005A56C7"/>
    <w:rsid w:val="005B204F"/>
    <w:rsid w:val="005B415D"/>
    <w:rsid w:val="005B6338"/>
    <w:rsid w:val="005C2AD1"/>
    <w:rsid w:val="005C4AB5"/>
    <w:rsid w:val="005C6977"/>
    <w:rsid w:val="005D12D5"/>
    <w:rsid w:val="005D17AD"/>
    <w:rsid w:val="005D3566"/>
    <w:rsid w:val="005D4485"/>
    <w:rsid w:val="005E0768"/>
    <w:rsid w:val="005E23CB"/>
    <w:rsid w:val="005E6BF0"/>
    <w:rsid w:val="005F0693"/>
    <w:rsid w:val="005F2C35"/>
    <w:rsid w:val="005F4392"/>
    <w:rsid w:val="005F532A"/>
    <w:rsid w:val="005F70F5"/>
    <w:rsid w:val="0060514D"/>
    <w:rsid w:val="00612718"/>
    <w:rsid w:val="00627D4C"/>
    <w:rsid w:val="00636C95"/>
    <w:rsid w:val="006412E9"/>
    <w:rsid w:val="006414BE"/>
    <w:rsid w:val="00644E2F"/>
    <w:rsid w:val="0064577D"/>
    <w:rsid w:val="0064685C"/>
    <w:rsid w:val="0065004F"/>
    <w:rsid w:val="00650581"/>
    <w:rsid w:val="00650B0E"/>
    <w:rsid w:val="00650F7E"/>
    <w:rsid w:val="00651DB1"/>
    <w:rsid w:val="00652385"/>
    <w:rsid w:val="0065305D"/>
    <w:rsid w:val="006566C2"/>
    <w:rsid w:val="00661135"/>
    <w:rsid w:val="006644FC"/>
    <w:rsid w:val="0066733D"/>
    <w:rsid w:val="006700D5"/>
    <w:rsid w:val="00672D16"/>
    <w:rsid w:val="00674F7C"/>
    <w:rsid w:val="00676FBE"/>
    <w:rsid w:val="00683D48"/>
    <w:rsid w:val="00684133"/>
    <w:rsid w:val="00684289"/>
    <w:rsid w:val="006911EF"/>
    <w:rsid w:val="00693AB6"/>
    <w:rsid w:val="006940B3"/>
    <w:rsid w:val="0069523A"/>
    <w:rsid w:val="00696302"/>
    <w:rsid w:val="00697124"/>
    <w:rsid w:val="006A1028"/>
    <w:rsid w:val="006A191A"/>
    <w:rsid w:val="006A280C"/>
    <w:rsid w:val="006B0E6E"/>
    <w:rsid w:val="006B11B7"/>
    <w:rsid w:val="006B40A1"/>
    <w:rsid w:val="006B47C1"/>
    <w:rsid w:val="006B706C"/>
    <w:rsid w:val="006C2540"/>
    <w:rsid w:val="006C2C55"/>
    <w:rsid w:val="006D07BE"/>
    <w:rsid w:val="006E02B2"/>
    <w:rsid w:val="006E5159"/>
    <w:rsid w:val="006E5931"/>
    <w:rsid w:val="006F1A7A"/>
    <w:rsid w:val="006F5066"/>
    <w:rsid w:val="00704CE5"/>
    <w:rsid w:val="00706451"/>
    <w:rsid w:val="00706770"/>
    <w:rsid w:val="00710176"/>
    <w:rsid w:val="00713583"/>
    <w:rsid w:val="007160D4"/>
    <w:rsid w:val="00723A08"/>
    <w:rsid w:val="007253BF"/>
    <w:rsid w:val="00726343"/>
    <w:rsid w:val="00730FD0"/>
    <w:rsid w:val="00734913"/>
    <w:rsid w:val="0073650F"/>
    <w:rsid w:val="0074402D"/>
    <w:rsid w:val="00756D3A"/>
    <w:rsid w:val="007865AD"/>
    <w:rsid w:val="0079346F"/>
    <w:rsid w:val="0079383E"/>
    <w:rsid w:val="00794393"/>
    <w:rsid w:val="007962A6"/>
    <w:rsid w:val="007A05F2"/>
    <w:rsid w:val="007A4742"/>
    <w:rsid w:val="007A570E"/>
    <w:rsid w:val="007A61BF"/>
    <w:rsid w:val="007B0B9E"/>
    <w:rsid w:val="007B0F32"/>
    <w:rsid w:val="007B245F"/>
    <w:rsid w:val="007B48AA"/>
    <w:rsid w:val="007B6713"/>
    <w:rsid w:val="007C3C68"/>
    <w:rsid w:val="007C4C26"/>
    <w:rsid w:val="007D20AB"/>
    <w:rsid w:val="007D4E84"/>
    <w:rsid w:val="007E1758"/>
    <w:rsid w:val="007E331E"/>
    <w:rsid w:val="007F01C9"/>
    <w:rsid w:val="007F0B28"/>
    <w:rsid w:val="008070E9"/>
    <w:rsid w:val="00810BC9"/>
    <w:rsid w:val="00811E4F"/>
    <w:rsid w:val="0081374B"/>
    <w:rsid w:val="00814B94"/>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565B0"/>
    <w:rsid w:val="00862C04"/>
    <w:rsid w:val="00865A98"/>
    <w:rsid w:val="008703E0"/>
    <w:rsid w:val="008815F4"/>
    <w:rsid w:val="008836C1"/>
    <w:rsid w:val="00884539"/>
    <w:rsid w:val="00890B6A"/>
    <w:rsid w:val="008946C7"/>
    <w:rsid w:val="00897DC5"/>
    <w:rsid w:val="008A3EC2"/>
    <w:rsid w:val="008A5DE5"/>
    <w:rsid w:val="008B0197"/>
    <w:rsid w:val="008B5427"/>
    <w:rsid w:val="008D1E58"/>
    <w:rsid w:val="008D34C5"/>
    <w:rsid w:val="008E2B1D"/>
    <w:rsid w:val="008E4A3D"/>
    <w:rsid w:val="008F2038"/>
    <w:rsid w:val="008F41CF"/>
    <w:rsid w:val="008F4747"/>
    <w:rsid w:val="008F6BBB"/>
    <w:rsid w:val="00902874"/>
    <w:rsid w:val="00904E41"/>
    <w:rsid w:val="0090789D"/>
    <w:rsid w:val="0091470E"/>
    <w:rsid w:val="00916EBF"/>
    <w:rsid w:val="009219EA"/>
    <w:rsid w:val="009237D3"/>
    <w:rsid w:val="00924636"/>
    <w:rsid w:val="009250DF"/>
    <w:rsid w:val="00926230"/>
    <w:rsid w:val="009306FE"/>
    <w:rsid w:val="0093115D"/>
    <w:rsid w:val="0093256F"/>
    <w:rsid w:val="0093263D"/>
    <w:rsid w:val="00932E25"/>
    <w:rsid w:val="0093369C"/>
    <w:rsid w:val="00934450"/>
    <w:rsid w:val="0093604A"/>
    <w:rsid w:val="00937F99"/>
    <w:rsid w:val="00940AAF"/>
    <w:rsid w:val="00946B75"/>
    <w:rsid w:val="00947874"/>
    <w:rsid w:val="00947A91"/>
    <w:rsid w:val="00951A65"/>
    <w:rsid w:val="00951C42"/>
    <w:rsid w:val="00952F67"/>
    <w:rsid w:val="0095428E"/>
    <w:rsid w:val="00961DCB"/>
    <w:rsid w:val="00963342"/>
    <w:rsid w:val="00970E3F"/>
    <w:rsid w:val="0097460C"/>
    <w:rsid w:val="00976252"/>
    <w:rsid w:val="00984809"/>
    <w:rsid w:val="00987B9D"/>
    <w:rsid w:val="00991BC6"/>
    <w:rsid w:val="00992934"/>
    <w:rsid w:val="0099464A"/>
    <w:rsid w:val="00996D26"/>
    <w:rsid w:val="00997438"/>
    <w:rsid w:val="009A0821"/>
    <w:rsid w:val="009A127C"/>
    <w:rsid w:val="009A1ED8"/>
    <w:rsid w:val="009A2847"/>
    <w:rsid w:val="009A33F7"/>
    <w:rsid w:val="009A7C77"/>
    <w:rsid w:val="009B0859"/>
    <w:rsid w:val="009B15A8"/>
    <w:rsid w:val="009B1A41"/>
    <w:rsid w:val="009B20CD"/>
    <w:rsid w:val="009B20F2"/>
    <w:rsid w:val="009B7E21"/>
    <w:rsid w:val="009C01EE"/>
    <w:rsid w:val="009D03F8"/>
    <w:rsid w:val="009D0A2D"/>
    <w:rsid w:val="009D1C3D"/>
    <w:rsid w:val="009D34C3"/>
    <w:rsid w:val="009D3514"/>
    <w:rsid w:val="009D423A"/>
    <w:rsid w:val="009E21C5"/>
    <w:rsid w:val="009E6207"/>
    <w:rsid w:val="009E7286"/>
    <w:rsid w:val="009E771F"/>
    <w:rsid w:val="009F1E12"/>
    <w:rsid w:val="009F2038"/>
    <w:rsid w:val="009F207C"/>
    <w:rsid w:val="009F3257"/>
    <w:rsid w:val="00A00508"/>
    <w:rsid w:val="00A06403"/>
    <w:rsid w:val="00A07890"/>
    <w:rsid w:val="00A2122E"/>
    <w:rsid w:val="00A24C05"/>
    <w:rsid w:val="00A265A6"/>
    <w:rsid w:val="00A278A0"/>
    <w:rsid w:val="00A30082"/>
    <w:rsid w:val="00A3072E"/>
    <w:rsid w:val="00A31D38"/>
    <w:rsid w:val="00A33AA4"/>
    <w:rsid w:val="00A3780F"/>
    <w:rsid w:val="00A37F70"/>
    <w:rsid w:val="00A4060A"/>
    <w:rsid w:val="00A412CD"/>
    <w:rsid w:val="00A41BA0"/>
    <w:rsid w:val="00A45CF6"/>
    <w:rsid w:val="00A474B8"/>
    <w:rsid w:val="00A50921"/>
    <w:rsid w:val="00A523A9"/>
    <w:rsid w:val="00A643BA"/>
    <w:rsid w:val="00A67185"/>
    <w:rsid w:val="00A7650F"/>
    <w:rsid w:val="00A864FE"/>
    <w:rsid w:val="00A914C7"/>
    <w:rsid w:val="00AA3821"/>
    <w:rsid w:val="00AA4615"/>
    <w:rsid w:val="00AB4EBC"/>
    <w:rsid w:val="00AB6823"/>
    <w:rsid w:val="00AB6DDB"/>
    <w:rsid w:val="00AC1920"/>
    <w:rsid w:val="00AC1996"/>
    <w:rsid w:val="00AC1F4E"/>
    <w:rsid w:val="00AC3F3C"/>
    <w:rsid w:val="00AD0F5C"/>
    <w:rsid w:val="00AE237E"/>
    <w:rsid w:val="00AE4704"/>
    <w:rsid w:val="00AE773D"/>
    <w:rsid w:val="00AF0890"/>
    <w:rsid w:val="00AF0980"/>
    <w:rsid w:val="00AF0DEA"/>
    <w:rsid w:val="00AF1EED"/>
    <w:rsid w:val="00B001BB"/>
    <w:rsid w:val="00B002B5"/>
    <w:rsid w:val="00B051BD"/>
    <w:rsid w:val="00B06EFC"/>
    <w:rsid w:val="00B1111C"/>
    <w:rsid w:val="00B123B8"/>
    <w:rsid w:val="00B1417C"/>
    <w:rsid w:val="00B14678"/>
    <w:rsid w:val="00B16454"/>
    <w:rsid w:val="00B2194C"/>
    <w:rsid w:val="00B26AC0"/>
    <w:rsid w:val="00B27365"/>
    <w:rsid w:val="00B30E61"/>
    <w:rsid w:val="00B41F13"/>
    <w:rsid w:val="00B42FF2"/>
    <w:rsid w:val="00B435F9"/>
    <w:rsid w:val="00B4429A"/>
    <w:rsid w:val="00B57222"/>
    <w:rsid w:val="00B578B6"/>
    <w:rsid w:val="00B613E9"/>
    <w:rsid w:val="00B675FB"/>
    <w:rsid w:val="00B67BF8"/>
    <w:rsid w:val="00B830F8"/>
    <w:rsid w:val="00B851C8"/>
    <w:rsid w:val="00B86D83"/>
    <w:rsid w:val="00B9739D"/>
    <w:rsid w:val="00B97A73"/>
    <w:rsid w:val="00B97F46"/>
    <w:rsid w:val="00BA1385"/>
    <w:rsid w:val="00BB2481"/>
    <w:rsid w:val="00BB38F8"/>
    <w:rsid w:val="00BB39B7"/>
    <w:rsid w:val="00BB4BC4"/>
    <w:rsid w:val="00BB51F7"/>
    <w:rsid w:val="00BB6799"/>
    <w:rsid w:val="00BB687F"/>
    <w:rsid w:val="00BC00A5"/>
    <w:rsid w:val="00BC0699"/>
    <w:rsid w:val="00BC26C5"/>
    <w:rsid w:val="00BC2CF2"/>
    <w:rsid w:val="00BC3C00"/>
    <w:rsid w:val="00BC412C"/>
    <w:rsid w:val="00BC4D70"/>
    <w:rsid w:val="00BC4F10"/>
    <w:rsid w:val="00BC513F"/>
    <w:rsid w:val="00BC5718"/>
    <w:rsid w:val="00BD25A0"/>
    <w:rsid w:val="00BD4990"/>
    <w:rsid w:val="00BD4D73"/>
    <w:rsid w:val="00BD5D3A"/>
    <w:rsid w:val="00BE24D7"/>
    <w:rsid w:val="00BE34A4"/>
    <w:rsid w:val="00BE5D19"/>
    <w:rsid w:val="00BE6760"/>
    <w:rsid w:val="00BF7962"/>
    <w:rsid w:val="00C03358"/>
    <w:rsid w:val="00C12C00"/>
    <w:rsid w:val="00C147C2"/>
    <w:rsid w:val="00C14D66"/>
    <w:rsid w:val="00C17A11"/>
    <w:rsid w:val="00C210FF"/>
    <w:rsid w:val="00C2411B"/>
    <w:rsid w:val="00C27FB9"/>
    <w:rsid w:val="00C31F27"/>
    <w:rsid w:val="00C375F2"/>
    <w:rsid w:val="00C378FD"/>
    <w:rsid w:val="00C4031B"/>
    <w:rsid w:val="00C40F58"/>
    <w:rsid w:val="00C41DFD"/>
    <w:rsid w:val="00C42000"/>
    <w:rsid w:val="00C43545"/>
    <w:rsid w:val="00C4389C"/>
    <w:rsid w:val="00C4629E"/>
    <w:rsid w:val="00C52F07"/>
    <w:rsid w:val="00C544E0"/>
    <w:rsid w:val="00C619A4"/>
    <w:rsid w:val="00C62523"/>
    <w:rsid w:val="00C653C9"/>
    <w:rsid w:val="00C71836"/>
    <w:rsid w:val="00C81AEB"/>
    <w:rsid w:val="00C84C39"/>
    <w:rsid w:val="00C85D14"/>
    <w:rsid w:val="00C86F31"/>
    <w:rsid w:val="00C9172B"/>
    <w:rsid w:val="00C92A9A"/>
    <w:rsid w:val="00C936FC"/>
    <w:rsid w:val="00CA17BE"/>
    <w:rsid w:val="00CA549C"/>
    <w:rsid w:val="00CA62B3"/>
    <w:rsid w:val="00CA7FF6"/>
    <w:rsid w:val="00CC1507"/>
    <w:rsid w:val="00CC2285"/>
    <w:rsid w:val="00CC57F2"/>
    <w:rsid w:val="00CC5932"/>
    <w:rsid w:val="00CC6CE4"/>
    <w:rsid w:val="00CD6CCF"/>
    <w:rsid w:val="00CE5424"/>
    <w:rsid w:val="00CE67D8"/>
    <w:rsid w:val="00CE779D"/>
    <w:rsid w:val="00CF253B"/>
    <w:rsid w:val="00CF2B08"/>
    <w:rsid w:val="00CF2F65"/>
    <w:rsid w:val="00CF5046"/>
    <w:rsid w:val="00CF5AF5"/>
    <w:rsid w:val="00CF707A"/>
    <w:rsid w:val="00D03E18"/>
    <w:rsid w:val="00D06EED"/>
    <w:rsid w:val="00D14DF6"/>
    <w:rsid w:val="00D21589"/>
    <w:rsid w:val="00D220CD"/>
    <w:rsid w:val="00D23E52"/>
    <w:rsid w:val="00D371CA"/>
    <w:rsid w:val="00D40CF2"/>
    <w:rsid w:val="00D4150F"/>
    <w:rsid w:val="00D41928"/>
    <w:rsid w:val="00D46AC4"/>
    <w:rsid w:val="00D63268"/>
    <w:rsid w:val="00D640BF"/>
    <w:rsid w:val="00D66D16"/>
    <w:rsid w:val="00D704C9"/>
    <w:rsid w:val="00D73BF3"/>
    <w:rsid w:val="00D74AE7"/>
    <w:rsid w:val="00D76E1F"/>
    <w:rsid w:val="00D774F6"/>
    <w:rsid w:val="00D80607"/>
    <w:rsid w:val="00D8072E"/>
    <w:rsid w:val="00D81741"/>
    <w:rsid w:val="00D8378C"/>
    <w:rsid w:val="00D84B01"/>
    <w:rsid w:val="00D947FD"/>
    <w:rsid w:val="00D94E5E"/>
    <w:rsid w:val="00D97288"/>
    <w:rsid w:val="00DA1881"/>
    <w:rsid w:val="00DA2C80"/>
    <w:rsid w:val="00DB6663"/>
    <w:rsid w:val="00DB721A"/>
    <w:rsid w:val="00DC3925"/>
    <w:rsid w:val="00DD241A"/>
    <w:rsid w:val="00DD2E5E"/>
    <w:rsid w:val="00DE07AF"/>
    <w:rsid w:val="00DE15A3"/>
    <w:rsid w:val="00DE2870"/>
    <w:rsid w:val="00DE3047"/>
    <w:rsid w:val="00DE6C44"/>
    <w:rsid w:val="00DF0767"/>
    <w:rsid w:val="00E0019F"/>
    <w:rsid w:val="00E030EF"/>
    <w:rsid w:val="00E04D51"/>
    <w:rsid w:val="00E07D7D"/>
    <w:rsid w:val="00E101A0"/>
    <w:rsid w:val="00E11D11"/>
    <w:rsid w:val="00E11FA9"/>
    <w:rsid w:val="00E12A29"/>
    <w:rsid w:val="00E160DF"/>
    <w:rsid w:val="00E17123"/>
    <w:rsid w:val="00E20889"/>
    <w:rsid w:val="00E23660"/>
    <w:rsid w:val="00E310BB"/>
    <w:rsid w:val="00E32B6B"/>
    <w:rsid w:val="00E36F22"/>
    <w:rsid w:val="00E42011"/>
    <w:rsid w:val="00E50B8B"/>
    <w:rsid w:val="00E53402"/>
    <w:rsid w:val="00E537B7"/>
    <w:rsid w:val="00E57C6A"/>
    <w:rsid w:val="00E6542E"/>
    <w:rsid w:val="00E65759"/>
    <w:rsid w:val="00E66798"/>
    <w:rsid w:val="00E7304F"/>
    <w:rsid w:val="00E767F4"/>
    <w:rsid w:val="00E807AF"/>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417C"/>
    <w:rsid w:val="00EC4491"/>
    <w:rsid w:val="00EC5EFD"/>
    <w:rsid w:val="00EC6AEE"/>
    <w:rsid w:val="00EC6BC4"/>
    <w:rsid w:val="00ED1D40"/>
    <w:rsid w:val="00ED32F7"/>
    <w:rsid w:val="00ED6196"/>
    <w:rsid w:val="00ED69DD"/>
    <w:rsid w:val="00EE15E8"/>
    <w:rsid w:val="00EE22D5"/>
    <w:rsid w:val="00EE33FD"/>
    <w:rsid w:val="00EE6FFA"/>
    <w:rsid w:val="00EF1E04"/>
    <w:rsid w:val="00EF506D"/>
    <w:rsid w:val="00F00B4C"/>
    <w:rsid w:val="00F03475"/>
    <w:rsid w:val="00F04D69"/>
    <w:rsid w:val="00F06663"/>
    <w:rsid w:val="00F06F12"/>
    <w:rsid w:val="00F10026"/>
    <w:rsid w:val="00F10282"/>
    <w:rsid w:val="00F1234B"/>
    <w:rsid w:val="00F137F1"/>
    <w:rsid w:val="00F13CB6"/>
    <w:rsid w:val="00F13D41"/>
    <w:rsid w:val="00F13E30"/>
    <w:rsid w:val="00F14F46"/>
    <w:rsid w:val="00F24F7B"/>
    <w:rsid w:val="00F31B10"/>
    <w:rsid w:val="00F403BA"/>
    <w:rsid w:val="00F451DD"/>
    <w:rsid w:val="00F51B3C"/>
    <w:rsid w:val="00F51D24"/>
    <w:rsid w:val="00F5203C"/>
    <w:rsid w:val="00F5270D"/>
    <w:rsid w:val="00F52827"/>
    <w:rsid w:val="00F52D82"/>
    <w:rsid w:val="00F557A3"/>
    <w:rsid w:val="00F57D6A"/>
    <w:rsid w:val="00F63422"/>
    <w:rsid w:val="00F638D2"/>
    <w:rsid w:val="00F7028D"/>
    <w:rsid w:val="00F807FE"/>
    <w:rsid w:val="00F83209"/>
    <w:rsid w:val="00F86690"/>
    <w:rsid w:val="00F86966"/>
    <w:rsid w:val="00F87453"/>
    <w:rsid w:val="00F9052A"/>
    <w:rsid w:val="00F915E0"/>
    <w:rsid w:val="00F95F71"/>
    <w:rsid w:val="00FA463A"/>
    <w:rsid w:val="00FA4B14"/>
    <w:rsid w:val="00FB1B09"/>
    <w:rsid w:val="00FB359F"/>
    <w:rsid w:val="00FB49CB"/>
    <w:rsid w:val="00FC0380"/>
    <w:rsid w:val="00FC5B61"/>
    <w:rsid w:val="00FD0A48"/>
    <w:rsid w:val="00FD5486"/>
    <w:rsid w:val="00FE2072"/>
    <w:rsid w:val="00FE3D4C"/>
    <w:rsid w:val="00FF0EC0"/>
    <w:rsid w:val="00FF1BFB"/>
    <w:rsid w:val="00FF1ED9"/>
    <w:rsid w:val="00FF28BC"/>
    <w:rsid w:val="00FF41C3"/>
    <w:rsid w:val="00FF5C37"/>
    <w:rsid w:val="2C180DEE"/>
    <w:rsid w:val="6A150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09269%2F201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tce.pi.gov.br/download.php?type=publicacao&amp;id=528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ce.pi.gov.br/download.php?type=publicacao&amp;id=528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6056%2F2017"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17904%2F2018"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5284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C84126"/>
    <w:rsid w:val="00C84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fevereiro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91A51-223B-461D-B642-4E0969A0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FEVEREIRO - 2020</dc:creator>
  <cp:lastModifiedBy>Iana Cavalcanti Reis</cp:lastModifiedBy>
  <cp:revision>2</cp:revision>
  <cp:lastPrinted>2018-01-18T17:26:00Z</cp:lastPrinted>
  <dcterms:created xsi:type="dcterms:W3CDTF">2020-09-15T12:01:00Z</dcterms:created>
  <dcterms:modified xsi:type="dcterms:W3CDTF">2020-09-15T12:01:00Z</dcterms:modified>
</cp:coreProperties>
</file>