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</w:pPr>
      <w:r>
        <w:rPr>
          <w:b/>
          <w:color w:val="1A1A1A"/>
          <w:sz w:val="48"/>
        </w:rPr>
        <w:t>Ringfence — 5-Minute Video Script</w:t>
      </w:r>
    </w:p>
    <w:p>
      <w:r>
        <w:rPr>
          <w:color w:val="666666"/>
          <w:sz w:val="23"/>
        </w:rPr>
        <w:t>Razorpay AI Buildathon 2026  ·  Track 02, AI Risk Manager  ·  Amiya Manas Singh</w:t>
      </w:r>
    </w:p>
    <w:p>
      <w:pPr>
        <w:spacing w:before="200"/>
      </w:pPr>
      <w:r>
        <w:rPr>
          <w:i/>
          <w:color w:val="B31B1B"/>
          <w:sz w:val="22"/>
        </w:rPr>
        <w:t>Grey strips are stage directions — never read them aloud. Large text is what you say, word for word.</w:t>
      </w:r>
    </w:p>
    <w:p>
      <w:pPr>
        <w:spacing w:before="320" w:after="120"/>
      </w:pPr>
      <w:r>
        <w:rPr>
          <w:b/>
          <w:color w:val="1A1A1A"/>
          <w:sz w:val="30"/>
        </w:rPr>
        <w:t>Before you press record</w:t>
      </w:r>
    </w:p>
    <w:p>
      <w:pPr>
        <w:spacing w:after="160"/>
        <w:ind w:left="173"/>
      </w:pPr>
      <w:r>
        <w:rPr>
          <w:i/>
          <w:color w:val="666666"/>
          <w:sz w:val="20"/>
        </w:rPr>
        <w:t>Run these four lines, then leave both terminals alone for the rest of the session.</w:t>
      </w:r>
    </w:p>
    <w:p>
      <w:pPr>
        <w:spacing w:before="80" w:after="200"/>
        <w:ind w:left="360"/>
        <w:shd w:val="clear" w:fill="F2F2F2"/>
      </w:pPr>
      <w:r>
        <w:rPr>
          <w:rFonts w:ascii="Consolas" w:hAnsi="Consolas"/>
          <w:b/>
          <w:sz w:val="24"/>
        </w:rPr>
        <w:t>make clean-memory        make test        make run        make demo</w:t>
      </w:r>
    </w:p>
    <w:p>
      <w:pPr>
        <w:spacing w:after="160"/>
        <w:ind w:left="173"/>
      </w:pPr>
      <w:r>
        <w:rPr>
          <w:i/>
          <w:color w:val="666666"/>
          <w:sz w:val="20"/>
        </w:rPr>
        <w:t>make clean-memory is not optional — the failure demo at 2:45 only works if case memory is empty. Then open the dashboard and click through all five pages once.</w:t>
      </w:r>
    </w:p>
    <w:p>
      <w:pPr>
        <w:pStyle w:val="ListBullet"/>
        <w:spacing w:after="60"/>
        <w:ind w:left="432"/>
      </w:pPr>
      <w:r>
        <w:rPr>
          <w:b/>
          <w:sz w:val="22"/>
        </w:rPr>
        <w:t>Sidebar says API online · ok</w:t>
      </w:r>
      <w:r>
        <w:rPr>
          <w:sz w:val="22"/>
        </w:rPr>
        <w:t xml:space="preserve">  (green box, top left)</w:t>
      </w:r>
    </w:p>
    <w:p>
      <w:pPr>
        <w:pStyle w:val="ListBullet"/>
        <w:spacing w:after="60"/>
        <w:ind w:left="432"/>
      </w:pPr>
      <w:r>
        <w:rPr>
          <w:b/>
          <w:sz w:val="22"/>
        </w:rPr>
        <w:t>Page 4 shows</w:t>
      </w:r>
      <w:r>
        <w:rPr>
          <w:sz w:val="22"/>
        </w:rPr>
        <w:t xml:space="preserve">  0.942 / 0.869 / 0.964 / 0.978 / +17%</w:t>
      </w:r>
    </w:p>
    <w:p>
      <w:pPr>
        <w:pStyle w:val="ListBullet"/>
        <w:spacing w:after="60"/>
        <w:ind w:left="432"/>
      </w:pPr>
      <w:r>
        <w:rPr>
          <w:b/>
          <w:sz w:val="22"/>
        </w:rPr>
        <w:t>Page 5 still says</w:t>
      </w:r>
      <w:r>
        <w:rPr>
          <w:sz w:val="22"/>
        </w:rPr>
        <w:t xml:space="preserve">  “Click the button to write this verdict into case memory” — if it already shows a damp, run make clean-memory again</w:t>
      </w:r>
    </w:p>
    <w:p>
      <w:pPr>
        <w:spacing w:before="320" w:after="120"/>
      </w:pPr>
      <w:r>
        <w:rPr>
          <w:b/>
          <w:color w:val="1A1A1A"/>
          <w:sz w:val="30"/>
        </w:rPr>
        <w:t>Open exactly two windows</w:t>
      </w:r>
    </w:p>
    <w:p>
      <w:pPr>
        <w:spacing w:after="160"/>
        <w:ind w:left="173"/>
      </w:pPr>
      <w:r>
        <w:rPr>
          <w:i/>
          <w:color w:val="666666"/>
          <w:sz w:val="20"/>
        </w:rPr>
        <w:t>Two windows is the whole trick. With only two, Alt+Tab is a clean toggle — it lands in the right place every single time. Add a third window and Alt+Tab starts cycling most-recent-first and will drop you somewhere you did not expect, on camera.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Window</w:t>
            </w:r>
          </w:p>
        </w:tc>
        <w:tc>
          <w:tcPr>
            <w:tcW w:type="dxa" w:w="2880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What it is</w:t>
            </w:r>
          </w:p>
        </w:tc>
        <w:tc>
          <w:tcPr>
            <w:tcW w:type="dxa" w:w="5184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How to set it up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21"/>
              </w:rPr>
              <w:t>1  Browser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1"/>
              </w:rPr>
              <w:t>The dashboard, localhost:8501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21"/>
              </w:rPr>
              <w:t>One tab only. Press F11 for fullscreen so tabs, address bar and bookmarks disappear. Zoom 100%.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21"/>
              </w:rPr>
              <w:t>2  Terminal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1"/>
              </w:rPr>
              <w:t>Where you press Enter once, at 3:35</w:t>
            </w:r>
          </w:p>
        </w:tc>
        <w:tc>
          <w:tcPr>
            <w:tcW w:type="dxa" w:w="5184"/>
          </w:tcPr>
          <w:p>
            <w:pPr>
              <w:spacing w:after="40"/>
            </w:pPr>
            <w:r>
              <w:rPr>
                <w:sz w:val="21"/>
              </w:rPr>
              <w:t>Font bumped to about 18pt. The command already typed at the prompt — do NOT press Enter until the video.</w:t>
            </w:r>
          </w:p>
        </w:tc>
      </w:tr>
    </w:tbl>
    <w:p>
      <w:pPr>
        <w:spacing w:after="120" w:before="0"/>
      </w:pPr>
    </w:p>
    <w:p>
      <w:pPr>
        <w:spacing w:after="160"/>
        <w:ind w:left="173"/>
      </w:pPr>
      <w:r>
        <w:rPr>
          <w:i/>
          <w:color w:val="666666"/>
          <w:sz w:val="20"/>
        </w:rPr>
        <w:t>This is the one line to type into the terminal beforehand. Type it, then leave the cursor sitting there. It is the only command in the whole video.</w:t>
      </w:r>
    </w:p>
    <w:p>
      <w:pPr>
        <w:spacing w:before="80" w:after="200"/>
        <w:ind w:left="360"/>
        <w:shd w:val="clear" w:fill="F2F2F2"/>
      </w:pPr>
      <w:r>
        <w:rPr>
          <w:rFonts w:ascii="Consolas" w:hAnsi="Consolas"/>
          <w:b/>
          <w:sz w:val="24"/>
        </w:rPr>
        <w:t>python demo/show_degraded.py</w:t>
      </w:r>
    </w:p>
    <w:p>
      <w:pPr>
        <w:spacing w:after="160"/>
        <w:ind w:left="173"/>
      </w:pPr>
      <w:r>
        <w:rPr>
          <w:i/>
          <w:color w:val="666666"/>
          <w:sz w:val="20"/>
        </w:rPr>
        <w:t>Close everything else. Turn on Do Not Disturb (Win + A). Record the WHOLE SCREEN, not a single window — window capture goes black the moment you Alt+Tab.</w:t>
      </w:r>
    </w:p>
    <w:p>
      <w:pPr>
        <w:spacing w:before="320" w:after="120"/>
      </w:pPr>
      <w:r>
        <w:rPr>
          <w:b/>
          <w:color w:val="1A1A1A"/>
          <w:sz w:val="30"/>
        </w:rPr>
        <w:t>Your Alt+Tab plan — you press it twice, total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When</w:t>
            </w:r>
          </w:p>
        </w:tc>
        <w:tc>
          <w:tcPr>
            <w:tcW w:type="dxa" w:w="2016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Press</w:t>
            </w:r>
          </w:p>
        </w:tc>
        <w:tc>
          <w:tcPr>
            <w:tcW w:type="dxa" w:w="5472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You land on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1"/>
              </w:rPr>
              <w:t>0:00 – 3:35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1"/>
              </w:rPr>
              <w:t>nothing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1"/>
              </w:rPr>
              <w:t>Browser. You stay here for the first three and a half minutes.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1"/>
              </w:rPr>
              <w:t>3:35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1"/>
              </w:rPr>
              <w:t>Alt + Tab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1"/>
              </w:rPr>
              <w:t>Terminal. Press Enter on the command that is already typed.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>
              <w:rPr>
                <w:sz w:val="21"/>
              </w:rPr>
              <w:t>3:55</w:t>
            </w:r>
          </w:p>
        </w:tc>
        <w:tc>
          <w:tcPr>
            <w:tcW w:type="dxa" w:w="2016"/>
          </w:tcPr>
          <w:p>
            <w:pPr>
              <w:spacing w:after="40"/>
            </w:pPr>
            <w:r>
              <w:rPr>
                <w:sz w:val="21"/>
              </w:rPr>
              <w:t>Alt + Tab</w:t>
            </w:r>
          </w:p>
        </w:tc>
        <w:tc>
          <w:tcPr>
            <w:tcW w:type="dxa" w:w="5472"/>
          </w:tcPr>
          <w:p>
            <w:pPr>
              <w:spacing w:after="40"/>
            </w:pPr>
            <w:r>
              <w:rPr>
                <w:sz w:val="21"/>
              </w:rPr>
              <w:t>Browser again, for the rest of the video.</w:t>
            </w:r>
          </w:p>
        </w:tc>
      </w:tr>
    </w:tbl>
    <w:p>
      <w:pPr>
        <w:spacing w:after="120" w:before="0"/>
      </w:pPr>
    </w:p>
    <w:p>
      <w:pPr>
        <w:spacing w:after="160"/>
        <w:ind w:left="173"/>
      </w:pPr>
      <w:r>
        <w:rPr>
          <w:i/>
          <w:color w:val="666666"/>
          <w:sz w:val="20"/>
        </w:rPr>
        <w:t>Start saying the next line WHILE you Alt+Tab. Never switch in silence — a two-second gap is where a reviewer clicks away.</w:t>
      </w:r>
    </w:p>
    <w:p>
      <w:pPr>
        <w:spacing w:before="320" w:after="120"/>
      </w:pPr>
      <w:r>
        <w:rPr>
          <w:b/>
          <w:color w:val="1A1A1A"/>
          <w:sz w:val="30"/>
        </w:rPr>
        <w:t>Which alert to click — read this twice</w:t>
      </w:r>
    </w:p>
    <w:p>
      <w:pPr>
        <w:spacing w:after="160"/>
        <w:ind w:left="173"/>
      </w:pPr>
      <w:r>
        <w:rPr>
          <w:i/>
          <w:color w:val="666666"/>
          <w:sz w:val="20"/>
        </w:rPr>
        <w:t>There is only one place in the whole video where you choose something, and it happens at 1:10. Do not go hunting for a good example while recording.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On page 1, set the left dropdown </w:t>
      </w:r>
      <w:r>
        <w:rPr>
          <w:sz w:val="22"/>
        </w:rPr>
        <w:t>Recommendation → BLOCK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Click </w:t>
      </w:r>
      <w:r>
        <w:rPr>
          <w:sz w:val="22"/>
        </w:rPr>
        <w:t>Open →  on the very top row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In the sidebar, click </w:t>
      </w:r>
      <w:r>
        <w:rPr>
          <w:sz w:val="22"/>
        </w:rPr>
        <w:t>2 · Dossier Viewer</w:t>
      </w:r>
    </w:p>
    <w:p>
      <w:pPr>
        <w:spacing w:after="80" w:before="0"/>
      </w:pPr>
    </w:p>
    <w:p>
      <w:pPr>
        <w:spacing w:after="160"/>
        <w:ind w:left="173"/>
      </w:pPr>
      <w:r>
        <w:rPr>
          <w:i/>
          <w:color w:val="666666"/>
          <w:sz w:val="20"/>
        </w:rPr>
        <w:t>Never memorise an alert ID. The IDs are random and they all change every time you run make clean-memory — which you do right before recording. Filtering to BLOCK and taking the top row always works. Rehearse this click path five times before your first take.</w:t>
      </w:r>
    </w:p>
    <w:p>
      <w:pPr>
        <w:spacing w:after="80" w:before="0"/>
      </w:pPr>
    </w:p>
    <w:p>
      <w:pPr>
        <w:spacing w:after="160"/>
        <w:ind w:left="173"/>
      </w:pPr>
      <w:r>
        <w:rPr>
          <w:i/>
          <w:color w:val="666666"/>
          <w:sz w:val="20"/>
        </w:rPr>
        <w:t>Page 5 needs no choice at all. It picks its own example — the highest-scoring case the model got wrong. Say that out loud; it is the point.</w:t>
      </w:r>
    </w:p>
    <w:p>
      <w:r>
        <w:br w:type="page"/>
      </w:r>
    </w:p>
    <w:p>
      <w:pPr>
        <w:spacing w:before="40" w:after="200"/>
      </w:pPr>
      <w:r>
        <w:rPr>
          <w:b/>
          <w:color w:val="1A1A1A"/>
          <w:sz w:val="48"/>
        </w:rPr>
        <w:t>The Script</w:t>
      </w:r>
    </w:p>
    <w:p>
      <w:pPr>
        <w:spacing w:after="160"/>
        <w:ind w:left="173"/>
      </w:pPr>
      <w:r>
        <w:rPr>
          <w:i/>
          <w:color w:val="B31B1B"/>
          <w:sz w:val="20"/>
        </w:rPr>
        <w:t>Everything in large text is spoken word for word. 796 words — that is 4:49 at a steady pitch pace, leaving you about ten seconds of slack for the two clicks. Time your first take. If it runs past 5:00, cut the 0:30–1:10 segment, not words from the rest.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0:00 – 0:30   </w:t>
      </w:r>
      <w:r>
        <w:rPr>
          <w:b/>
          <w:color w:val="1A1A1A"/>
          <w:sz w:val="34"/>
        </w:rPr>
        <w:t>The five-rupee probe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BROWSER, page 1 — Alert Queue.  Hands off the mouse. Do not click anything. Start talking on frame one.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At twenty-three past two, a card charges Merchant A five rupees. Two seconds later, the same card charges Merchant B. Three seconds after that, a </w:t>
      </w:r>
      <w:r>
        <w:rPr>
          <w:b/>
          <w:color w:val="1A1A1A"/>
          <w:sz w:val="27"/>
        </w:rPr>
        <w:t>different</w:t>
      </w:r>
      <w:r>
        <w:rPr>
          <w:b w:val="0"/>
          <w:color w:val="1A1A1A"/>
          <w:sz w:val="27"/>
        </w:rPr>
        <w:t xml:space="preserve"> card charges Merchant C. Ninety-one minutes later, both cards hit Merchant D for forty-seven thousand five hundred rupees each.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Every one of those is individually plausible. Vulcan scored the highest at </w:t>
      </w:r>
      <w:r>
        <w:rPr>
          <w:b/>
          <w:color w:val="1A1A1A"/>
          <w:sz w:val="27"/>
        </w:rPr>
        <w:t>zero point three four</w:t>
      </w:r>
      <w:r>
        <w:rPr>
          <w:b w:val="0"/>
          <w:color w:val="1A1A1A"/>
          <w:sz w:val="27"/>
        </w:rPr>
        <w:t xml:space="preserve"> — comfortably inside approve. Razorpay just saw three fragments of one fraud ring, with no way to assemble them.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0:30 – 1:10   </w:t>
      </w:r>
      <w:r>
        <w:rPr>
          <w:b/>
          <w:color w:val="1A1A1A"/>
          <w:sz w:val="34"/>
        </w:rPr>
        <w:t>Where Ringfence sits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BROWSER, page 1.  Scroll slowly down the queue, then back to the top.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Vulcan scores three thousand signals per transaction. It is very good at “is this transaction odd?”. The ring pattern is not odd. It lives in </w:t>
      </w:r>
      <w:r>
        <w:rPr>
          <w:b/>
          <w:color w:val="1A1A1A"/>
          <w:sz w:val="27"/>
        </w:rPr>
        <w:t>the space between merchants</w:t>
      </w:r>
      <w:r>
        <w:rPr>
          <w:b w:val="0"/>
          <w:color w:val="1A1A1A"/>
          <w:sz w:val="27"/>
        </w:rPr>
        <w:t xml:space="preserve"> — the shared device pool, the probe-then-cashout signature, the cross-merchant velocity only an aggregator can see.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So Ringfence does not replace Vulcan. </w:t>
      </w:r>
      <w:r>
        <w:rPr>
          <w:b/>
          <w:color w:val="1A1A1A"/>
          <w:sz w:val="27"/>
        </w:rPr>
        <w:t>It feeds it.</w:t>
      </w:r>
      <w:r>
        <w:rPr>
          <w:b w:val="0"/>
          <w:color w:val="1A1A1A"/>
          <w:sz w:val="27"/>
        </w:rPr>
        <w:t xml:space="preserve"> Cards are nodes; edges are a shared device, IP or email — </w:t>
      </w:r>
      <w:r>
        <w:rPr>
          <w:b/>
          <w:color w:val="1A1A1A"/>
          <w:sz w:val="27"/>
        </w:rPr>
        <w:t>never a merchant</w:t>
      </w:r>
      <w:r>
        <w:rPr>
          <w:b w:val="0"/>
          <w:color w:val="1A1A1A"/>
          <w:sz w:val="27"/>
        </w:rPr>
        <w:t>. I will come back to why that “never” is measured. Three generators propose clusters, thirty-one features describe each one, a model ranks them, and every alert ships a case file.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1:10 – 2:00   </w:t>
      </w:r>
      <w:r>
        <w:rPr>
          <w:b/>
          <w:color w:val="1A1A1A"/>
          <w:sz w:val="34"/>
        </w:rPr>
        <w:t>The case file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BROWSER — filter Recommendation → BLOCK.  Click Open → on the top row.  Sidebar → 2 · Dossier Viewer.  Then scroll down to the evidence table and STOP there.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This is one alert. Ringfence scores the cluster at one point oh. Vulcan, on the same activity, point three eight. Composite: </w:t>
      </w:r>
      <w:r>
        <w:rPr>
          <w:b/>
          <w:color w:val="1A1A1A"/>
          <w:sz w:val="27"/>
        </w:rPr>
        <w:t>block.</w:t>
      </w:r>
    </w:p>
    <w:p>
      <w:pPr>
        <w:spacing w:after="160"/>
        <w:ind w:left="173"/>
      </w:pPr>
      <w:r>
        <w:rPr>
          <w:i/>
          <w:color w:val="666666"/>
          <w:sz w:val="20"/>
        </w:rPr>
        <w:t>Read those three numbers off your screen as you say them — they shift slightly between rows. Never recite them from memory.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>Here is the timeline, log scale, because the story is four orders of magnitude wide. Blue is probes under ten rupees, red is cashouts over ten thousand — same device pool, ninety minutes apart.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And here is the part I want you to look at. </w:t>
      </w:r>
      <w:r>
        <w:rPr>
          <w:b/>
          <w:color w:val="1A1A1A"/>
          <w:sz w:val="27"/>
        </w:rPr>
        <w:t>Every claim in this table carries a citation.</w:t>
      </w:r>
      <w:r>
        <w:rPr>
          <w:b w:val="0"/>
          <w:color w:val="1A1A1A"/>
          <w:sz w:val="27"/>
        </w:rPr>
        <w:t xml:space="preserve"> “These cards share a device” cites the graph edge. “Seventy-three percent probes” cites the transaction IDs.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Uncited claims: </w:t>
      </w:r>
      <w:r>
        <w:rPr>
          <w:b/>
          <w:color w:val="1A1A1A"/>
          <w:sz w:val="27"/>
        </w:rPr>
        <w:t>zero</w:t>
      </w:r>
      <w:r>
        <w:rPr>
          <w:b w:val="0"/>
          <w:color w:val="1A1A1A"/>
          <w:sz w:val="27"/>
        </w:rPr>
        <w:t xml:space="preserve">. Not because we were careful — because the dossier refuses to be built if a claim has no citation. There is no bypass flag. </w:t>
      </w:r>
      <w:r>
        <w:rPr>
          <w:b/>
          <w:color w:val="1A1A1A"/>
          <w:sz w:val="27"/>
        </w:rPr>
        <w:t>The evidence is the product.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2:00 – 2:45   </w:t>
      </w:r>
      <w:r>
        <w:rPr>
          <w:b/>
          <w:color w:val="1A1A1A"/>
          <w:sz w:val="34"/>
        </w:rPr>
        <w:t>Honest metrics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BROWSER — sidebar → 4 · Metrics.  Scroll to the cost curve.  Point your cursor at the star, then at the cross.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Ring recall </w:t>
      </w:r>
      <w:r>
        <w:rPr>
          <w:b/>
          <w:color w:val="1A1A1A"/>
          <w:sz w:val="27"/>
        </w:rPr>
        <w:t>nought point nine four two</w:t>
      </w:r>
      <w:r>
        <w:rPr>
          <w:b w:val="0"/>
          <w:color w:val="1A1A1A"/>
          <w:sz w:val="27"/>
        </w:rPr>
        <w:t xml:space="preserve">. Precision </w:t>
      </w:r>
      <w:r>
        <w:rPr>
          <w:b/>
          <w:color w:val="1A1A1A"/>
          <w:sz w:val="27"/>
        </w:rPr>
        <w:t>nought point eight six nine</w:t>
      </w:r>
      <w:r>
        <w:rPr>
          <w:b w:val="0"/>
          <w:color w:val="1A1A1A"/>
          <w:sz w:val="27"/>
        </w:rPr>
        <w:t>. That is not the best we could report — and this chart is why we did not chase it.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A false positive costs two point three lakh. A </w:t>
      </w:r>
      <w:r>
        <w:rPr>
          <w:b/>
          <w:color w:val="1A1A1A"/>
          <w:sz w:val="27"/>
        </w:rPr>
        <w:t>miss</w:t>
      </w:r>
      <w:r>
        <w:rPr>
          <w:b w:val="0"/>
          <w:color w:val="1A1A1A"/>
          <w:sz w:val="27"/>
        </w:rPr>
        <w:t xml:space="preserve"> costs eight and a half — so a miss is worth three point seven false positives, and F1 is the wrong objective. The star is where cost is lowest. The cross is where F1 peaks, and it is </w:t>
      </w:r>
      <w:r>
        <w:rPr>
          <w:b/>
          <w:color w:val="1A1A1A"/>
          <w:sz w:val="27"/>
        </w:rPr>
        <w:t>seventeen percent more expensive.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Two things before you ask. Recall </w:t>
      </w:r>
      <w:r>
        <w:rPr>
          <w:b/>
          <w:color w:val="1A1A1A"/>
          <w:sz w:val="27"/>
        </w:rPr>
        <w:t>cannot reach one</w:t>
      </w:r>
      <w:r>
        <w:rPr>
          <w:b w:val="0"/>
          <w:color w:val="1A1A1A"/>
          <w:sz w:val="27"/>
        </w:rPr>
        <w:t xml:space="preserve"> — fifteen percent of ring members use their own device and create no link. We could have deleted them and reported a perfect score. We did not. And that precision is </w:t>
      </w:r>
      <w:r>
        <w:rPr>
          <w:b/>
          <w:color w:val="1A1A1A"/>
          <w:sz w:val="27"/>
        </w:rPr>
        <w:t>optimistic</w:t>
      </w:r>
      <w:r>
        <w:rPr>
          <w:b w:val="0"/>
          <w:color w:val="1A1A1A"/>
          <w:sz w:val="27"/>
        </w:rPr>
        <w:t xml:space="preserve"> — our hard negatives are synthetic.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2:45 – 3:35   </w:t>
      </w:r>
      <w:r>
        <w:rPr>
          <w:b/>
          <w:color w:val="1A1A1A"/>
          <w:sz w:val="34"/>
        </w:rPr>
        <w:t>One failure, handled live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BROWSER — sidebar → 5 · Failure Recovery.  Scroll to step 2.  The analyst note is already filled in — do NOT retype it.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Now the failure. This is the highest-scoring thing the model got wrong — picked by the labels, not chosen by me. Four cards: a household sharing one tablet. Ringfence gave it </w:t>
      </w:r>
      <w:r>
        <w:rPr>
          <w:b/>
          <w:color w:val="1A1A1A"/>
          <w:sz w:val="27"/>
        </w:rPr>
        <w:t>nought point oh one nine</w:t>
      </w:r>
      <w:r>
        <w:rPr>
          <w:b w:val="0"/>
          <w:color w:val="1A1A1A"/>
          <w:sz w:val="27"/>
        </w:rPr>
        <w:t xml:space="preserve">, but composited with Vulcan it still lands at </w:t>
      </w:r>
      <w:r>
        <w:rPr>
          <w:b/>
          <w:color w:val="1A1A1A"/>
          <w:sz w:val="27"/>
        </w:rPr>
        <w:t>nought point four zero three — review</w:t>
      </w:r>
      <w:r>
        <w:rPr>
          <w:b w:val="0"/>
          <w:color w:val="1A1A1A"/>
          <w:sz w:val="27"/>
        </w:rPr>
        <w:t>. Two point three lakh — a cost we own.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CLICK the red “Mark as False Positive” button.  Wait for the page to reload.  Scroll down to step 3 and let the two bars land on screen.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The analyst says no. Case memory stores the signature and the reasoning. Same pattern, scored again: </w:t>
      </w:r>
      <w:r>
        <w:rPr>
          <w:b/>
          <w:color w:val="1A1A1A"/>
          <w:sz w:val="27"/>
        </w:rPr>
        <w:t>point four zero three becomes point three two two.</w:t>
      </w:r>
      <w:r>
        <w:rPr>
          <w:b w:val="0"/>
          <w:color w:val="1A1A1A"/>
          <w:sz w:val="27"/>
        </w:rPr>
        <w:t xml:space="preserve"> A twenty percent damp — out of review, into approve, with a cited claim naming the earlier case.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Nothing there was staged, and the correction is </w:t>
      </w:r>
      <w:r>
        <w:rPr>
          <w:b/>
          <w:color w:val="1A1A1A"/>
          <w:sz w:val="27"/>
        </w:rPr>
        <w:t>bounded</w:t>
      </w:r>
      <w:r>
        <w:rPr>
          <w:b w:val="0"/>
          <w:color w:val="1A1A1A"/>
          <w:sz w:val="27"/>
        </w:rPr>
        <w:t xml:space="preserve"> — twenty percent, capped, never enough on its own to wave through a genuine ring.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3:35 – 4:15   </w:t>
      </w:r>
      <w:r>
        <w:rPr>
          <w:b/>
          <w:color w:val="1A1A1A"/>
          <w:sz w:val="34"/>
        </w:rPr>
        <w:t>It does not fall over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ALT+TAB → TERMINAL.  Press Enter on the command that is already typed. That is the only key you press. Say the first line while you are switching.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Ringfence never moves money. It recommends: approve, review, or block. Anything automatic needs more than </w:t>
      </w:r>
      <w:r>
        <w:rPr>
          <w:b/>
          <w:color w:val="1A1A1A"/>
          <w:sz w:val="27"/>
        </w:rPr>
        <w:t>ten analyst-confirmed precedents</w:t>
      </w:r>
      <w:r>
        <w:rPr>
          <w:b w:val="0"/>
          <w:color w:val="1A1A1A"/>
          <w:sz w:val="27"/>
        </w:rPr>
        <w:t>, and a test says a new pattern can never unlock it. Now let me ask it about a card that does not exist.</w:t>
      </w:r>
    </w:p>
    <w:p>
      <w:pPr>
        <w:spacing w:after="160"/>
        <w:ind w:left="173"/>
      </w:pPr>
      <w:r>
        <w:rPr>
          <w:i/>
          <w:color w:val="666666"/>
          <w:sz w:val="20"/>
        </w:rPr>
        <w:t>Four lines appear. Point at the first two.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Two hundred, not a five hundred. Degraded: true. Recommendation: </w:t>
      </w:r>
      <w:r>
        <w:rPr>
          <w:b/>
          <w:color w:val="1A1A1A"/>
          <w:sz w:val="27"/>
        </w:rPr>
        <w:t>review</w:t>
      </w:r>
      <w:r>
        <w:rPr>
          <w:b w:val="0"/>
          <w:color w:val="1A1A1A"/>
          <w:sz w:val="27"/>
        </w:rPr>
        <w:t xml:space="preserve">. A fraud API that throws an error is worse than useless — the caller times out and the payment goes through anyway. </w:t>
      </w:r>
      <w:r>
        <w:rPr>
          <w:b/>
          <w:color w:val="1A1A1A"/>
          <w:sz w:val="27"/>
        </w:rPr>
        <w:t>A detector that cannot see escalates to a human. It never quietly approves.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ALT+TAB → BROWSER.  You are back on page 4 and you stay there.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And that “never a merchant edge” claim — that is measured. Sharing a merchant links </w:t>
      </w:r>
      <w:r>
        <w:rPr>
          <w:b/>
          <w:color w:val="1A1A1A"/>
          <w:sz w:val="27"/>
        </w:rPr>
        <w:t>ninety-nine point nine nine percent</w:t>
      </w:r>
      <w:r>
        <w:rPr>
          <w:b w:val="0"/>
          <w:color w:val="1A1A1A"/>
          <w:sz w:val="27"/>
        </w:rPr>
        <w:t xml:space="preserve"> of all card pairs. Sharing an identity links </w:t>
      </w:r>
      <w:r>
        <w:rPr>
          <w:b/>
          <w:color w:val="1A1A1A"/>
          <w:sz w:val="27"/>
        </w:rPr>
        <w:t>nought point one five percent</w:t>
      </w:r>
      <w:r>
        <w:rPr>
          <w:b w:val="0"/>
          <w:color w:val="1A1A1A"/>
          <w:sz w:val="27"/>
        </w:rPr>
        <w:t>.</w:t>
      </w:r>
    </w:p>
    <w:p>
      <w:pPr>
        <w:keepNext/>
        <w:spacing w:before="400" w:after="80"/>
      </w:pPr>
      <w:r>
        <w:rPr>
          <w:b/>
          <w:color w:val="1F4E79"/>
          <w:sz w:val="34"/>
        </w:rPr>
        <w:t xml:space="preserve">4:15 – 5:00   </w:t>
      </w:r>
      <w:r>
        <w:rPr>
          <w:b/>
          <w:color w:val="1A1A1A"/>
          <w:sz w:val="34"/>
        </w:rPr>
        <w:t>The ask</w:t>
      </w:r>
    </w:p>
    <w:p>
      <w:pPr>
        <w:keepNext/>
        <w:spacing w:before="40" w:after="200"/>
        <w:ind w:left="72"/>
        <w:shd w:val="clear" w:fill="EDEDED"/>
      </w:pPr>
      <w:r>
        <w:rPr>
          <w:b/>
          <w:color w:val="444444"/>
          <w:sz w:val="21"/>
        </w:rPr>
        <w:t>BROWSER, page 4 behind you.  Stop scrolling. Look at the camera and talk.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>A hundred and fourteen tests. Clone it, run four make commands, and you get every number I just showed you.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What I want next is </w:t>
      </w:r>
      <w:r>
        <w:rPr>
          <w:b/>
          <w:color w:val="1A1A1A"/>
          <w:sz w:val="27"/>
        </w:rPr>
        <w:t>Razorpay test-mode API access</w:t>
      </w:r>
      <w:r>
        <w:rPr>
          <w:b w:val="0"/>
          <w:color w:val="1A1A1A"/>
          <w:sz w:val="27"/>
        </w:rPr>
        <w:t>, for two honest reasons. Our identity layer is calibrated to published data, and real Razorpay fingerprints will be messier — that is the biggest threat to the precision number I just showed you, and I would rather find out than defend it. And the Vulcan score is simulated: the composition and gating are real and tested; the score is generated.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Ringfence hands the foundation model the one thing a per-transaction view structurally cannot have — </w:t>
      </w:r>
      <w:r>
        <w:rPr>
          <w:b/>
          <w:color w:val="1A1A1A"/>
          <w:sz w:val="27"/>
        </w:rPr>
        <w:t>what happened between the transactions.</w:t>
      </w:r>
    </w:p>
    <w:p>
      <w:pPr>
        <w:spacing w:after="200" w:line="348" w:lineRule="auto"/>
        <w:ind w:left="173"/>
      </w:pPr>
      <w:r>
        <w:rPr>
          <w:b w:val="0"/>
          <w:color w:val="1A1A1A"/>
          <w:sz w:val="27"/>
        </w:rPr>
        <w:t xml:space="preserve">It does not replace Vulcan. </w:t>
      </w:r>
      <w:r>
        <w:rPr>
          <w:b/>
          <w:color w:val="1A1A1A"/>
          <w:sz w:val="27"/>
        </w:rPr>
        <w:t>It completes it.</w:t>
      </w:r>
    </w:p>
    <w:p>
      <w:r>
        <w:br w:type="page"/>
      </w:r>
    </w:p>
    <w:p>
      <w:pPr>
        <w:spacing w:before="40" w:after="200"/>
      </w:pPr>
      <w:r>
        <w:rPr>
          <w:b/>
          <w:color w:val="1A1A1A"/>
          <w:sz w:val="48"/>
        </w:rPr>
        <w:t>If something goes wrong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What happens</w:t>
            </w:r>
          </w:p>
        </w:tc>
        <w:tc>
          <w:tcPr>
            <w:tcW w:type="dxa" w:w="7056"/>
          </w:tcPr>
          <w:p>
            <w:pPr>
              <w:spacing w:after="40"/>
              <w:shd w:val="clear" w:fill="E8E8E8"/>
            </w:pPr>
            <w:r>
              <w:rPr>
                <w:b/>
                <w:sz w:val="21"/>
              </w:rPr>
              <w:t>What you do — out loud, without stopping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1"/>
              </w:rPr>
              <w:t>Sidebar says API offline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1"/>
              </w:rPr>
              <w:t>Keep going. Say: “the dashboard falls back to local files when the API is down — that is the degradation story I am about to show you.” Turning the fault into the feature is a better moment than the one you lost.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1"/>
              </w:rPr>
              <w:t>Open → opens the wrong case file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1"/>
              </w:rPr>
              <w:t>You are on an old copy of the code. Stop the take, run git pull, restart the dashboard.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1"/>
              </w:rPr>
              <w:t>Page 5 already shows a damp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1"/>
              </w:rPr>
              <w:t>Case memory was not cleared. Run make clean-memory, restart the dashboard, start again.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1"/>
              </w:rPr>
              <w:t>The terminal command fails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1"/>
              </w:rPr>
              <w:t>The API stopped. Skip straight to the merchant-edge numbers — they need nothing running.</w:t>
            </w:r>
          </w:p>
        </w:tc>
      </w:tr>
      <w:tr>
        <w:tc>
          <w:tcPr>
            <w:tcW w:type="dxa" w:w="2448"/>
          </w:tcPr>
          <w:p>
            <w:pPr>
              <w:spacing w:after="40"/>
            </w:pPr>
            <w:r>
              <w:rPr>
                <w:sz w:val="21"/>
              </w:rPr>
              <w:t>You stumble over a word</w:t>
            </w:r>
          </w:p>
        </w:tc>
        <w:tc>
          <w:tcPr>
            <w:tcW w:type="dxa" w:w="7056"/>
          </w:tcPr>
          <w:p>
            <w:pPr>
              <w:spacing w:after="40"/>
            </w:pPr>
            <w:r>
              <w:rPr>
                <w:sz w:val="21"/>
              </w:rPr>
              <w:t>Keep going. Never restart in the middle of a take. You will fix it in the next one.</w:t>
            </w:r>
          </w:p>
        </w:tc>
      </w:tr>
    </w:tbl>
    <w:p>
      <w:pPr>
        <w:spacing w:before="320" w:after="120"/>
      </w:pPr>
      <w:r>
        <w:rPr>
          <w:b/>
          <w:color w:val="1A1A1A"/>
          <w:sz w:val="30"/>
        </w:rPr>
        <w:t>Five rules for the take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Start talking on frame one. </w:t>
      </w:r>
      <w:r>
        <w:rPr>
          <w:sz w:val="22"/>
        </w:rPr>
        <w:t>No “okay, so…”. The first fifteen seconds decide whether anyone watches the rest.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Speak louder than feels natural. </w:t>
      </w:r>
      <w:r>
        <w:rPr>
          <w:sz w:val="22"/>
        </w:rPr>
        <w:t>Laptop microphones flatten a quiet voice.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Never pause longer than two seconds. </w:t>
      </w:r>
      <w:r>
        <w:rPr>
          <w:sz w:val="22"/>
        </w:rPr>
        <w:t>Dead air is what makes people click away.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Finish between 4:55 and 5:00. </w:t>
      </w:r>
      <w:r>
        <w:rPr>
          <w:sz w:val="22"/>
        </w:rPr>
        <w:t>Under is fine. Over is disqualifying.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Record three takes and pick one. </w:t>
      </w:r>
      <w:r>
        <w:rPr>
          <w:sz w:val="22"/>
        </w:rPr>
        <w:t>Do not chase a perfect take — pick the one with the best first fifteen seconds.</w:t>
      </w:r>
    </w:p>
    <w:p>
      <w:pPr>
        <w:spacing w:before="320" w:after="120"/>
      </w:pPr>
      <w:r>
        <w:rPr>
          <w:b/>
          <w:color w:val="1A1A1A"/>
          <w:sz w:val="30"/>
        </w:rPr>
        <w:t>If you have to cut something</w:t>
      </w:r>
    </w:p>
    <w:p>
      <w:pPr>
        <w:spacing w:after="160"/>
        <w:ind w:left="173"/>
      </w:pPr>
      <w:r>
        <w:rPr>
          <w:i/>
          <w:color w:val="666666"/>
          <w:sz w:val="20"/>
        </w:rPr>
        <w:t>Cut 0:30–1:10 (where Ringfence sits) and 3:35–4:15 (it does not fall over). Never cut the case file at 1:10 or the failure recovery at 2:45 — those two are the reason this submission is different from the other twelve thousand.</w:t>
      </w:r>
    </w:p>
    <w:p>
      <w:pPr>
        <w:spacing w:before="320" w:after="120"/>
      </w:pPr>
      <w:r>
        <w:rPr>
          <w:b/>
          <w:color w:val="1A1A1A"/>
          <w:sz w:val="30"/>
        </w:rPr>
        <w:t>The moment you stop recording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Watch only the first fifteen seconds. </w:t>
      </w:r>
      <w:r>
        <w:rPr>
          <w:sz w:val="22"/>
        </w:rPr>
        <w:t>If the hook does not land, that take is dead.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Upload it. </w:t>
      </w:r>
      <w:r>
        <w:rPr>
          <w:sz w:val="22"/>
        </w:rPr>
        <w:t>Title and description are ready to paste in FORM_ANSWERS.md.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Paste the link into SUBMISSION.md, </w:t>
      </w:r>
      <w:r>
        <w:rPr>
          <w:sz w:val="22"/>
        </w:rPr>
        <w:t>then commit and push.</w:t>
      </w:r>
    </w:p>
    <w:p>
      <w:pPr>
        <w:pStyle w:val="ListBullet"/>
        <w:spacing w:after="60"/>
        <w:ind w:left="432"/>
      </w:pPr>
      <w:r>
        <w:rPr>
          <w:b/>
          <w:sz w:val="22"/>
        </w:rPr>
        <w:t xml:space="preserve">Fill the form from FORM_ANSWERS.md. </w:t>
      </w:r>
      <w:r>
        <w:rPr>
          <w:sz w:val="22"/>
        </w:rPr>
        <w:t>Paste it. Do not improvise at the form.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