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8"/>
          <w:szCs w:val="48"/>
        </w:rPr>
        <w:t xml:space="preserve">Documento de Requisitos</w:t>
      </w:r>
    </w:p>
    <w:p>
      <w:pPr>
        <w:spacing w:after="100"/>
      </w:pPr>
      <w:r>
        <w:rPr>
          <w:color w:val="444444"/>
          <w:sz w:val="30"/>
          <w:szCs w:val="30"/>
        </w:rPr>
        <w:t xml:space="preserve">Plataforma de Farmacología Gamificada</w:t>
      </w:r>
    </w:p>
    <w:p>
      <w:pPr>
        <w:spacing w:after="100"/>
      </w:pPr>
      <w:r>
        <w:rPr>
          <w:i/>
          <w:iCs/>
          <w:color w:val="888888"/>
          <w:sz w:val="24"/>
          <w:szCs w:val="24"/>
        </w:rPr>
        <w:t xml:space="preserve">Versión 3 — PRUEBA (actualizado)</w:t>
      </w:r>
    </w:p>
    <w:p>
      <w:pPr>
        <w:spacing w:after="80"/>
      </w:pPr>
      <w:r>
        <w:rPr>
          <w:b/>
          <w:bCs/>
          <w:sz w:val="24"/>
          <w:szCs w:val="24"/>
        </w:rPr>
        <w:t xml:space="preserve">Fecha: </w:t>
      </w:r>
      <w:r>
        <w:rPr>
          <w:sz w:val="24"/>
          <w:szCs w:val="24"/>
        </w:rPr>
        <w:t xml:space="preserve">27 de octubre de 2026</w:t>
      </w:r>
    </w:p>
    <w:p>
      <w:pPr>
        <w:spacing w:after="120"/>
      </w:pPr>
      <w:r>
        <w:rPr>
          <w:color w:val="666666"/>
          <w:sz w:val="24"/>
          <w:szCs w:val="24"/>
        </w:rPr>
        <w:t xml:space="preserve">Actualización del documento v2: se incorporan las decisiones técnicas del lote 4 de ADRs (Express 5, formato de errores, pruebas, Prisma 7, convenciones) y una nueva sección con el estado de implementación.</w:t>
      </w:r>
    </w:p>
    <w:p>
      <w:pPr>
        <w:spacing w:after="150" w:before="300"/>
      </w:pPr>
      <w:r>
        <w:rPr>
          <w:b/>
          <w:bCs/>
          <w:sz w:val="34"/>
          <w:szCs w:val="34"/>
        </w:rPr>
        <w:t xml:space="preserve">1. Descripción general del proyecto</w:t>
      </w:r>
    </w:p>
    <w:p>
      <w:pPr>
        <w:spacing w:after="120"/>
      </w:pPr>
      <w:r>
        <w:rPr>
          <w:sz w:val="24"/>
          <w:szCs w:val="24"/>
        </w:rPr>
        <w:t xml:space="preserve">Plataforma web de estudio de farmacología, dirigida a estudiantes de enfermería profesional, atención prehospitalaria y carreras afines, con acceso mediante suscripción paga. El contenido es únicamente texto (sin video), con explicaciones prácticas y técnicas cuando es necesario, organizado en un pensum por familias de fármacos.</w:t>
      </w:r>
    </w:p>
    <w:p>
      <w:pPr>
        <w:spacing w:after="120"/>
      </w:pPr>
      <w:r>
        <w:rPr>
          <w:sz w:val="24"/>
          <w:szCs w:val="24"/>
        </w:rPr>
        <w:t xml:space="preserve">La experiencia es gamificada: cada lección termina con desafíos interactivos de distintos tipos; el estudiante gana XP que lo ubica en un ranking general y gemas para personalizar su skin. Al completar todas las lecciones de un tema, se genera un examen general y, al aprobarlo, un diploma.</w:t>
      </w:r>
    </w:p>
    <w:p>
      <w:pPr>
        <w:spacing w:after="150" w:before="300"/>
      </w:pPr>
      <w:r>
        <w:rPr>
          <w:b/>
          <w:bCs/>
          <w:sz w:val="34"/>
          <w:szCs w:val="34"/>
        </w:rPr>
        <w:t xml:space="preserve">2. Alcance del proyecto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Equipo de desarrollo: </w:t>
      </w:r>
      <w:r>
        <w:rPr>
          <w:sz w:val="24"/>
          <w:szCs w:val="24"/>
        </w:rPr>
        <w:t xml:space="preserve">1 persona (máximo 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Arquitectura: </w:t>
      </w:r>
      <w:r>
        <w:rPr>
          <w:sz w:val="24"/>
          <w:szCs w:val="24"/>
        </w:rPr>
        <w:t xml:space="preserve">monolito modular, escalable (ADR-0002, ADR-0003), con desacople entre módulos (ADR-0004), lenguaje ubicuo (ADR-0005) y Bounded Contexts (ADR-0006).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Backend: </w:t>
      </w:r>
      <w:r>
        <w:rPr>
          <w:sz w:val="24"/>
          <w:szCs w:val="24"/>
        </w:rPr>
        <w:t xml:space="preserve">Node.js con TypeScript en modo estricto (ADR-0001, ADR-0015).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Framework HTTP: </w:t>
      </w:r>
      <w:r>
        <w:rPr>
          <w:sz w:val="24"/>
          <w:szCs w:val="24"/>
        </w:rPr>
        <w:t xml:space="preserve">Express 5 (ADR-0011).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ORM: </w:t>
      </w:r>
      <w:r>
        <w:rPr>
          <w:sz w:val="24"/>
          <w:szCs w:val="24"/>
        </w:rPr>
        <w:t xml:space="preserve">Prisma 7 con adaptador MariaDB/MySQL, versiones estables fijadas (ADR-0007, ADR-0014).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Autenticación: </w:t>
      </w:r>
      <w:r>
        <w:rPr>
          <w:sz w:val="24"/>
          <w:szCs w:val="24"/>
        </w:rPr>
        <w:t xml:space="preserve">JWT sin estado (HS256), con bcrypt para contraseñas (ADR-0008).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Validación de datos: </w:t>
      </w:r>
      <w:r>
        <w:rPr>
          <w:sz w:val="24"/>
          <w:szCs w:val="24"/>
        </w:rPr>
        <w:t xml:space="preserve">Zod, dentro de cada caso de uso (ADR-0009, ADR-0012).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Errores de la API: </w:t>
      </w:r>
      <w:r>
        <w:rPr>
          <w:sz w:val="24"/>
          <w:szCs w:val="24"/>
        </w:rPr>
        <w:t xml:space="preserve">formato único { error: { codigo, mensaje, detalles? } } (ADR-0012).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Pruebas: </w:t>
      </w:r>
      <w:r>
        <w:rPr>
          <w:sz w:val="24"/>
          <w:szCs w:val="24"/>
        </w:rPr>
        <w:t xml:space="preserve">node:test + tsx con dependencias en memoria (ADR-0013).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Base de datos: </w:t>
      </w:r>
      <w:r>
        <w:rPr>
          <w:sz w:val="24"/>
          <w:szCs w:val="24"/>
        </w:rPr>
        <w:t xml:space="preserve">MySQL (MySQL Workbench).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Pagos: </w:t>
      </w:r>
      <w:r>
        <w:rPr>
          <w:sz w:val="24"/>
          <w:szCs w:val="24"/>
        </w:rPr>
        <w:t xml:space="preserve">procesador externo, provisionalmente Mercado Pago (a confirmar más adelante). La plataforma solo gestiona el estado de la suscripción, nunca datos de tarjetas.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Datos sensibles: </w:t>
      </w:r>
      <w:r>
        <w:rPr>
          <w:sz w:val="24"/>
          <w:szCs w:val="24"/>
        </w:rPr>
        <w:t xml:space="preserve">no se almacenan datos de pacientes ni historiales médicos.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Control de versiones: </w:t>
      </w:r>
      <w:r>
        <w:rPr>
          <w:sz w:val="24"/>
          <w:szCs w:val="24"/>
        </w:rPr>
        <w:t xml:space="preserve">Git + GitHub, con commits en formato Conventional Commits en español (ADR-0015).</w:t>
      </w:r>
    </w:p>
    <w:p>
      <w:pPr>
        <w:spacing w:after="150" w:before="300"/>
      </w:pPr>
      <w:r>
        <w:rPr>
          <w:b/>
          <w:bCs/>
          <w:sz w:val="34"/>
          <w:szCs w:val="34"/>
        </w:rPr>
        <w:t xml:space="preserve">3. Actores / Roles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Rol</w:t>
            </w:r>
          </w:p>
        </w:tc>
        <w:tc>
          <w:tcPr>
            <w:tcW w:type="dxa" w:w="6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Estudiante / Aprendiz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Usuario suscrito que consume lecciones, resuelve desafíos, gana XP y gemas, compite en el ranking, presenta exámenes generales y obtiene diplomas. Es el único rol que se crea con el registro público.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Administrador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Gestiona usuarios, suscripciones y configuración general de la plataforma. Asigna los roles de Administrador y Creador de Contenido.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Creador de Contenido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Rol independiente del Administrador, encargado de crear y mantener temas, subtemas, lecciones, desafíos y exámenes generales.</w:t>
            </w:r>
          </w:p>
        </w:tc>
      </w:tr>
    </w:tbl>
    <w:p>
      <w:pPr>
        <w:spacing w:after="150" w:before="300"/>
      </w:pPr>
      <w:r>
        <w:rPr>
          <w:b/>
          <w:bCs/>
          <w:sz w:val="34"/>
          <w:szCs w:val="34"/>
        </w:rPr>
        <w:t xml:space="preserve">4. Planes de suscripción</w:t>
      </w:r>
    </w:p>
    <w:p>
      <w:pPr>
        <w:spacing w:after="120"/>
      </w:pPr>
      <w:r>
        <w:rPr>
          <w:sz w:val="24"/>
          <w:szCs w:val="24"/>
        </w:rPr>
        <w:t xml:space="preserve">Se ofrecen dos planes: mensual y anual. El detalle de precios queda pendiente de definir.</w:t>
      </w:r>
    </w:p>
    <w:p>
      <w:pPr>
        <w:spacing w:after="150" w:before="300"/>
      </w:pPr>
      <w:r>
        <w:rPr>
          <w:b/>
          <w:bCs/>
          <w:sz w:val="34"/>
          <w:szCs w:val="34"/>
        </w:rPr>
        <w:t xml:space="preserve">5. Módulos funcionales</w:t>
      </w:r>
    </w:p>
    <w:p>
      <w:pPr>
        <w:spacing w:after="100" w:before="200"/>
      </w:pPr>
      <w:r>
        <w:rPr>
          <w:b/>
          <w:bCs/>
          <w:color w:val="1F4E79"/>
          <w:sz w:val="28"/>
          <w:szCs w:val="28"/>
        </w:rPr>
        <w:t xml:space="preserve">5.1 Autenticación y Usuarios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Registro, inicio de sesión, recuperación de contraseña.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Perfil de usuario (avatar/skin, XP, gemas, nivel).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Tres roles: Estudiante, Administrador, Creador de Contenido.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El registro público crea siempre un Estudiante y publica el evento interno usuario.registrado.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El inicio de sesión responde igual si el correo no existe o si la contraseña es incorrecta, para no revelar qué correos están registrados.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Correos normalizados (minúsculas, sin espacios); contraseñas de 8 caracteres como mínimo y 72 bytes como máximo (límite de bcrypt).</w:t>
      </w:r>
    </w:p>
    <w:p>
      <w:pPr>
        <w:spacing w:after="100" w:before="200"/>
      </w:pPr>
      <w:r>
        <w:rPr>
          <w:b/>
          <w:bCs/>
          <w:color w:val="1F4E79"/>
          <w:sz w:val="28"/>
          <w:szCs w:val="28"/>
        </w:rPr>
        <w:t xml:space="preserve">5.2 Suscripciones y Pagos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Planes mensual y anual.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Integración con procesador de pagos externo (provisionalmente Mercado Pago).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Control de estado de la suscripción y restricción de acceso según su estado.</w:t>
      </w:r>
    </w:p>
    <w:p>
      <w:pPr>
        <w:spacing w:after="100" w:before="200"/>
      </w:pPr>
      <w:r>
        <w:rPr>
          <w:b/>
          <w:bCs/>
          <w:color w:val="1F4E79"/>
          <w:sz w:val="28"/>
          <w:szCs w:val="28"/>
        </w:rPr>
        <w:t xml:space="preserve">5.3 Contenido / Pensum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Jerarquía de tres niveles: Tema (familia de fármacos) → Subtema → Lección.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Contenido en texto: explicaciones prácticas y técnicas cuando es necesario.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Las lecciones de un tema se desbloquean progresivamente, en orden.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Un examen general se genera al completar todas las lecciones de un tema; al aprobarlo, se emite un diploma.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El estudiante puede repasar libremente cualquier tema ya completado.</w:t>
      </w:r>
    </w:p>
    <w:p>
      <w:pPr>
        <w:spacing w:after="100" w:before="200"/>
      </w:pPr>
      <w:r>
        <w:rPr>
          <w:b/>
          <w:bCs/>
          <w:color w:val="1F4E79"/>
          <w:sz w:val="28"/>
          <w:szCs w:val="28"/>
        </w:rPr>
        <w:t xml:space="preserve">5.4 Desafíos y Evaluación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Una lección se completa cuando el estudiante responde todos sus desafíos asociados.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6 tipos de desafío: quiz de opción múltiple, caso clínico corto, relacionar/emparejar, completar espacios, verdadero/falso, ordenar pasos.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Repetir un desafío ya completado no otorga XP adicional.</w:t>
      </w:r>
    </w:p>
    <w:p>
      <w:pPr>
        <w:spacing w:after="100" w:before="200"/>
      </w:pPr>
      <w:r>
        <w:rPr>
          <w:b/>
          <w:bCs/>
          <w:color w:val="1F4E79"/>
          <w:sz w:val="28"/>
          <w:szCs w:val="28"/>
        </w:rPr>
        <w:t xml:space="preserve">5.5 Gamificación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XP, niveles, ranking general entre estudiantes.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Gemas como moneda para personalizar skins.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Interfaz pensada para ser llamativa y motivadora, reforzando el hábito de estudio.</w:t>
      </w:r>
    </w:p>
    <w:p>
      <w:pPr>
        <w:spacing w:after="100" w:before="200"/>
      </w:pPr>
      <w:r>
        <w:rPr>
          <w:b/>
          <w:bCs/>
          <w:color w:val="1F4E79"/>
          <w:sz w:val="28"/>
          <w:szCs w:val="28"/>
        </w:rPr>
        <w:t xml:space="preserve">5.6 Administración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Gestión de usuarios y suscripciones (Administrador).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Gestión de temas, subtemas, lecciones, desafíos y exámenes (Creador de Contenido).</w:t>
      </w:r>
    </w:p>
    <w:p>
      <w:pPr>
        <w:spacing w:after="150" w:before="300"/>
      </w:pPr>
      <w:r>
        <w:rPr>
          <w:b/>
          <w:bCs/>
          <w:sz w:val="34"/>
          <w:szCs w:val="34"/>
        </w:rPr>
        <w:t xml:space="preserve">6. Requisitos no funcionales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Categoría</w:t>
            </w:r>
          </w:p>
        </w:tc>
        <w:tc>
          <w:tcPr>
            <w:tcW w:type="dxa" w:w="6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Requisito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Seguridad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Contraseñas cifradas con bcrypt (12 rondas); autenticación JWT sin estado con algoritmo fijado (HS256) y expiración configurable; secreto JWT de al menos 32 caracteres en producción; validación de entrada con Zod; consultas parametrizadas vía Prisma; errores sin detalles internos; sin almacenamiento de datos de pago ni datos de pacientes.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Escalabilidad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Monolito modular preparado para cientos de usuarios concurrentes desde el inicio (pool de conexiones, backend sin estado, caché, índices, colas para tareas pesadas).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Usabilidad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Lenguaje claro y práctico; experiencia gamificada y visualmente atractiva para motivar el estudio constante; mensajes de error en español y comprensibles para el estudiante.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Mantenibilidad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Fronteras claras entre módulos (Bounded Contexts); nombres descriptivos y completos en código y base de datos; camelCase; TypeScript estricto; historial de decisiones en ADRs.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Calidad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Pruebas automáticas de los casos de uso de cada módulo, ejecutables sin base de datos (npm test); verificación de tipos antes de cada commit (npm run verificar).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Configuración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La aplicación valida todas sus variables de entorno al arrancar y no inicia si falta alguna; el archivo .env nunca se sube al repositorio (se documenta en .env.example).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Disponibilidad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Pendiente de definir el nivel exacto esperado.</w:t>
            </w:r>
          </w:p>
        </w:tc>
      </w:tr>
    </w:tbl>
    <w:p>
      <w:pPr>
        <w:spacing w:after="150" w:before="300"/>
      </w:pPr>
      <w:r>
        <w:rPr>
          <w:b/>
          <w:bCs/>
          <w:sz w:val="34"/>
          <w:szCs w:val="34"/>
        </w:rPr>
        <w:t xml:space="preserve">7. Estado de implementación</w:t>
      </w:r>
    </w:p>
    <w:p>
      <w:pPr>
        <w:spacing w:after="120"/>
      </w:pPr>
      <w:r>
        <w:rPr>
          <w:sz w:val="24"/>
          <w:szCs w:val="24"/>
        </w:rPr>
        <w:t xml:space="preserve">Situación del código al 27 de octubre de 2026.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Componente</w:t>
            </w:r>
          </w:p>
        </w:tc>
        <w:tc>
          <w:tcPr>
            <w:tcW w:type="dxa" w:w="18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Estado</w:t>
            </w:r>
          </w:p>
        </w:tc>
        <w:tc>
          <w:tcPr>
            <w:tcW w:type="dxa" w:w="50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Detalle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Base compartida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Implementado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Configuración validada, jerarquía de errores, bus de eventos tipado, validación con Zod, manejador de errores y middlewares de sesión y rol.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Autenticación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Implementado (parcial)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Registro de Estudiante, inicio de sesión, verificación de JWT y consulta del usuario actual. Pendiente: recuperación de contraseña y asignación de roles por el Administrador.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Suscripciones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Pendiente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Contenido / Pensum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Pendiente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Desafíos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Pendiente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Gamificación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Pendiente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El evento desafio.completado ya está definido.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Administración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Pendiente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Base de datos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Esquema definido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Tabla autenticacion_usuarios en prisma/schema.prisma. Falta ejecutar la primera migración en MySQL.</w:t>
            </w:r>
          </w:p>
        </w:tc>
      </w:tr>
    </w:tbl>
    <w:p>
      <w:pPr>
        <w:spacing w:after="100" w:before="200"/>
      </w:pPr>
      <w:r>
        <w:rPr>
          <w:b/>
          <w:bCs/>
          <w:color w:val="1F4E79"/>
          <w:sz w:val="28"/>
          <w:szCs w:val="28"/>
        </w:rPr>
        <w:t xml:space="preserve">Endpoints disponibles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Método y ruta</w:t>
            </w:r>
          </w:p>
        </w:tc>
        <w:tc>
          <w:tcPr>
            <w:tcW w:type="dxa" w:w="5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GET /api/salud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Comprueba que el servidor está activo.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 /api/autenticacion/registro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Registra un Estudiante. Cuerpo: { email, contrasena }. Responde 201 con el usuario (sin contraseña).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 /api/autenticacion/inicio-sesion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Inicia sesión. Cuerpo: { email, contrasena }. Responde con { token, usuario }.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GET /api/autenticacion/yo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Devuelve el usuario de la sesión actual. Requiere la cabecera Authorization: Bearer &lt;token&gt;.</w:t>
            </w:r>
          </w:p>
        </w:tc>
      </w:tr>
    </w:tbl>
    <w:p>
      <w:pPr>
        <w:spacing w:after="150" w:before="300"/>
      </w:pPr>
      <w:r>
        <w:rPr>
          <w:b/>
          <w:bCs/>
          <w:sz w:val="34"/>
          <w:szCs w:val="34"/>
        </w:rPr>
        <w:t xml:space="preserve">8. Pendientes por definir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Precios específicos de los planes mensual y anual.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Elección definitiva del procesador de pagos (se mantiene Mercado Pago como opción provisional).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Detalle del contenido pedagógico específico de cada familia de fármacos (a construir progresivamente).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Nivel de disponibilidad esperado del sistema.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Mecanismo de recuperación de contraseña (envío de correo: proveedor y plantilla).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Tablas del examen general, sus resultados y los diplomas emitidos en el modelo de base de datos (ADR-0010).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Estrategia de despliegue (servidor, base de datos en la nube, dominio).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2026-10-27T20:53:09.927Z</dcterms:created>
  <dcterms:modified xsi:type="dcterms:W3CDTF">2026-10-27T20:53:09.928Z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