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8"/>
          <w:szCs w:val="48"/>
        </w:rPr>
        <w:t xml:space="preserve">Registro de Decisiones de Arquitectura (ADR)</w:t>
      </w:r>
    </w:p>
    <w:p>
      <w:pPr>
        <w:spacing w:after="100"/>
      </w:pPr>
      <w:r>
        <w:rPr>
          <w:color w:val="444444"/>
          <w:sz w:val="28"/>
          <w:szCs w:val="28"/>
        </w:rPr>
        <w:t xml:space="preserve">Plataforma de Farmacología Gamificada — Lote 5 (ADR-0016 y ADR-0017)</w:t>
      </w:r>
    </w:p>
    <w:p>
      <w:pPr>
        <w:spacing w:after="100"/>
      </w:pPr>
      <w:r>
        <w:rPr>
          <w:i/>
          <w:iCs/>
          <w:color w:val="888888"/>
          <w:sz w:val="24"/>
          <w:szCs w:val="24"/>
        </w:rPr>
        <w:t xml:space="preserve">Versión 1 — OFICIAL</w:t>
      </w:r>
    </w:p>
    <w:p>
      <w:pPr>
        <w:spacing w:after="80"/>
      </w:pPr>
      <w:r>
        <w:rPr>
          <w:b/>
          <w:bCs/>
          <w:sz w:val="24"/>
          <w:szCs w:val="24"/>
        </w:rPr>
        <w:t xml:space="preserve">Fecha del documento: </w:t>
      </w:r>
      <w:r>
        <w:rPr>
          <w:sz w:val="24"/>
          <w:szCs w:val="24"/>
        </w:rPr>
        <w:t xml:space="preserve">27 de octubre de 2026</w:t>
      </w:r>
    </w:p>
    <w:p>
      <w:pPr>
        <w:spacing w:after="120"/>
      </w:pPr>
      <w:r>
        <w:rPr>
          <w:color w:val="666666"/>
          <w:sz w:val="24"/>
          <w:szCs w:val="24"/>
        </w:rPr>
        <w:t xml:space="preserve">Decisiones tomadas al completar el módulo de Autenticación: recuperación de contraseña y asignación de roles. Complementan los lotes 1 a 4 sin reemplazar ninguna decisión anterior.</w:t>
      </w:r>
    </w:p>
    <w:p>
      <w:pPr>
        <w:spacing w:after="300"/>
      </w:pPr>
    </w:p>
    <w:p>
      <w:pPr>
        <w:spacing w:after="100"/>
      </w:pPr>
      <w:r>
        <w:rPr>
          <w:b/>
          <w:bCs/>
          <w:sz w:val="32"/>
          <w:szCs w:val="32"/>
        </w:rPr>
        <w:t xml:space="preserve">ADR-0016: Recuperación de contraseña con enlace de un solo uso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Fecha: </w:t>
      </w:r>
      <w:r>
        <w:rPr>
          <w:sz w:val="24"/>
          <w:szCs w:val="24"/>
        </w:rPr>
        <w:t xml:space="preserve">27 de octubre de 2026</w:t>
      </w:r>
    </w:p>
    <w:p>
      <w:pPr>
        <w:spacing w:after="80"/>
      </w:pPr>
      <w:r>
        <w:rPr>
          <w:b/>
          <w:bCs/>
          <w:sz w:val="24"/>
          <w:szCs w:val="24"/>
        </w:rPr>
        <w:t xml:space="preserve">Estado: </w:t>
      </w:r>
      <w:r>
        <w:rPr>
          <w:sz w:val="24"/>
          <w:szCs w:val="24"/>
        </w:rPr>
        <w:t xml:space="preserve">Aceptada</w:t>
      </w:r>
    </w:p>
    <w:p>
      <w:pPr>
        <w:spacing w:after="100"/>
      </w:pPr>
    </w:p>
    <w:p>
      <w:pPr>
        <w:keepNext/>
        <w:keepLines/>
        <w:spacing w:after="100" w:before="200"/>
      </w:pPr>
      <w:r>
        <w:rPr>
          <w:b/>
          <w:bCs/>
          <w:color w:val="1F4E79"/>
          <w:sz w:val="28"/>
          <w:szCs w:val="28"/>
        </w:rPr>
        <w:t xml:space="preserve">Contexto</w:t>
      </w:r>
    </w:p>
    <w:p>
      <w:pPr>
        <w:spacing w:after="120"/>
      </w:pPr>
      <w:r>
        <w:rPr>
          <w:sz w:val="24"/>
          <w:szCs w:val="24"/>
        </w:rPr>
        <w:t xml:space="preserve">Los requisitos (sección 5.1) incluyen la recuperación de contraseña. El mecanismo debe ser seguro sin infraestructura de nivel bancario (ADR-0008), compatible con un backend sin estado (ADR-0003) y no debe permitir averiguar qué correos están registrados. El proveedor de correo electrónico todavía no está elegido.</w:t>
      </w:r>
    </w:p>
    <w:p>
      <w:pPr>
        <w:keepNext/>
        <w:keepLines/>
        <w:spacing w:after="100" w:before="200"/>
      </w:pPr>
      <w:r>
        <w:rPr>
          <w:b/>
          <w:bCs/>
          <w:color w:val="1F4E79"/>
          <w:sz w:val="28"/>
          <w:szCs w:val="28"/>
        </w:rPr>
        <w:t xml:space="preserve">Opciones consideradas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Enviar una contraseña temporal por correo.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Enviar un enlace con un JWT firmado de corta duración (sin guardar nada en la base de datos).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Enviar un enlace con un token aleatorio de un solo uso, guardando en la base de datos solo su hash.</w:t>
      </w:r>
    </w:p>
    <w:p>
      <w:pPr>
        <w:keepNext/>
        <w:keepLines/>
        <w:spacing w:after="100" w:before="200"/>
      </w:pPr>
      <w:r>
        <w:rPr>
          <w:b/>
          <w:bCs/>
          <w:color w:val="1F4E79"/>
          <w:sz w:val="28"/>
          <w:szCs w:val="28"/>
        </w:rPr>
        <w:t xml:space="preserve">Decisión</w:t>
      </w:r>
    </w:p>
    <w:p>
      <w:pPr>
        <w:spacing w:after="120"/>
      </w:pPr>
      <w:r>
        <w:rPr>
          <w:sz w:val="24"/>
          <w:szCs w:val="24"/>
        </w:rPr>
        <w:t xml:space="preserve">Se adopta el enlace con token aleatorio de un solo uso. El token tiene 32 bytes aleatorios y viaja solo en el enlace del correo; en la tabla autenticacion_tokens_recuperacion se guarda únicamente su hash SHA-256. El enlace vence a los 30 minutos y pedir uno nuevo invalida los anteriores sin usar.</w:t>
      </w:r>
    </w:p>
    <w:p>
      <w:pPr>
        <w:spacing w:after="120"/>
      </w:pPr>
      <w:r>
        <w:rPr>
          <w:sz w:val="24"/>
          <w:szCs w:val="24"/>
        </w:rPr>
        <w:t xml:space="preserve">Al restablecer, en una sola transacción se marca el token como usado (solo si sigue vigente y sin usar), se cambia la contraseña y se eliminan los demás tokens pendientes del usuario. Así, dos peticiones simultáneas con el mismo token no pueden usarlo dos veces.</w:t>
      </w:r>
    </w:p>
    <w:p>
      <w:pPr>
        <w:spacing w:after="120"/>
      </w:pPr>
      <w:r>
        <w:rPr>
          <w:sz w:val="24"/>
          <w:szCs w:val="24"/>
        </w:rPr>
        <w:t xml:space="preserve">La solicitud responde siempre el mismo mensaje, exista o no la cuenta, y el envío del correo no se espera, para no delatar por tiempo de respuesta. El envío se hace a través del puerto EnviadorCorreos; mientras se elige el proveedor real, el adaptador EnviadorCorreosConsola muestra el correo en la consola del servidor.</w:t>
      </w:r>
    </w:p>
    <w:p>
      <w:pPr>
        <w:keepNext/>
        <w:keepLines/>
        <w:spacing w:after="100" w:before="200"/>
      </w:pPr>
      <w:r>
        <w:rPr>
          <w:b/>
          <w:bCs/>
          <w:color w:val="1F4E79"/>
          <w:sz w:val="28"/>
          <w:szCs w:val="28"/>
        </w:rPr>
        <w:t xml:space="preserve">Trade-offs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Aspecto</w:t>
            </w:r>
          </w:p>
        </w:tc>
        <w:tc>
          <w:tcPr>
            <w:tcW w:type="dxa" w:w="6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Análisis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 favor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Quien lea la base de datos no puede usar los tokens (solo ve hashes); el token se puede invalidar en cualquier momento, a diferencia de un JWT; un solo uso y 30 minutos de vigencia limitan el daño si el correo se filtra; no revela qué correos están registrados; el proveedor de correo se puede cambiar sin tocar los casos de uso.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 contra / riesgos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Añade una tabla y escrituras en la base de datos; los JWT de sesión emitidos antes del cambio de contraseña siguen siendo válidos hasta que expiran (máximo el tiempo configurado, hoy 60 minutos); todavía no hay límite de solicitudes por correo o IP, por lo que alguien podría provocar muchos correos a una misma cuenta.</w:t>
            </w:r>
          </w:p>
        </w:tc>
      </w:tr>
    </w:tbl>
    <w:p>
      <w:pPr>
        <w:keepNext/>
        <w:keepLines/>
        <w:spacing w:after="100" w:before="200"/>
      </w:pPr>
      <w:r>
        <w:rPr>
          <w:b/>
          <w:bCs/>
          <w:color w:val="1F4E79"/>
          <w:sz w:val="28"/>
          <w:szCs w:val="28"/>
        </w:rPr>
        <w:t xml:space="preserve">Alternativa descartada</w:t>
      </w:r>
    </w:p>
    <w:p>
      <w:pPr>
        <w:spacing w:after="120"/>
      </w:pPr>
      <w:r>
        <w:rPr>
          <w:sz w:val="24"/>
          <w:szCs w:val="24"/>
        </w:rPr>
        <w:t xml:space="preserve">La contraseña temporal por correo deja una credencial utilizable en la bandeja de entrada y obliga a un segundo cambio. El JWT de recuperación no se puede invalidar después de usarlo ni cuando se pide otro enlace, salvo que se guarde estado, con lo que pierde su ventaja.</w:t>
      </w:r>
    </w:p>
    <w:p>
      <w:pPr>
        <w:pageBreakBefore/>
        <w:spacing w:after="100"/>
      </w:pPr>
      <w:r>
        <w:rPr>
          <w:b/>
          <w:bCs/>
          <w:sz w:val="32"/>
          <w:szCs w:val="32"/>
        </w:rPr>
        <w:t xml:space="preserve">ADR-0017: Asignación de roles y creación del primer Administrador</w:t>
      </w:r>
    </w:p>
    <w:p>
      <w:pPr>
        <w:spacing w:after="80"/>
      </w:pPr>
      <w:r>
        <w:rPr>
          <w:b/>
          <w:bCs/>
          <w:sz w:val="24"/>
          <w:szCs w:val="24"/>
        </w:rPr>
        <w:t xml:space="preserve">Fecha: </w:t>
      </w:r>
      <w:r>
        <w:rPr>
          <w:sz w:val="24"/>
          <w:szCs w:val="24"/>
        </w:rPr>
        <w:t xml:space="preserve">27 de octubre de 2026</w:t>
      </w:r>
    </w:p>
    <w:p>
      <w:pPr>
        <w:spacing w:after="80"/>
      </w:pPr>
      <w:r>
        <w:rPr>
          <w:b/>
          <w:bCs/>
          <w:sz w:val="24"/>
          <w:szCs w:val="24"/>
        </w:rPr>
        <w:t xml:space="preserve">Estado: </w:t>
      </w:r>
      <w:r>
        <w:rPr>
          <w:sz w:val="24"/>
          <w:szCs w:val="24"/>
        </w:rPr>
        <w:t xml:space="preserve">Aceptada</w:t>
      </w:r>
    </w:p>
    <w:p>
      <w:pPr>
        <w:spacing w:after="100"/>
      </w:pPr>
    </w:p>
    <w:p>
      <w:pPr>
        <w:keepNext/>
        <w:keepLines/>
        <w:spacing w:after="100" w:before="200"/>
      </w:pPr>
      <w:r>
        <w:rPr>
          <w:b/>
          <w:bCs/>
          <w:color w:val="1F4E79"/>
          <w:sz w:val="28"/>
          <w:szCs w:val="28"/>
        </w:rPr>
        <w:t xml:space="preserve">Contexto</w:t>
      </w:r>
    </w:p>
    <w:p>
      <w:pPr>
        <w:spacing w:after="120"/>
      </w:pPr>
      <w:r>
        <w:rPr>
          <w:sz w:val="24"/>
          <w:szCs w:val="24"/>
        </w:rPr>
        <w:t xml:space="preserve">La plataforma tiene tres roles (Estudiante, Administrador y Creador de Contenido). El registro público solo crea Estudiantes, así que se necesita una forma controlada de asignar los otros roles y de crear el primer Administrador cuando todavía no existe ninguno. El rol viaja dentro del JWT sin estado (ADR-0008).</w:t>
      </w:r>
    </w:p>
    <w:p>
      <w:pPr>
        <w:keepNext/>
        <w:keepLines/>
        <w:spacing w:after="100" w:before="200"/>
      </w:pPr>
      <w:r>
        <w:rPr>
          <w:b/>
          <w:bCs/>
          <w:color w:val="1F4E79"/>
          <w:sz w:val="28"/>
          <w:szCs w:val="28"/>
        </w:rPr>
        <w:t xml:space="preserve">Opciones consideradas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Permitir elegir el rol en el registro público.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Crear el primer Administrador con datos fijos en una migración o semilla de la base de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Asignar roles por la API solo desde un Administrador, y crear el primer Administrador con un script de consola sobre una cuenta ya registrada.</w:t>
      </w:r>
    </w:p>
    <w:p>
      <w:pPr>
        <w:keepNext/>
        <w:keepLines/>
        <w:spacing w:after="100" w:before="200"/>
      </w:pPr>
      <w:r>
        <w:rPr>
          <w:b/>
          <w:bCs/>
          <w:color w:val="1F4E79"/>
          <w:sz w:val="28"/>
          <w:szCs w:val="28"/>
        </w:rPr>
        <w:t xml:space="preserve">Decisión</w:t>
      </w:r>
    </w:p>
    <w:p>
      <w:pPr>
        <w:spacing w:after="120"/>
      </w:pPr>
      <w:r>
        <w:rPr>
          <w:sz w:val="24"/>
          <w:szCs w:val="24"/>
        </w:rPr>
        <w:t xml:space="preserve">Se adopta la tercera opción. La ruta PATCH /api/autenticacion/usuarios/:usuarioId/rol exige sesión y rol de Administrador (middleware requerirRol), y el caso de uso vuelve a comprobarlo por su cuenta. Un Administrador no puede cambiar su propio rol, para que la plataforma no se quede sin administradores por accidente.</w:t>
      </w:r>
    </w:p>
    <w:p>
      <w:pPr>
        <w:spacing w:after="120"/>
      </w:pPr>
      <w:r>
        <w:rPr>
          <w:sz w:val="24"/>
          <w:szCs w:val="24"/>
        </w:rPr>
        <w:t xml:space="preserve">El primer Administrador se crea con npm run asignar-rol -- &lt;correo&gt; administrador, que solo puede ejecutar quien tiene acceso al servidor y a su archivo .env. La cuenta debe existir antes (registro normal).</w:t>
      </w:r>
    </w:p>
    <w:p>
      <w:pPr>
        <w:spacing w:after="120"/>
      </w:pPr>
      <w:r>
        <w:rPr>
          <w:sz w:val="24"/>
          <w:szCs w:val="24"/>
        </w:rPr>
        <w:t xml:space="preserve">Como el rol va dentro del JWT, el cambio se aplica desde el siguiente inicio de sesión del usuario; el token vigente conserva el rol anterior hasta expirar.</w:t>
      </w:r>
    </w:p>
    <w:p>
      <w:pPr>
        <w:keepNext/>
        <w:keepLines/>
        <w:spacing w:after="100" w:before="200"/>
      </w:pPr>
      <w:r>
        <w:rPr>
          <w:b/>
          <w:bCs/>
          <w:color w:val="1F4E79"/>
          <w:sz w:val="28"/>
          <w:szCs w:val="28"/>
        </w:rPr>
        <w:t xml:space="preserve">Trade-offs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Aspecto</w:t>
            </w:r>
          </w:p>
        </w:tc>
        <w:tc>
          <w:tcPr>
            <w:tcW w:type="dxa" w:w="6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Análisis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 favor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Nadie puede darse a sí mismo un rol con privilegios desde la API; no hay contraseñas de administrador fijas en el código ni en el repositorio; la doble comprobación (ruta y caso de uso) protege aunque otro módulo llame a la fachada directamente; mantiene el backend sin estado.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 contra / riesgos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Quitar un rol no es inmediato: la persona conserva sus permisos hasta que su token expire (máximo 60 minutos con la configuración actual); crear el primer Administrador requiere acceso a la consola del servidor.</w:t>
            </w:r>
          </w:p>
        </w:tc>
      </w:tr>
    </w:tbl>
    <w:p>
      <w:pPr>
        <w:keepNext/>
        <w:keepLines/>
        <w:spacing w:after="100" w:before="200"/>
      </w:pPr>
      <w:r>
        <w:rPr>
          <w:b/>
          <w:bCs/>
          <w:color w:val="1F4E79"/>
          <w:sz w:val="28"/>
          <w:szCs w:val="28"/>
        </w:rPr>
        <w:t xml:space="preserve">Alternativa descartada</w:t>
      </w:r>
    </w:p>
    <w:p>
      <w:pPr>
        <w:spacing w:after="120"/>
      </w:pPr>
      <w:r>
        <w:rPr>
          <w:sz w:val="24"/>
          <w:szCs w:val="24"/>
        </w:rPr>
        <w:t xml:space="preserve">Elegir el rol en el registro público permitiría que cualquiera se hiciera Administrador. Un Administrador fijo en una semilla obliga a guardar o comunicar una contraseña conocida, que suele quedarse sin cambiar. Si en el futuro se necesita revocar roles al instante, se puede añadir una versión de credenciales al usuario y comprobarla en cada petición.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2026-10-27T21:46:43.491Z</dcterms:created>
  <dcterms:modified xsi:type="dcterms:W3CDTF">2026-10-27T21:46:43.492Z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