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sz w:val="48"/>
          <w:szCs w:val="48"/>
        </w:rPr>
        <w:t xml:space="preserve">Glosario de Lenguaje Ubicuo</w:t>
      </w:r>
    </w:p>
    <w:p>
      <w:pPr>
        <w:spacing w:after="100"/>
      </w:pPr>
      <w:r>
        <w:rPr>
          <w:color w:val="444444"/>
          <w:sz w:val="30"/>
          <w:szCs w:val="30"/>
        </w:rPr>
        <w:t xml:space="preserve">Plataforma de Farmacología Gamificada</w:t>
      </w:r>
    </w:p>
    <w:p>
      <w:pPr>
        <w:spacing w:after="100"/>
      </w:pPr>
      <w:r>
        <w:rPr>
          <w:i/>
          <w:iCs/>
          <w:color w:val="888888"/>
          <w:sz w:val="24"/>
          <w:szCs w:val="24"/>
        </w:rPr>
        <w:t xml:space="preserve">Versión 2 — PRUEBA (ampliado)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Fecha: </w:t>
      </w:r>
      <w:r>
        <w:rPr>
          <w:sz w:val="24"/>
          <w:szCs w:val="24"/>
        </w:rPr>
        <w:t xml:space="preserve">23 de septiembre de 2026</w:t>
      </w:r>
    </w:p>
    <w:p>
      <w:pPr>
        <w:spacing w:after="200"/>
      </w:pPr>
    </w:p>
    <w:p>
      <w:pPr>
        <w:spacing w:after="200"/>
      </w:pPr>
      <w:r>
        <w:rPr>
          <w:i/>
          <w:iCs/>
          <w:color w:val="666666"/>
          <w:sz w:val="24"/>
          <w:szCs w:val="24"/>
        </w:rPr>
        <w:t xml:space="preserve">Se agregan los términos surgidos con la definición del dominio de farmacología, la jerarquía de contenido y las reglas de progreso/certificación.</w:t>
      </w:r>
    </w:p>
    <w:p>
      <w:pPr>
        <w:spacing w:after="150" w:before="300"/>
      </w:pPr>
      <w:r>
        <w:rPr>
          <w:b/>
          <w:bCs/>
          <w:sz w:val="34"/>
          <w:szCs w:val="34"/>
        </w:rPr>
        <w:t xml:space="preserve">1. Actores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00"/>
        <w:gridCol w:w="2500"/>
      </w:tblGrid>
      <w:tr>
        <w:tc>
          <w:tcPr>
            <w:tcW w:type="dxa" w:w="22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Término</w:t>
            </w:r>
          </w:p>
        </w:tc>
        <w:tc>
          <w:tcPr>
            <w:tcW w:type="dxa" w:w="43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Definición</w:t>
            </w:r>
          </w:p>
        </w:tc>
        <w:tc>
          <w:tcPr>
            <w:tcW w:type="dxa" w:w="25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Ejemplo en código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Estudiante / Aprendiz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Usuario suscrito que consume contenido, resuelve desafíos, gana XP y gemas.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crearEstudiante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Administrador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Rol que gestiona usuarios, suscripciones y configuración de la plataforma.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gestionarUsuariosComoAdministrador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Creador de Contenido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Rol independiente del Administrador; crea y mantiene temas, subtemas, lecciones, desafíos y exámenes.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crearLeccionComoCreadorDeContenido</w:t>
            </w:r>
          </w:p>
        </w:tc>
      </w:tr>
    </w:tbl>
    <w:p>
      <w:pPr>
        <w:spacing w:after="200"/>
      </w:pPr>
    </w:p>
    <w:p>
      <w:pPr>
        <w:spacing w:after="150" w:before="300"/>
      </w:pPr>
      <w:r>
        <w:rPr>
          <w:b/>
          <w:bCs/>
          <w:sz w:val="34"/>
          <w:szCs w:val="34"/>
        </w:rPr>
        <w:t xml:space="preserve">2. Contenido y aprendizaje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00"/>
        <w:gridCol w:w="2500"/>
      </w:tblGrid>
      <w:tr>
        <w:tc>
          <w:tcPr>
            <w:tcW w:type="dxa" w:w="22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Término</w:t>
            </w:r>
          </w:p>
        </w:tc>
        <w:tc>
          <w:tcPr>
            <w:tcW w:type="dxa" w:w="43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Definición</w:t>
            </w:r>
          </w:p>
        </w:tc>
        <w:tc>
          <w:tcPr>
            <w:tcW w:type="dxa" w:w="25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Ejemplo en código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Tema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Nivel superior del pensum; una familia de fármacos (ej. Antibióticos).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obtenerTemasDelPensum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Subtema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Agrupación intermedia dentro de un tema (ej. Betalactámicos dentro de Antibióticos).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listarSubtemasDeTema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Lección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Unidad final de estudio dentro de un subtema; contiene el texto explicativo.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obtenerLeccionPorId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Desbloqueo progresivo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Mecánica por la cual las lecciones de un tema se habilitan en orden, a medida que se completan las anteriores.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verificarLeccionDesbloqueada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Examen general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Evaluación que se genera al completar todas las lecciones de un tema.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generarExamenGeneral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Diploma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Certificado que se emite al aprobar el examen general de un tema.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emitirDiploma</w:t>
            </w:r>
          </w:p>
        </w:tc>
      </w:tr>
    </w:tbl>
    <w:p>
      <w:pPr>
        <w:spacing w:after="200"/>
      </w:pPr>
    </w:p>
    <w:p>
      <w:pPr>
        <w:spacing w:after="150" w:before="300"/>
      </w:pPr>
      <w:r>
        <w:rPr>
          <w:b/>
          <w:bCs/>
          <w:sz w:val="34"/>
          <w:szCs w:val="34"/>
        </w:rPr>
        <w:t xml:space="preserve">3. Gamificación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00"/>
        <w:gridCol w:w="2500"/>
      </w:tblGrid>
      <w:tr>
        <w:tc>
          <w:tcPr>
            <w:tcW w:type="dxa" w:w="22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Término</w:t>
            </w:r>
          </w:p>
        </w:tc>
        <w:tc>
          <w:tcPr>
            <w:tcW w:type="dxa" w:w="43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Definición</w:t>
            </w:r>
          </w:p>
        </w:tc>
        <w:tc>
          <w:tcPr>
            <w:tcW w:type="dxa" w:w="25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Ejemplo en código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Desafío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Actividad de práctica al final de una lección; existen 6 tipos.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completarDesafio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Quiz de opción múltiple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Tipo de desafío con pregunta, opciones y respuesta correcta.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evaluarQuizOpcionMultiple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Caso clínico corto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Tipo de desafío con un escenario de paciente y una decisión correcta a tomar.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evaluarCasoClinico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Relacionar/emparejar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Tipo de desafío que pide unir pares relacionados (ej. fármaco y mecanismo).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evaluarEmparejamiento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Completar espacios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Tipo de desafío con un texto incompleto y una respuesta a calcular o ingresar.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evaluarCompletarEspacios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Verdadero/Falso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Tipo de desafío con una afirmación a calificar como verdadera o falsa.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evaluarVerdaderoFalso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Ordenar pasos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Tipo de desafío que pide ordenar una secuencia de pasos correctamente.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evaluarOrdenarPasos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XP (Experiencia)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Puntos ganados al completar desafíos por primera vez; determina el ranking.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calcularXPGanado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Ranking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Clasificación general de los estudiantes según su XP.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obtenerPosicionEnRanking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Gema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Moneda del juego, usada para personalizar el skin.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otorgarGemas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Skin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Personalización visual del avatar del estudiante.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cambiarSkinDelEstudiante</w:t>
            </w:r>
          </w:p>
        </w:tc>
      </w:tr>
    </w:tbl>
    <w:p>
      <w:pPr>
        <w:spacing w:after="200"/>
      </w:pPr>
    </w:p>
    <w:p>
      <w:pPr>
        <w:spacing w:after="150" w:before="300"/>
      </w:pPr>
      <w:r>
        <w:rPr>
          <w:b/>
          <w:bCs/>
          <w:sz w:val="34"/>
          <w:szCs w:val="34"/>
        </w:rPr>
        <w:t xml:space="preserve">4. Suscripción y acceso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00"/>
        <w:gridCol w:w="2500"/>
      </w:tblGrid>
      <w:tr>
        <w:tc>
          <w:tcPr>
            <w:tcW w:type="dxa" w:w="22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Término</w:t>
            </w:r>
          </w:p>
        </w:tc>
        <w:tc>
          <w:tcPr>
            <w:tcW w:type="dxa" w:w="43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Definición</w:t>
            </w:r>
          </w:p>
        </w:tc>
        <w:tc>
          <w:tcPr>
            <w:tcW w:type="dxa" w:w="25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Ejemplo en código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Plan mensual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Plan de suscripción con vigencia de un mes.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obtenerPlanMensual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Plan anual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Plan de suscripción con vigencia de un año.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obtenerPlanAnual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Suscripción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Relación comercial que da acceso a la plataforma mientras esté activa.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activarSuscripcion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Procesador de pagos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Servicio externo (provisionalmente Mercado Pago) que gestiona el cobro real.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iniciarPagoConProcesadorExterno</w:t>
            </w:r>
          </w:p>
        </w:tc>
      </w:tr>
    </w:tbl>
    <w:p>
      <w:pPr>
        <w:spacing w:after="200"/>
      </w:pPr>
    </w:p>
    <w:p>
      <w:pPr>
        <w:spacing w:after="150" w:before="300"/>
      </w:pPr>
      <w:r>
        <w:rPr>
          <w:b/>
          <w:bCs/>
          <w:sz w:val="34"/>
          <w:szCs w:val="34"/>
        </w:rPr>
        <w:t xml:space="preserve">5. Términos a evitar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00"/>
        <w:gridCol w:w="2500"/>
      </w:tblGrid>
      <w:tr>
        <w:tc>
          <w:tcPr>
            <w:tcW w:type="dxa" w:w="22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Evitar</w:t>
            </w:r>
          </w:p>
        </w:tc>
        <w:tc>
          <w:tcPr>
            <w:tcW w:type="dxa" w:w="43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Usar en su lugar</w:t>
            </w:r>
          </w:p>
        </w:tc>
        <w:tc>
          <w:tcPr>
            <w:tcW w:type="dxa" w:w="25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points / score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XP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coins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Gemas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user (sin contexto)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Estudiante, Administrador o Creador de Contenido, según corresponda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category / módulo genérico para el pensum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Tema, Subtema o Lección, según el nivel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test / exam sin calificar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Examen general (siempre referido al cierre de un Tema)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certificate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Diploma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2026-09-23T18:28:08.343Z</dcterms:created>
  <dcterms:modified xsi:type="dcterms:W3CDTF">2026-09-23T18:28:08.343Z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