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99FFE">
      <w:pPr>
        <w:spacing w:before="27" w:line="185" w:lineRule="auto"/>
        <w:ind w:left="6169"/>
        <w:rPr>
          <w:rFonts w:ascii="Times New Roman" w:hAnsi="Times New Roman" w:eastAsia="Times New Roman" w:cs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0"/>
          <w:szCs w:val="20"/>
        </w:rPr>
        <w:t>J</w:t>
      </w:r>
    </w:p>
    <w:p w14:paraId="719BEF50">
      <w:pPr>
        <w:pStyle w:val="2"/>
        <w:spacing w:line="243" w:lineRule="auto"/>
      </w:pPr>
    </w:p>
    <w:p w14:paraId="430AD97A">
      <w:pPr>
        <w:pStyle w:val="2"/>
        <w:spacing w:line="243" w:lineRule="auto"/>
      </w:pPr>
    </w:p>
    <w:p w14:paraId="1FB988DB">
      <w:pPr>
        <w:pStyle w:val="2"/>
        <w:spacing w:line="243" w:lineRule="auto"/>
      </w:pPr>
    </w:p>
    <w:p w14:paraId="6DBBC453">
      <w:pPr>
        <w:pStyle w:val="2"/>
        <w:spacing w:line="243" w:lineRule="auto"/>
      </w:pPr>
    </w:p>
    <w:p w14:paraId="2F76FA40">
      <w:pPr>
        <w:pStyle w:val="2"/>
        <w:spacing w:line="243" w:lineRule="auto"/>
      </w:pPr>
    </w:p>
    <w:p w14:paraId="44BBC644">
      <w:pPr>
        <w:pStyle w:val="2"/>
        <w:spacing w:line="243" w:lineRule="auto"/>
      </w:pPr>
    </w:p>
    <w:p w14:paraId="5631A059">
      <w:pPr>
        <w:pStyle w:val="2"/>
        <w:spacing w:line="243" w:lineRule="auto"/>
      </w:pPr>
    </w:p>
    <w:p w14:paraId="21970972">
      <w:pPr>
        <w:pStyle w:val="2"/>
        <w:spacing w:line="243" w:lineRule="auto"/>
      </w:pPr>
    </w:p>
    <w:p w14:paraId="7CB626EA">
      <w:pPr>
        <w:pStyle w:val="2"/>
        <w:spacing w:line="243" w:lineRule="auto"/>
      </w:pPr>
    </w:p>
    <w:p w14:paraId="22F8A876">
      <w:pPr>
        <w:pStyle w:val="2"/>
        <w:spacing w:line="243" w:lineRule="auto"/>
      </w:pPr>
    </w:p>
    <w:p w14:paraId="77E0198D">
      <w:pPr>
        <w:pStyle w:val="2"/>
        <w:spacing w:line="243" w:lineRule="auto"/>
      </w:pPr>
    </w:p>
    <w:p w14:paraId="08536FD7">
      <w:pPr>
        <w:pStyle w:val="2"/>
        <w:spacing w:line="243" w:lineRule="auto"/>
      </w:pPr>
    </w:p>
    <w:p w14:paraId="4C26AF79">
      <w:pPr>
        <w:pStyle w:val="2"/>
        <w:spacing w:line="244" w:lineRule="auto"/>
      </w:pPr>
    </w:p>
    <w:p w14:paraId="083C93BF">
      <w:pPr>
        <w:pStyle w:val="2"/>
        <w:spacing w:line="244" w:lineRule="auto"/>
      </w:pPr>
    </w:p>
    <w:p w14:paraId="121D8B7C">
      <w:pPr>
        <w:pStyle w:val="2"/>
        <w:spacing w:line="244" w:lineRule="auto"/>
      </w:pPr>
    </w:p>
    <w:p w14:paraId="0E94404E">
      <w:pPr>
        <w:pStyle w:val="2"/>
        <w:spacing w:line="244" w:lineRule="auto"/>
      </w:pPr>
    </w:p>
    <w:p w14:paraId="16AA2DC1">
      <w:pPr>
        <w:pStyle w:val="2"/>
        <w:spacing w:line="244" w:lineRule="auto"/>
      </w:pPr>
    </w:p>
    <w:p w14:paraId="2F5512DF">
      <w:pPr>
        <w:pStyle w:val="2"/>
        <w:spacing w:line="244" w:lineRule="auto"/>
      </w:pPr>
    </w:p>
    <w:p w14:paraId="2ED89CA8">
      <w:pPr>
        <w:pStyle w:val="2"/>
        <w:spacing w:line="244" w:lineRule="auto"/>
      </w:pPr>
    </w:p>
    <w:p w14:paraId="49EF4AC8">
      <w:pPr>
        <w:pStyle w:val="2"/>
        <w:spacing w:line="244" w:lineRule="auto"/>
      </w:pPr>
    </w:p>
    <w:p w14:paraId="4627B194">
      <w:pPr>
        <w:pStyle w:val="2"/>
        <w:spacing w:line="244" w:lineRule="auto"/>
      </w:pPr>
    </w:p>
    <w:p w14:paraId="28A33212">
      <w:pPr>
        <w:pStyle w:val="2"/>
        <w:spacing w:line="244" w:lineRule="auto"/>
      </w:pPr>
    </w:p>
    <w:p w14:paraId="7ECFC2BC">
      <w:pPr>
        <w:spacing w:before="101" w:line="222" w:lineRule="auto"/>
        <w:ind w:left="2799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工银规章〔2026〕71号</w:t>
      </w:r>
    </w:p>
    <w:p w14:paraId="23204E81">
      <w:pPr>
        <w:pStyle w:val="2"/>
        <w:spacing w:line="282" w:lineRule="auto"/>
      </w:pPr>
    </w:p>
    <w:p w14:paraId="446961DF">
      <w:pPr>
        <w:pStyle w:val="2"/>
        <w:spacing w:line="282" w:lineRule="auto"/>
      </w:pPr>
    </w:p>
    <w:p w14:paraId="2DBA0907">
      <w:pPr>
        <w:pStyle w:val="2"/>
        <w:spacing w:line="282" w:lineRule="auto"/>
      </w:pPr>
    </w:p>
    <w:p w14:paraId="280BE460">
      <w:pPr>
        <w:pStyle w:val="2"/>
        <w:spacing w:line="283" w:lineRule="auto"/>
      </w:pPr>
    </w:p>
    <w:p w14:paraId="7EA29567">
      <w:pPr>
        <w:spacing w:before="146" w:line="224" w:lineRule="auto"/>
        <w:ind w:left="1749" w:right="673" w:hanging="1489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pacing w:val="-6"/>
          <w:sz w:val="45"/>
          <w:szCs w:val="45"/>
        </w:rPr>
        <w:t>关于印发境内分行KPI考核和等级行评定</w:t>
      </w:r>
      <w:r>
        <w:rPr>
          <w:rFonts w:ascii="SimSun" w:hAnsi="SimSun" w:eastAsia="SimSun" w:cs="SimSun"/>
          <w:spacing w:val="3"/>
          <w:sz w:val="45"/>
          <w:szCs w:val="45"/>
        </w:rPr>
        <w:t xml:space="preserve"> </w:t>
      </w:r>
      <w:r>
        <w:rPr>
          <w:rFonts w:ascii="SimSun" w:hAnsi="SimSun" w:eastAsia="SimSun" w:cs="SimSun"/>
          <w:spacing w:val="58"/>
          <w:sz w:val="45"/>
          <w:szCs w:val="45"/>
        </w:rPr>
        <w:t>办法（2026年版）的通知</w:t>
      </w:r>
    </w:p>
    <w:p w14:paraId="28742D86">
      <w:pPr>
        <w:pStyle w:val="2"/>
        <w:spacing w:line="297" w:lineRule="auto"/>
      </w:pPr>
    </w:p>
    <w:p w14:paraId="412016AF">
      <w:pPr>
        <w:pStyle w:val="2"/>
        <w:spacing w:line="298" w:lineRule="auto"/>
      </w:pPr>
    </w:p>
    <w:p w14:paraId="1C545286">
      <w:pPr>
        <w:spacing w:before="100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3"/>
          <w:sz w:val="31"/>
          <w:szCs w:val="31"/>
        </w:rPr>
        <w:t>各一级分行，各直属分行：</w:t>
      </w:r>
    </w:p>
    <w:p w14:paraId="1DAF4763">
      <w:pPr>
        <w:spacing w:before="279" w:line="363" w:lineRule="auto"/>
        <w:ind w:right="147" w:firstLine="670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1"/>
          <w:sz w:val="31"/>
          <w:szCs w:val="31"/>
        </w:rPr>
        <w:t>为深入贯彻党的二十届四中全会等重要会议精神，持续巩固</w:t>
      </w:r>
      <w:r>
        <w:rPr>
          <w:rFonts w:ascii="FangSong" w:hAnsi="FangSong" w:eastAsia="FangSong" w:cs="FangSong"/>
          <w:spacing w:val="3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2"/>
          <w:sz w:val="31"/>
          <w:szCs w:val="31"/>
        </w:rPr>
        <w:t>中央巡视整改成效，严格落实监管最新要求，根据“十五五”时</w:t>
      </w:r>
      <w:r>
        <w:rPr>
          <w:rFonts w:ascii="FangSong" w:hAnsi="FangSong" w:eastAsia="FangSong" w:cs="FangSong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4"/>
          <w:sz w:val="31"/>
          <w:szCs w:val="31"/>
        </w:rPr>
        <w:t xml:space="preserve">期国家和集团发展目标，立足全行“1415”高质量发展战略，结  </w:t>
      </w:r>
      <w:r>
        <w:rPr>
          <w:rFonts w:ascii="FangSong" w:hAnsi="FangSong" w:eastAsia="FangSong" w:cs="FangSong"/>
          <w:spacing w:val="16"/>
          <w:sz w:val="31"/>
          <w:szCs w:val="31"/>
        </w:rPr>
        <w:t>合经营实际，总行制定了《境内分行</w:t>
      </w:r>
      <w:r>
        <w:rPr>
          <w:rFonts w:ascii="FangSong" w:hAnsi="FangSong" w:eastAsia="FangSong" w:cs="FangSong"/>
          <w:sz w:val="31"/>
          <w:szCs w:val="31"/>
        </w:rPr>
        <w:t>KPI</w:t>
      </w:r>
      <w:r>
        <w:rPr>
          <w:rFonts w:ascii="FangSong" w:hAnsi="FangSong" w:eastAsia="FangSong" w:cs="FangSong"/>
          <w:spacing w:val="16"/>
          <w:sz w:val="31"/>
          <w:szCs w:val="31"/>
        </w:rPr>
        <w:t>考核办法（2026年版）》</w:t>
      </w:r>
      <w:r>
        <w:rPr>
          <w:rFonts w:ascii="FangSong" w:hAnsi="FangSong" w:eastAsia="FangSong" w:cs="FangSong"/>
          <w:spacing w:val="5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17"/>
          <w:sz w:val="31"/>
          <w:szCs w:val="31"/>
        </w:rPr>
        <w:t>及《境内分行等级行评定办法（2026年版）》。现将两个</w:t>
      </w:r>
      <w:r>
        <w:rPr>
          <w:rFonts w:ascii="FangSong" w:hAnsi="FangSong" w:eastAsia="FangSong" w:cs="FangSong"/>
          <w:spacing w:val="16"/>
          <w:sz w:val="31"/>
          <w:szCs w:val="31"/>
        </w:rPr>
        <w:t>办法印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5"/>
          <w:sz w:val="31"/>
          <w:szCs w:val="31"/>
        </w:rPr>
        <w:t>发你们，请结合要求认真抓好执行。</w:t>
      </w:r>
    </w:p>
    <w:p w14:paraId="16B45067">
      <w:pPr>
        <w:spacing w:before="35" w:line="397" w:lineRule="auto"/>
        <w:ind w:firstLine="659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10"/>
          <w:sz w:val="31"/>
          <w:szCs w:val="31"/>
        </w:rPr>
        <w:t>一、落实考评导向。考评办法突出“以推动</w:t>
      </w:r>
      <w:r>
        <w:rPr>
          <w:rFonts w:ascii="FangSong" w:hAnsi="FangSong" w:eastAsia="FangSong" w:cs="FangSong"/>
          <w:spacing w:val="9"/>
          <w:sz w:val="31"/>
          <w:szCs w:val="31"/>
        </w:rPr>
        <w:t>高质量发展为主题，</w:t>
      </w:r>
      <w:r>
        <w:rPr>
          <w:rFonts w:ascii="FangSong" w:hAnsi="FangSong" w:eastAsia="FangSong" w:cs="FangSong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7"/>
          <w:sz w:val="31"/>
          <w:szCs w:val="31"/>
        </w:rPr>
        <w:t>以高水平安全为保障”的考评导向，</w:t>
      </w:r>
      <w:r>
        <w:rPr>
          <w:rFonts w:ascii="FangSong" w:hAnsi="FangSong" w:eastAsia="FangSong" w:cs="FangSong"/>
          <w:spacing w:val="-52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7"/>
          <w:sz w:val="31"/>
          <w:szCs w:val="31"/>
        </w:rPr>
        <w:t>.加大对不顾质效“冲时点”</w:t>
      </w:r>
    </w:p>
    <w:p w14:paraId="2B7304F0">
      <w:pPr>
        <w:spacing w:line="397" w:lineRule="auto"/>
        <w:rPr>
          <w:rFonts w:ascii="FangSong" w:hAnsi="FangSong" w:eastAsia="FangSong" w:cs="FangSong"/>
          <w:sz w:val="31"/>
          <w:szCs w:val="31"/>
        </w:rPr>
        <w:sectPr>
          <w:footerReference r:id="rId3" w:type="default"/>
          <w:pgSz w:w="11840" w:h="16740"/>
          <w:pgMar w:top="1145" w:right="1027" w:bottom="766" w:left="1670" w:header="0" w:footer="361" w:gutter="0"/>
        </w:sectPr>
      </w:pPr>
    </w:p>
    <w:p w14:paraId="58CC1F2C">
      <w:pPr>
        <w:pStyle w:val="2"/>
        <w:spacing w:line="266" w:lineRule="auto"/>
      </w:pPr>
    </w:p>
    <w:p w14:paraId="488A9B33">
      <w:pPr>
        <w:pStyle w:val="2"/>
        <w:spacing w:line="266" w:lineRule="auto"/>
      </w:pPr>
    </w:p>
    <w:p w14:paraId="562AC2F8">
      <w:pPr>
        <w:pStyle w:val="2"/>
        <w:spacing w:line="266" w:lineRule="auto"/>
      </w:pPr>
    </w:p>
    <w:p w14:paraId="1AEA005F">
      <w:pPr>
        <w:pStyle w:val="2"/>
        <w:spacing w:line="266" w:lineRule="auto"/>
      </w:pPr>
    </w:p>
    <w:p w14:paraId="6C123B5B">
      <w:pPr>
        <w:pStyle w:val="2"/>
        <w:spacing w:line="267" w:lineRule="auto"/>
      </w:pPr>
    </w:p>
    <w:p w14:paraId="36864532">
      <w:pPr>
        <w:pStyle w:val="2"/>
        <w:spacing w:line="267" w:lineRule="auto"/>
      </w:pPr>
    </w:p>
    <w:p w14:paraId="4D06B38D">
      <w:pPr>
        <w:pStyle w:val="2"/>
        <w:spacing w:line="267" w:lineRule="auto"/>
      </w:pPr>
    </w:p>
    <w:p w14:paraId="593378D5">
      <w:pPr>
        <w:spacing w:before="94" w:line="371" w:lineRule="auto"/>
        <w:ind w:left="623" w:right="318" w:firstLine="135"/>
        <w:jc w:val="both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</w:rPr>
        <w:t>“争排名”“拼规模”等行为的约束，各行要深刻领会、准确把</w:t>
      </w:r>
      <w:r>
        <w:rPr>
          <w:rFonts w:ascii="FangSong" w:hAnsi="FangSong" w:eastAsia="FangSong" w:cs="FangSong"/>
          <w:spacing w:val="10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6"/>
          <w:sz w:val="29"/>
          <w:szCs w:val="29"/>
        </w:rPr>
        <w:t>握，树牢正确的经营观、业绩观，优化对下辖二级机构的</w:t>
      </w:r>
      <w:r>
        <w:rPr>
          <w:rFonts w:ascii="FangSong" w:hAnsi="FangSong" w:eastAsia="FangSong" w:cs="FangSong"/>
          <w:sz w:val="29"/>
          <w:szCs w:val="29"/>
        </w:rPr>
        <w:t>KPI</w:t>
      </w:r>
      <w:r>
        <w:rPr>
          <w:rFonts w:ascii="FangSong" w:hAnsi="FangSong" w:eastAsia="FangSong" w:cs="FangSong"/>
          <w:spacing w:val="6"/>
          <w:sz w:val="29"/>
          <w:szCs w:val="29"/>
        </w:rPr>
        <w:t>考</w:t>
      </w:r>
      <w:r>
        <w:rPr>
          <w:rFonts w:ascii="FangSong" w:hAnsi="FangSong" w:eastAsia="FangSong" w:cs="FangSong"/>
          <w:spacing w:val="3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2"/>
          <w:sz w:val="29"/>
          <w:szCs w:val="29"/>
        </w:rPr>
        <w:t>核办法和等级行评定办法，统筹管理好专业条线评价和下辖机构</w:t>
      </w:r>
      <w:r>
        <w:rPr>
          <w:rFonts w:ascii="FangSong" w:hAnsi="FangSong" w:eastAsia="FangSong" w:cs="FangSong"/>
          <w:spacing w:val="4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"/>
          <w:sz w:val="29"/>
          <w:szCs w:val="29"/>
        </w:rPr>
        <w:t>考评办法，确保全行战略层层传导到位。</w:t>
      </w:r>
    </w:p>
    <w:p w14:paraId="12245981">
      <w:pPr>
        <w:spacing w:before="7" w:line="343" w:lineRule="auto"/>
        <w:ind w:left="623" w:right="417" w:firstLine="620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</w:rPr>
        <w:t>二、强化考评协同。总行持续加大经营绩效考评在班子履职</w:t>
      </w:r>
      <w:r>
        <w:rPr>
          <w:rFonts w:ascii="FangSong" w:hAnsi="FangSong" w:eastAsia="FangSong" w:cs="FangSong"/>
          <w:spacing w:val="6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考评和薪酬配置中的应用力度，推动经营绩效考评、班子履职考</w:t>
      </w:r>
      <w:r>
        <w:rPr>
          <w:rFonts w:ascii="FangSong" w:hAnsi="FangSong" w:eastAsia="FangSong" w:cs="FangSong"/>
          <w:spacing w:val="18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"/>
          <w:sz w:val="29"/>
          <w:szCs w:val="29"/>
        </w:rPr>
        <w:t>评、薪酬配置三大考评体系相互贯通、有机衔接。各行</w:t>
      </w:r>
      <w:r>
        <w:rPr>
          <w:rFonts w:ascii="FangSong" w:hAnsi="FangSong" w:eastAsia="FangSong" w:cs="FangSong"/>
          <w:sz w:val="29"/>
          <w:szCs w:val="29"/>
        </w:rPr>
        <w:t xml:space="preserve">要落实 </w:t>
      </w:r>
      <w:r>
        <w:rPr>
          <w:rFonts w:ascii="FangSong" w:hAnsi="FangSong" w:eastAsia="FangSong" w:cs="FangSong"/>
          <w:spacing w:val="1"/>
          <w:sz w:val="29"/>
          <w:szCs w:val="29"/>
        </w:rPr>
        <w:t>总行考评导向，完善本行考评体系，发挥考评合力，更好地激发全体</w:t>
      </w:r>
      <w:r>
        <w:rPr>
          <w:rFonts w:ascii="FangSong" w:hAnsi="FangSong" w:eastAsia="FangSong" w:cs="FangSong"/>
          <w:spacing w:val="18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29"/>
          <w:sz w:val="29"/>
          <w:szCs w:val="29"/>
        </w:rPr>
        <w:t>经营积极性与创造性。</w:t>
      </w:r>
    </w:p>
    <w:p w14:paraId="7B1ED84D">
      <w:pPr>
        <w:spacing w:before="65" w:line="326" w:lineRule="auto"/>
        <w:ind w:left="623" w:right="180" w:firstLine="620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2"/>
          <w:sz w:val="29"/>
          <w:szCs w:val="29"/>
        </w:rPr>
        <w:t>三、确保考评合规。要严格遵守《银行业金融机构</w:t>
      </w:r>
      <w:r>
        <w:rPr>
          <w:rFonts w:ascii="FangSong" w:hAnsi="FangSong" w:eastAsia="FangSong" w:cs="FangSong"/>
          <w:spacing w:val="1"/>
          <w:sz w:val="29"/>
          <w:szCs w:val="29"/>
        </w:rPr>
        <w:t>绩效考评</w:t>
      </w:r>
      <w:r>
        <w:rPr>
          <w:rFonts w:ascii="FangSong" w:hAnsi="FangSong" w:eastAsia="FangSong" w:cs="FangSong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2"/>
          <w:sz w:val="29"/>
          <w:szCs w:val="29"/>
        </w:rPr>
        <w:t>监管指引》等监管规定，在对分支机构或内设</w:t>
      </w:r>
      <w:r>
        <w:rPr>
          <w:rFonts w:ascii="FangSong" w:hAnsi="FangSong" w:eastAsia="FangSong" w:cs="FangSong"/>
          <w:spacing w:val="1"/>
          <w:sz w:val="29"/>
          <w:szCs w:val="29"/>
        </w:rPr>
        <w:t>部室的考核、专业</w:t>
      </w:r>
      <w:r>
        <w:rPr>
          <w:rFonts w:ascii="FangSong" w:hAnsi="FangSong" w:eastAsia="FangSong" w:cs="FangSong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3"/>
          <w:sz w:val="29"/>
          <w:szCs w:val="29"/>
        </w:rPr>
        <w:t>条线评价办法及旺季营销方案等中，不得设立时点性规模考核指</w:t>
      </w:r>
      <w:r>
        <w:rPr>
          <w:rFonts w:ascii="FangSong" w:hAnsi="FangSong" w:eastAsia="FangSong" w:cs="FangSong"/>
          <w:spacing w:val="4"/>
          <w:sz w:val="29"/>
          <w:szCs w:val="29"/>
        </w:rPr>
        <w:t xml:space="preserve">  </w:t>
      </w:r>
      <w:r>
        <w:rPr>
          <w:rFonts w:ascii="FangSong" w:hAnsi="FangSong" w:eastAsia="FangSong" w:cs="FangSong"/>
          <w:sz w:val="29"/>
          <w:szCs w:val="29"/>
        </w:rPr>
        <w:t>标，不得设立单项及临时性考评指标，不得设定没</w:t>
      </w:r>
      <w:r>
        <w:rPr>
          <w:rFonts w:ascii="FangSong" w:hAnsi="FangSong" w:eastAsia="FangSong" w:cs="FangSong"/>
          <w:spacing w:val="-1"/>
          <w:sz w:val="29"/>
          <w:szCs w:val="29"/>
        </w:rPr>
        <w:t>有具体目标值、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5"/>
          <w:sz w:val="29"/>
          <w:szCs w:val="29"/>
        </w:rPr>
        <w:t>单纯以市场份额或市场排名为要求的考评指</w:t>
      </w:r>
      <w:r>
        <w:rPr>
          <w:rFonts w:ascii="FangSong" w:hAnsi="FangSong" w:eastAsia="FangSong" w:cs="FangSong"/>
          <w:spacing w:val="4"/>
          <w:sz w:val="29"/>
          <w:szCs w:val="29"/>
        </w:rPr>
        <w:t>标。确保符合监管要</w:t>
      </w:r>
      <w:r>
        <w:rPr>
          <w:rFonts w:ascii="FangSong" w:hAnsi="FangSong" w:eastAsia="FangSong" w:cs="FangSong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5"/>
          <w:sz w:val="29"/>
          <w:szCs w:val="29"/>
        </w:rPr>
        <w:t>求，合理设置风险内控类、普惠金融、外管合规等指标的权重占</w:t>
      </w:r>
      <w:r>
        <w:rPr>
          <w:rFonts w:ascii="FangSong" w:hAnsi="FangSong" w:eastAsia="FangSong" w:cs="FangSong"/>
          <w:spacing w:val="2"/>
          <w:sz w:val="29"/>
          <w:szCs w:val="29"/>
        </w:rPr>
        <w:t xml:space="preserve">  </w:t>
      </w:r>
      <w:r>
        <w:rPr>
          <w:rFonts w:ascii="FangSong" w:hAnsi="FangSong" w:eastAsia="FangSong" w:cs="FangSong"/>
          <w:sz w:val="29"/>
          <w:szCs w:val="29"/>
        </w:rPr>
        <w:t>比，适当放宽普惠、涉农、制造业、民营、科技贷</w:t>
      </w:r>
      <w:r>
        <w:rPr>
          <w:rFonts w:ascii="FangSong" w:hAnsi="FangSong" w:eastAsia="FangSong" w:cs="FangSong"/>
          <w:spacing w:val="-1"/>
          <w:sz w:val="29"/>
          <w:szCs w:val="29"/>
        </w:rPr>
        <w:t>款不良容忍度。</w:t>
      </w:r>
    </w:p>
    <w:p w14:paraId="789C23B1">
      <w:pPr>
        <w:spacing w:before="227" w:line="335" w:lineRule="auto"/>
        <w:ind w:left="623" w:firstLine="620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8"/>
          <w:sz w:val="29"/>
          <w:szCs w:val="29"/>
        </w:rPr>
        <w:t>四、严肃考评纪律。各分行、各条线要扎扎实实工作实现经</w:t>
      </w:r>
      <w:r>
        <w:rPr>
          <w:rFonts w:ascii="FangSong" w:hAnsi="FangSong" w:eastAsia="FangSong" w:cs="FangSong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-1"/>
          <w:sz w:val="29"/>
          <w:szCs w:val="29"/>
        </w:rPr>
        <w:t>营成绩，杜绝弄虚作假，对业务数据造假、虚增存贷款、数据“庄</w:t>
      </w:r>
      <w:r>
        <w:rPr>
          <w:rFonts w:ascii="FangSong" w:hAnsi="FangSong" w:eastAsia="FangSong" w:cs="FangSong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11"/>
          <w:sz w:val="29"/>
          <w:szCs w:val="29"/>
        </w:rPr>
        <w:t>水”“拼凑”等数据不实情形，采取按不实数额双倍扣减，</w:t>
      </w:r>
      <w:r>
        <w:rPr>
          <w:rFonts w:ascii="FangSong" w:hAnsi="FangSong" w:eastAsia="FangSong" w:cs="FangSong"/>
          <w:spacing w:val="10"/>
          <w:sz w:val="29"/>
          <w:szCs w:val="29"/>
        </w:rPr>
        <w:t>对数</w:t>
      </w:r>
      <w:r>
        <w:rPr>
          <w:rFonts w:ascii="FangSong" w:hAnsi="FangSong" w:eastAsia="FangSong" w:cs="FangSong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12"/>
          <w:sz w:val="29"/>
          <w:szCs w:val="29"/>
        </w:rPr>
        <w:t>额重大的实施考核降级降档措施。监督检查部门要从严开展考评</w:t>
      </w:r>
      <w:r>
        <w:rPr>
          <w:rFonts w:ascii="FangSong" w:hAnsi="FangSong" w:eastAsia="FangSong" w:cs="FangSong"/>
          <w:spacing w:val="1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6"/>
          <w:sz w:val="29"/>
          <w:szCs w:val="29"/>
        </w:rPr>
        <w:t>监督、检查和审计，对违反监管规定或违规违纪的，要从严追责、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3"/>
          <w:sz w:val="29"/>
          <w:szCs w:val="29"/>
        </w:rPr>
        <w:t>从严处理。</w:t>
      </w:r>
    </w:p>
    <w:p w14:paraId="13EF65DB">
      <w:pPr>
        <w:spacing w:line="335" w:lineRule="auto"/>
        <w:rPr>
          <w:rFonts w:ascii="FangSong" w:hAnsi="FangSong" w:eastAsia="FangSong" w:cs="FangSong"/>
          <w:sz w:val="29"/>
          <w:szCs w:val="29"/>
        </w:rPr>
        <w:sectPr>
          <w:footerReference r:id="rId4" w:type="default"/>
          <w:pgSz w:w="11840" w:h="16740"/>
          <w:pgMar w:top="1422" w:right="855" w:bottom="759" w:left="1776" w:header="0" w:footer="380" w:gutter="0"/>
        </w:sectPr>
      </w:pPr>
    </w:p>
    <w:p w14:paraId="1EDCFE69">
      <w:pPr>
        <w:spacing w:before="68" w:line="344" w:lineRule="auto"/>
        <w:ind w:left="40" w:hanging="40"/>
        <w:rPr>
          <w:rFonts w:ascii="FangSong" w:hAnsi="FangSong" w:eastAsia="FangSong" w:cs="FangSong"/>
          <w:sz w:val="35"/>
          <w:szCs w:val="35"/>
        </w:rPr>
      </w:pPr>
      <w:r>
        <w:rPr>
          <w:rFonts w:ascii="FangSong" w:hAnsi="FangSong" w:eastAsia="FangSong" w:cs="FangSong"/>
          <w:spacing w:val="1"/>
          <w:sz w:val="34"/>
          <w:szCs w:val="34"/>
        </w:rPr>
        <w:t>主管部门应采取有效措施，提高考核数据质量，确保考核数据客</w:t>
      </w:r>
      <w:r>
        <w:rPr>
          <w:rFonts w:ascii="FangSong" w:hAnsi="FangSong" w:eastAsia="FangSong" w:cs="FangSong"/>
          <w:spacing w:val="2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4"/>
          <w:sz w:val="35"/>
          <w:szCs w:val="35"/>
        </w:rPr>
        <w:t>观、及时、准确、全面；</w:t>
      </w:r>
    </w:p>
    <w:p w14:paraId="7E79EED4">
      <w:pPr>
        <w:spacing w:before="23" w:line="324" w:lineRule="auto"/>
        <w:ind w:left="139" w:right="159" w:firstLine="630"/>
        <w:rPr>
          <w:rFonts w:ascii="FangSong" w:hAnsi="FangSong" w:eastAsia="FangSong" w:cs="FangSong"/>
          <w:sz w:val="33"/>
          <w:szCs w:val="33"/>
        </w:rPr>
      </w:pPr>
      <w:r>
        <w:rPr>
          <w:rFonts w:ascii="FangSong" w:hAnsi="FangSong" w:eastAsia="FangSong" w:cs="FangSong"/>
          <w:spacing w:val="7"/>
          <w:sz w:val="34"/>
          <w:szCs w:val="34"/>
        </w:rPr>
        <w:t>第十三条</w:t>
      </w:r>
      <w:r>
        <w:rPr>
          <w:rFonts w:ascii="FangSong" w:hAnsi="FangSong" w:eastAsia="FangSong" w:cs="FangSong"/>
          <w:spacing w:val="71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7"/>
          <w:sz w:val="34"/>
          <w:szCs w:val="34"/>
        </w:rPr>
        <w:t>境内各一级分行、直属分行应参照总行办法，</w:t>
      </w:r>
      <w:r>
        <w:rPr>
          <w:rFonts w:ascii="FangSong" w:hAnsi="FangSong" w:eastAsia="FangSong" w:cs="FangSong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12"/>
          <w:sz w:val="33"/>
          <w:szCs w:val="33"/>
        </w:rPr>
        <w:t>结合自身经营实际，在符合监管规定的前提下，制定下辖二级</w:t>
      </w:r>
      <w:r>
        <w:rPr>
          <w:rFonts w:ascii="FangSong" w:hAnsi="FangSong" w:eastAsia="FangSong" w:cs="FangSong"/>
          <w:sz w:val="33"/>
          <w:szCs w:val="33"/>
        </w:rPr>
        <w:t xml:space="preserve"> </w:t>
      </w:r>
      <w:r>
        <w:rPr>
          <w:rFonts w:ascii="FangSong" w:hAnsi="FangSong" w:eastAsia="FangSong" w:cs="FangSong"/>
          <w:spacing w:val="-1"/>
          <w:sz w:val="35"/>
          <w:szCs w:val="35"/>
        </w:rPr>
        <w:t>机构的KPI考核办法，确保考核导向有效传导。考核办法报总</w:t>
      </w:r>
      <w:r>
        <w:rPr>
          <w:rFonts w:ascii="FangSong" w:hAnsi="FangSong" w:eastAsia="FangSong" w:cs="FangSong"/>
          <w:spacing w:val="3"/>
          <w:sz w:val="35"/>
          <w:szCs w:val="35"/>
        </w:rPr>
        <w:t xml:space="preserve"> </w:t>
      </w:r>
      <w:r>
        <w:rPr>
          <w:rFonts w:ascii="FangSong" w:hAnsi="FangSong" w:eastAsia="FangSong" w:cs="FangSong"/>
          <w:spacing w:val="1"/>
          <w:sz w:val="34"/>
          <w:szCs w:val="34"/>
        </w:rPr>
        <w:t>行审批同意后印发，并及时报送当地监管机构。同时，强化对</w:t>
      </w:r>
      <w:r>
        <w:rPr>
          <w:rFonts w:ascii="FangSong" w:hAnsi="FangSong" w:eastAsia="FangSong" w:cs="FangSong"/>
          <w:spacing w:val="6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11"/>
          <w:sz w:val="33"/>
          <w:szCs w:val="33"/>
        </w:rPr>
        <w:t>T辖二级机构考核办法的统筹和审批管理。</w:t>
      </w:r>
    </w:p>
    <w:p w14:paraId="623FA71E">
      <w:pPr>
        <w:spacing w:before="236" w:line="300" w:lineRule="auto"/>
        <w:ind w:left="139" w:right="124" w:firstLine="630"/>
        <w:rPr>
          <w:rFonts w:ascii="FangSong" w:hAnsi="FangSong" w:eastAsia="FangSong" w:cs="FangSong"/>
          <w:sz w:val="33"/>
          <w:szCs w:val="33"/>
        </w:rPr>
      </w:pPr>
      <w:r>
        <w:rPr>
          <w:rFonts w:ascii="FangSong" w:hAnsi="FangSong" w:eastAsia="FangSong" w:cs="FangSong"/>
          <w:spacing w:val="-2"/>
          <w:sz w:val="34"/>
          <w:szCs w:val="34"/>
        </w:rPr>
        <w:t>第十四条 各板块、各条线按照“条块同责”原则，以境内</w:t>
      </w:r>
      <w:r>
        <w:rPr>
          <w:rFonts w:ascii="FangSong" w:hAnsi="FangSong" w:eastAsia="FangSong" w:cs="FangSong"/>
          <w:spacing w:val="13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-2"/>
          <w:sz w:val="34"/>
          <w:szCs w:val="34"/>
        </w:rPr>
        <w:t>分行KPI考核指标为核心指标，制定本板块综合</w:t>
      </w:r>
      <w:r>
        <w:rPr>
          <w:rFonts w:ascii="FangSong" w:hAnsi="FangSong" w:eastAsia="FangSong" w:cs="FangSong"/>
          <w:spacing w:val="-3"/>
          <w:sz w:val="34"/>
          <w:szCs w:val="34"/>
        </w:rPr>
        <w:t>评价办法、本专</w:t>
      </w:r>
      <w:r>
        <w:rPr>
          <w:rFonts w:ascii="FangSong" w:hAnsi="FangSong" w:eastAsia="FangSong" w:cs="FangSong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3"/>
          <w:sz w:val="33"/>
          <w:szCs w:val="33"/>
        </w:rPr>
        <w:t>业条线评价办法，作为部门推动工作手段及干部考核参考。</w:t>
      </w:r>
    </w:p>
    <w:p w14:paraId="7E73962F">
      <w:pPr>
        <w:spacing w:before="237" w:line="325" w:lineRule="auto"/>
        <w:ind w:left="139" w:right="61" w:firstLine="630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7"/>
          <w:sz w:val="32"/>
          <w:szCs w:val="32"/>
        </w:rPr>
        <w:t>第十五条</w:t>
      </w:r>
      <w:r>
        <w:rPr>
          <w:rFonts w:ascii="FangSong" w:hAnsi="FangSong" w:eastAsia="FangSong" w:cs="FangSong"/>
          <w:spacing w:val="57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7"/>
          <w:sz w:val="32"/>
          <w:szCs w:val="32"/>
        </w:rPr>
        <w:t>各级行、各条线要严肃考核纪律，端正经营作风，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1"/>
          <w:sz w:val="33"/>
          <w:szCs w:val="33"/>
        </w:rPr>
        <w:t>健全考核数据定期检查、异常情况监测识别、事实核查及处罚机</w:t>
      </w:r>
      <w:r>
        <w:rPr>
          <w:rFonts w:ascii="FangSong" w:hAnsi="FangSong" w:eastAsia="FangSong" w:cs="FangSong"/>
          <w:spacing w:val="11"/>
          <w:sz w:val="33"/>
          <w:szCs w:val="33"/>
        </w:rPr>
        <w:t xml:space="preserve"> </w:t>
      </w:r>
      <w:r>
        <w:rPr>
          <w:rFonts w:ascii="FangSong" w:hAnsi="FangSong" w:eastAsia="FangSong" w:cs="FangSong"/>
          <w:spacing w:val="1"/>
          <w:sz w:val="33"/>
          <w:szCs w:val="33"/>
        </w:rPr>
        <w:t>制。通过不当经营、乱用科目和不当盈余管理等弄虚作假行为进</w:t>
      </w:r>
      <w:r>
        <w:rPr>
          <w:rFonts w:ascii="FangSong" w:hAnsi="FangSong" w:eastAsia="FangSong" w:cs="FangSong"/>
          <w:spacing w:val="14"/>
          <w:sz w:val="33"/>
          <w:szCs w:val="33"/>
        </w:rPr>
        <w:t xml:space="preserve"> </w:t>
      </w:r>
      <w:r>
        <w:rPr>
          <w:rFonts w:ascii="FangSong" w:hAnsi="FangSong" w:eastAsia="FangSong" w:cs="FangSong"/>
          <w:spacing w:val="1"/>
          <w:sz w:val="32"/>
          <w:szCs w:val="32"/>
        </w:rPr>
        <w:t>行考核套利，或财务数据造假、虚增贷款、</w:t>
      </w:r>
      <w:r>
        <w:rPr>
          <w:rFonts w:ascii="FangSong" w:hAnsi="FangSong" w:eastAsia="FangSong" w:cs="FangSong"/>
          <w:sz w:val="32"/>
          <w:szCs w:val="32"/>
        </w:rPr>
        <w:t xml:space="preserve">贷款数据“注水”“拼 </w:t>
      </w:r>
      <w:r>
        <w:rPr>
          <w:rFonts w:ascii="FangSong" w:hAnsi="FangSong" w:eastAsia="FangSong" w:cs="FangSong"/>
          <w:spacing w:val="2"/>
          <w:sz w:val="33"/>
          <w:szCs w:val="33"/>
        </w:rPr>
        <w:t>凑”的分行，采取加倍扣罚措施。对于违规责任人，</w:t>
      </w:r>
      <w:r>
        <w:rPr>
          <w:rFonts w:ascii="FangSong" w:hAnsi="FangSong" w:eastAsia="FangSong" w:cs="FangSong"/>
          <w:spacing w:val="1"/>
          <w:sz w:val="33"/>
          <w:szCs w:val="33"/>
        </w:rPr>
        <w:t>将按照行内</w:t>
      </w:r>
      <w:r>
        <w:rPr>
          <w:rFonts w:ascii="FangSong" w:hAnsi="FangSong" w:eastAsia="FangSong" w:cs="FangSong"/>
          <w:sz w:val="33"/>
          <w:szCs w:val="33"/>
        </w:rPr>
        <w:t xml:space="preserve"> </w:t>
      </w:r>
      <w:r>
        <w:rPr>
          <w:rFonts w:ascii="FangSong" w:hAnsi="FangSong" w:eastAsia="FangSong" w:cs="FangSong"/>
          <w:spacing w:val="13"/>
          <w:sz w:val="32"/>
          <w:szCs w:val="32"/>
        </w:rPr>
        <w:t>相关规定进行处罚。</w:t>
      </w:r>
    </w:p>
    <w:p w14:paraId="1A21A463">
      <w:pPr>
        <w:spacing w:before="269" w:line="299" w:lineRule="auto"/>
        <w:ind w:left="139" w:right="143" w:firstLine="630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12"/>
          <w:sz w:val="34"/>
          <w:szCs w:val="34"/>
        </w:rPr>
        <w:t>第十六条</w:t>
      </w:r>
      <w:r>
        <w:rPr>
          <w:rFonts w:ascii="FangSong" w:hAnsi="FangSong" w:eastAsia="FangSong" w:cs="FangSong"/>
          <w:sz w:val="34"/>
          <w:szCs w:val="34"/>
        </w:rPr>
        <w:t>KPI</w:t>
      </w:r>
      <w:r>
        <w:rPr>
          <w:rFonts w:ascii="FangSong" w:hAnsi="FangSong" w:eastAsia="FangSong" w:cs="FangSong"/>
          <w:spacing w:val="12"/>
          <w:sz w:val="34"/>
          <w:szCs w:val="34"/>
        </w:rPr>
        <w:t>考核过程应保持与考核对象有效沟</w:t>
      </w:r>
      <w:r>
        <w:rPr>
          <w:rFonts w:ascii="FangSong" w:hAnsi="FangSong" w:eastAsia="FangSong" w:cs="FangSong"/>
          <w:spacing w:val="11"/>
          <w:sz w:val="34"/>
          <w:szCs w:val="34"/>
        </w:rPr>
        <w:t>通；做到</w:t>
      </w:r>
      <w:r>
        <w:rPr>
          <w:rFonts w:ascii="FangSong" w:hAnsi="FangSong" w:eastAsia="FangSong" w:cs="FangSong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1"/>
          <w:sz w:val="33"/>
          <w:szCs w:val="33"/>
        </w:rPr>
        <w:t>公开透明；考核对象对考核结果有异议并提出申诉的，由牵</w:t>
      </w:r>
      <w:r>
        <w:rPr>
          <w:rFonts w:ascii="FangSong" w:hAnsi="FangSong" w:eastAsia="FangSong" w:cs="FangSong"/>
          <w:sz w:val="33"/>
          <w:szCs w:val="33"/>
        </w:rPr>
        <w:t xml:space="preserve">头部 </w:t>
      </w:r>
      <w:r>
        <w:rPr>
          <w:rFonts w:ascii="FangSong" w:hAnsi="FangSong" w:eastAsia="FangSong" w:cs="FangSong"/>
          <w:spacing w:val="10"/>
          <w:sz w:val="32"/>
          <w:szCs w:val="32"/>
        </w:rPr>
        <w:t>门会同相关部门办理。</w:t>
      </w:r>
    </w:p>
    <w:p w14:paraId="4939D6D7">
      <w:pPr>
        <w:pStyle w:val="2"/>
        <w:spacing w:line="241" w:lineRule="auto"/>
      </w:pPr>
    </w:p>
    <w:p w14:paraId="49657485">
      <w:pPr>
        <w:pStyle w:val="2"/>
        <w:spacing w:line="241" w:lineRule="auto"/>
      </w:pPr>
    </w:p>
    <w:p w14:paraId="14FC89AF">
      <w:pPr>
        <w:pStyle w:val="2"/>
        <w:spacing w:line="242" w:lineRule="auto"/>
      </w:pPr>
    </w:p>
    <w:p w14:paraId="36A1A45C">
      <w:pPr>
        <w:spacing w:before="121" w:line="222" w:lineRule="auto"/>
        <w:ind w:left="2919"/>
        <w:rPr>
          <w:rFonts w:ascii="FangSong" w:hAnsi="FangSong" w:eastAsia="FangSong" w:cs="FangSong"/>
          <w:sz w:val="37"/>
          <w:szCs w:val="37"/>
        </w:rPr>
      </w:pPr>
      <w:r>
        <w:rPr>
          <w:rFonts w:ascii="FangSong" w:hAnsi="FangSong" w:eastAsia="FangSong" w:cs="FangSong"/>
          <w:spacing w:val="12"/>
          <w:sz w:val="37"/>
          <w:szCs w:val="37"/>
        </w:rPr>
        <w:t>第五章</w:t>
      </w:r>
      <w:r>
        <w:rPr>
          <w:rFonts w:ascii="FangSong" w:hAnsi="FangSong" w:eastAsia="FangSong" w:cs="FangSong"/>
          <w:spacing w:val="80"/>
          <w:sz w:val="37"/>
          <w:szCs w:val="37"/>
        </w:rPr>
        <w:t xml:space="preserve"> </w:t>
      </w:r>
      <w:r>
        <w:rPr>
          <w:rFonts w:ascii="FangSong" w:hAnsi="FangSong" w:eastAsia="FangSong" w:cs="FangSong"/>
          <w:spacing w:val="12"/>
          <w:sz w:val="37"/>
          <w:szCs w:val="37"/>
        </w:rPr>
        <w:t>考核结果与运用</w:t>
      </w:r>
    </w:p>
    <w:p w14:paraId="350992A5">
      <w:pPr>
        <w:spacing w:before="260" w:line="221" w:lineRule="auto"/>
        <w:ind w:left="769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32"/>
          <w:sz w:val="32"/>
          <w:szCs w:val="32"/>
        </w:rPr>
        <w:t>第十七条</w:t>
      </w:r>
      <w:r>
        <w:rPr>
          <w:rFonts w:ascii="FangSong" w:hAnsi="FangSong" w:eastAsia="FangSong" w:cs="FangSong"/>
          <w:sz w:val="32"/>
          <w:szCs w:val="32"/>
        </w:rPr>
        <w:t>KPI</w:t>
      </w:r>
      <w:r>
        <w:rPr>
          <w:rFonts w:ascii="FangSong" w:hAnsi="FangSong" w:eastAsia="FangSong" w:cs="FangSong"/>
          <w:spacing w:val="32"/>
          <w:sz w:val="32"/>
          <w:szCs w:val="32"/>
        </w:rPr>
        <w:t>考核实行年中监测、全年考核，监测和考核</w:t>
      </w:r>
    </w:p>
    <w:sectPr>
      <w:footerReference r:id="rId5" w:type="default"/>
      <w:pgSz w:w="11840" w:h="16740"/>
      <w:pgMar w:top="1188" w:right="548" w:bottom="1530" w:left="1740" w:header="0" w:footer="107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86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Toman"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SimSun"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SimHei"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00000000" w:usb1="0000000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000" w:usb1="00000000" w:usb2="00000016" w:usb3="00000000" w:csb0="00100009" w:csb1="00000000"/>
  </w:font>
  <w:font w:name="FangSong">
    <w:panose1 w:val="02010609060101010101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47FEEF">
    <w:pPr>
      <w:spacing w:line="235" w:lineRule="auto"/>
      <w:ind w:left="7790"/>
      <w:rPr>
        <w:rFonts w:ascii="SimSun" w:hAnsi="SimSun" w:eastAsia="SimSun" w:cs="SimSun"/>
        <w:sz w:val="31"/>
        <w:szCs w:val="31"/>
      </w:rPr>
    </w:pPr>
    <w:r>
      <w:rPr>
        <w:rFonts w:ascii="SimSun" w:hAnsi="SimSun" w:eastAsia="SimSun" w:cs="SimSun"/>
        <w:spacing w:val="-4"/>
        <w:sz w:val="31"/>
        <w:szCs w:val="31"/>
      </w:rPr>
      <w:t>—1—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DE87F">
    <w:pPr>
      <w:spacing w:line="234" w:lineRule="auto"/>
      <w:ind w:left="903"/>
      <w:rPr>
        <w:rFonts w:ascii="SimSun" w:hAnsi="SimSun" w:eastAsia="SimSun" w:cs="SimSun"/>
        <w:sz w:val="29"/>
        <w:szCs w:val="29"/>
      </w:rPr>
    </w:pPr>
    <w:r>
      <w:rPr>
        <w:rFonts w:ascii="SimSun" w:hAnsi="SimSun" w:eastAsia="SimSun" w:cs="SimSun"/>
        <w:spacing w:val="-3"/>
        <w:sz w:val="29"/>
        <w:szCs w:val="29"/>
      </w:rPr>
      <w:t>—2—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0E5B9">
    <w:pPr>
      <w:spacing w:line="234" w:lineRule="auto"/>
      <w:ind w:left="8559"/>
      <w:rPr>
        <w:rFonts w:ascii="SimSun" w:hAnsi="SimSun" w:eastAsia="SimSun" w:cs="SimSun"/>
        <w:sz w:val="35"/>
        <w:szCs w:val="35"/>
      </w:rPr>
    </w:pPr>
    <w:r>
      <w:rPr>
        <w:rFonts w:ascii="SimSun" w:hAnsi="SimSun" w:eastAsia="SimSun" w:cs="SimSun"/>
        <w:spacing w:val="-4"/>
        <w:sz w:val="35"/>
        <w:szCs w:val="35"/>
      </w:rPr>
      <w:t>—9—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haracterSpacingControl w:val="doNotCompress"/>
  <w:compat>
    <w:spaceForUL/>
    <w:ulTrailSpace/>
    <w:useFELayout/>
    <w:compatSetting w:name="compatibilityMode" w:uri="http://schemas.microsoft.com/office/word" w:val="14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2026-02-28T01:10:08Z</dcterms:created>
  <cp:lastModifiedBy>iPhone</cp:lastModifiedBy>
  <dcterms:modified xsi:type="dcterms:W3CDTF">2026-02-27T17:10:26Z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2026-02-27T17:10:00Z</vt:filetime>
  </property>
  <property fmtid="{D5CDD505-2E9C-101B-9397-08002B2CF9AE}" pid="4" name="UsrData">
    <vt:lpwstr>B4DDCFD2-63C5-4D34-B877-27446A3A156F</vt:lpwstr>
  </property>
  <property fmtid="{D5CDD505-2E9C-101B-9397-08002B2CF9AE}" pid="5" name="ICV">
    <vt:lpwstr>C015592E480D4F0F785FA169BEBA9161_31</vt:lpwstr>
  </property>
  <property fmtid="{D5CDD505-2E9C-101B-9397-08002B2CF9AE}" pid="6" name="KSOProductBuildVer">
    <vt:lpwstr>2052-12.40.0</vt:lpwstr>
  </property>
</Properties>
</file>