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jc w:val="center"/>
        <w:textAlignment w:val="auto"/>
        <w:rPr>
          <w:rFonts w:hint="eastAsia" w:ascii="Times New Roman" w:hAnsi="Times New Roman" w:eastAsia="方正小标宋_GBK" w:cs="方正小标宋_GBK"/>
          <w:color w:val="auto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jc w:val="center"/>
        <w:textAlignment w:val="auto"/>
        <w:rPr>
          <w:rFonts w:hint="eastAsia" w:ascii="Times New Roman" w:hAnsi="Times New Roman" w:eastAsia="方正小标宋_GBK" w:cs="方正小标宋_GBK"/>
          <w:color w:val="auto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jc w:val="center"/>
        <w:textAlignment w:val="auto"/>
        <w:rPr>
          <w:rFonts w:hint="eastAsia" w:ascii="Times New Roman" w:hAnsi="Times New Roman" w:eastAsia="方正小标宋_GBK" w:cs="方正小标宋_GBK"/>
          <w:color w:val="auto"/>
          <w:sz w:val="44"/>
          <w:szCs w:val="44"/>
        </w:rPr>
      </w:pPr>
      <w:r>
        <w:rPr>
          <w:rFonts w:hint="eastAsia" w:ascii="Times New Roman" w:hAnsi="Times New Roman" w:eastAsia="方正小标宋_GBK" w:cs="方正小标宋_GBK"/>
          <w:color w:val="auto"/>
          <w:sz w:val="44"/>
          <w:szCs w:val="44"/>
        </w:rPr>
        <w:t>稳中求进启新程 提质增效强动能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jc w:val="center"/>
        <w:textAlignment w:val="auto"/>
        <w:rPr>
          <w:rFonts w:hint="eastAsia" w:ascii="Times New Roman" w:hAnsi="Times New Roman" w:eastAsia="方正小标宋_GBK" w:cs="方正小标宋_GBK"/>
          <w:color w:val="auto"/>
          <w:sz w:val="44"/>
          <w:szCs w:val="44"/>
        </w:rPr>
      </w:pPr>
      <w:r>
        <w:rPr>
          <w:rFonts w:hint="eastAsia" w:ascii="Times New Roman" w:hAnsi="Times New Roman" w:eastAsia="方正小标宋_GBK" w:cs="方正小标宋_GBK"/>
          <w:color w:val="auto"/>
          <w:sz w:val="44"/>
          <w:szCs w:val="44"/>
        </w:rPr>
        <w:t>乘势而上推动高质量发展再攀新高点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jc w:val="center"/>
        <w:textAlignment w:val="auto"/>
        <w:rPr>
          <w:rFonts w:hint="eastAsia" w:ascii="Times New Roman" w:hAnsi="Times New Roman" w:eastAsia="楷体_GB2312" w:cs="楷体_GB2312"/>
          <w:color w:val="auto"/>
          <w:sz w:val="32"/>
          <w:szCs w:val="32"/>
        </w:rPr>
      </w:pPr>
      <w:r>
        <w:rPr>
          <w:rFonts w:hint="eastAsia" w:ascii="Times New Roman" w:hAnsi="Times New Roman" w:eastAsia="楷体_GB2312" w:cs="楷体_GB2312"/>
          <w:color w:val="auto"/>
          <w:sz w:val="32"/>
          <w:szCs w:val="32"/>
        </w:rPr>
        <w:t>——在2026</w:t>
      </w:r>
      <w:r>
        <w:rPr>
          <w:rFonts w:hint="eastAsia" w:ascii="Times New Roman" w:hAnsi="Times New Roman" w:eastAsia="楷体_GB2312" w:cs="楷体_GB2312"/>
          <w:color w:val="auto"/>
          <w:sz w:val="32"/>
          <w:szCs w:val="32"/>
          <w:lang w:val="en-US" w:eastAsia="zh-CN"/>
        </w:rPr>
        <w:t>年</w:t>
      </w:r>
      <w:r>
        <w:rPr>
          <w:rFonts w:hint="eastAsia" w:ascii="Times New Roman" w:hAnsi="Times New Roman" w:eastAsia="楷体_GB2312" w:cs="楷体_GB2312"/>
          <w:color w:val="auto"/>
          <w:sz w:val="32"/>
          <w:szCs w:val="32"/>
        </w:rPr>
        <w:t>党建暨经营管理工作会议上的讲话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jc w:val="center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李新彬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jc w:val="center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（2026年2月6日）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textAlignment w:val="auto"/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textAlignment w:val="auto"/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同志们：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/>
        <w:textAlignment w:val="auto"/>
        <w:rPr>
          <w:rFonts w:hint="default" w:ascii="Times New Roman" w:hAnsi="Times New Roman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这次会议的主要任务是，</w:t>
      </w:r>
      <w:r>
        <w:rPr>
          <w:rFonts w:hint="eastAsia" w:ascii="Times New Roman" w:hAnsi="Times New Roman" w:eastAsia="仿宋_GB2312" w:cs="仿宋_GB2312"/>
          <w:color w:val="auto"/>
          <w:spacing w:val="0"/>
          <w:kern w:val="2"/>
          <w:sz w:val="32"/>
          <w:szCs w:val="32"/>
          <w:highlight w:val="none"/>
          <w:lang w:val="en-US" w:eastAsia="zh-CN"/>
        </w:rPr>
        <w:t>全面贯彻党中央和省委决策部署，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认真落实总行重要会议精神，总结去年工作，立足形势发展，安排部署今年重点任务，推动</w:t>
      </w:r>
      <w:r>
        <w:rPr>
          <w:rFonts w:hint="eastAsia" w:ascii="Times New Roman" w:hAnsi="Times New Roman" w:eastAsia="仿宋_GB2312" w:cs="仿宋_GB2312"/>
          <w:color w:val="auto"/>
          <w:spacing w:val="0"/>
          <w:kern w:val="2"/>
          <w:sz w:val="32"/>
          <w:szCs w:val="32"/>
          <w:lang w:val="en-US" w:eastAsia="zh-CN"/>
        </w:rPr>
        <w:t>江苏分行高质量发展再攀新高点。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下面我讲四个方面意见。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eastAsia" w:ascii="Times New Roman" w:hAnsi="Times New Roman" w:eastAsia="黑体" w:cs="黑体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一、深刻领会总行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党建暨经营管理工作会议</w:t>
      </w: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精神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90" w:lineRule="exact"/>
        <w:ind w:left="0" w:right="0" w:firstLine="640"/>
        <w:jc w:val="both"/>
        <w:textAlignment w:val="auto"/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lang w:val="en-US" w:eastAsia="zh-CN" w:bidi="ar"/>
        </w:rPr>
        <w:t>1月27日至28日，总行召开2026年党建暨经营管理工作会议。党委书记、董事长廖林出席会议并讲话，党委副书记、行长刘珺作工作报告。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90" w:lineRule="exact"/>
        <w:ind w:left="0" w:right="0" w:firstLine="640"/>
        <w:jc w:val="both"/>
        <w:textAlignment w:val="auto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  <w:r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lang w:val="en-US" w:eastAsia="zh-CN" w:bidi="ar"/>
        </w:rPr>
        <w:t>廖董事长在讲话中充分肯定全行2025年工作成绩，主要是</w:t>
      </w:r>
      <w:r>
        <w:rPr>
          <w:rFonts w:hint="eastAsia" w:ascii="Times New Roman" w:hAnsi="Times New Roman" w:eastAsia="楷体_GB2312" w:cs="楷体_GB2312"/>
          <w:b/>
          <w:bCs/>
          <w:color w:val="auto"/>
          <w:spacing w:val="0"/>
          <w:kern w:val="0"/>
          <w:sz w:val="32"/>
          <w:szCs w:val="32"/>
          <w:lang w:val="en-US" w:eastAsia="zh-CN" w:bidi="ar"/>
        </w:rPr>
        <w:t>党建引领进一步强化，“五个确保”目标任务顺利完成，“三场攻坚战”成效显著，“六项重点工作”亮点纷呈</w:t>
      </w:r>
      <w:r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lang w:val="en-US" w:eastAsia="zh-CN" w:bidi="ar"/>
        </w:rPr>
        <w:t>，同时指出全行“十四五”规划圆满收官，价值创造力、市场竞争力、市场影响力、风险管控力跃上新台阶。实践中，全行对做好大行工作又有新认识和体会，廖董事长总结为</w:t>
      </w:r>
      <w:r>
        <w:rPr>
          <w:rFonts w:hint="eastAsia" w:ascii="Times New Roman" w:hAnsi="Times New Roman" w:eastAsia="楷体_GB2312" w:cs="楷体_GB2312"/>
          <w:b/>
          <w:bCs/>
          <w:color w:val="auto"/>
          <w:spacing w:val="0"/>
          <w:kern w:val="0"/>
          <w:sz w:val="32"/>
          <w:szCs w:val="32"/>
          <w:lang w:val="en-US" w:eastAsia="zh-CN" w:bidi="ar"/>
        </w:rPr>
        <w:t>“五个必须”，即必须坚持党建引领，必须坚持领军银行标准，必须坚持统筹发展和安全，必须坚持平衡稳健经营，必须坚持守正创新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kern w:val="0"/>
          <w:sz w:val="32"/>
          <w:szCs w:val="32"/>
          <w:lang w:val="en-US" w:eastAsia="zh-CN" w:bidi="ar"/>
        </w:rPr>
        <w:t>。</w:t>
      </w:r>
      <w:r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lang w:val="en-US" w:eastAsia="zh-CN" w:bidi="ar"/>
        </w:rPr>
        <w:t>廖董事长强调，“十五五”时期是全行开创一流新局面、拓展领军新优势的关键时期，</w:t>
      </w:r>
      <w:r>
        <w:rPr>
          <w:rFonts w:hint="eastAsia" w:ascii="Times New Roman" w:hAnsi="Times New Roman" w:eastAsia="楷体_GB2312" w:cs="楷体_GB2312"/>
          <w:b/>
          <w:bCs/>
          <w:color w:val="auto"/>
          <w:spacing w:val="0"/>
          <w:kern w:val="0"/>
          <w:sz w:val="32"/>
          <w:szCs w:val="32"/>
          <w:lang w:val="en-US" w:eastAsia="zh-CN" w:bidi="ar"/>
        </w:rPr>
        <w:t>要锚定一流目标，打造一流银行；立足主力军、压舱石、领头雁、标杆行四大定位，打造领军银行；坚持党建引领，强化正风肃纪反腐，打造清廉银行；推进五化转型，打造现代银行。</w:t>
      </w:r>
      <w:r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lang w:val="en-US" w:eastAsia="zh-CN" w:bidi="ar"/>
        </w:rPr>
        <w:t>廖董事长要求，2026年全行要落实好“做强做优做大国有企业和国有资本”重要要求，在做强主业、做优质效、做大贡献上当领军。突出做好“六个提升”重点工作。</w:t>
      </w:r>
      <w:r>
        <w:rPr>
          <w:rFonts w:hint="eastAsia" w:ascii="Times New Roman" w:hAnsi="Times New Roman" w:eastAsia="楷体_GB2312" w:cs="楷体_GB2312"/>
          <w:b/>
          <w:bCs/>
          <w:color w:val="auto"/>
          <w:spacing w:val="0"/>
          <w:kern w:val="0"/>
          <w:sz w:val="32"/>
          <w:szCs w:val="32"/>
          <w:lang w:val="en-US" w:eastAsia="zh-CN" w:bidi="ar"/>
        </w:rPr>
        <w:t>一是</w:t>
      </w:r>
      <w:r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lang w:val="en-US" w:eastAsia="zh-CN" w:bidi="ar"/>
        </w:rPr>
        <w:t>提升防风险成效，推动全面风险管理取得新进步。</w:t>
      </w:r>
      <w:r>
        <w:rPr>
          <w:rFonts w:hint="eastAsia" w:ascii="Times New Roman" w:hAnsi="Times New Roman" w:eastAsia="楷体_GB2312" w:cs="楷体_GB2312"/>
          <w:b/>
          <w:bCs/>
          <w:color w:val="auto"/>
          <w:spacing w:val="0"/>
          <w:kern w:val="0"/>
          <w:sz w:val="32"/>
          <w:szCs w:val="32"/>
          <w:lang w:val="en-US" w:eastAsia="zh-CN" w:bidi="ar"/>
        </w:rPr>
        <w:t>二是</w:t>
      </w:r>
      <w:r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lang w:val="en-US" w:eastAsia="zh-CN" w:bidi="ar"/>
        </w:rPr>
        <w:t>提升强合规能力，确保内控案防实现新跃升。</w:t>
      </w:r>
      <w:r>
        <w:rPr>
          <w:rFonts w:hint="eastAsia" w:ascii="Times New Roman" w:hAnsi="Times New Roman" w:eastAsia="楷体_GB2312" w:cs="楷体_GB2312"/>
          <w:b/>
          <w:bCs/>
          <w:color w:val="auto"/>
          <w:spacing w:val="0"/>
          <w:kern w:val="0"/>
          <w:sz w:val="32"/>
          <w:szCs w:val="32"/>
          <w:lang w:val="en-US" w:eastAsia="zh-CN" w:bidi="ar"/>
        </w:rPr>
        <w:t>三是</w:t>
      </w:r>
      <w:r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lang w:val="en-US" w:eastAsia="zh-CN" w:bidi="ar"/>
        </w:rPr>
        <w:t>提升高质量发展能级，展现服务现代化新担当。</w:t>
      </w:r>
      <w:r>
        <w:rPr>
          <w:rFonts w:hint="eastAsia" w:ascii="Times New Roman" w:hAnsi="Times New Roman" w:eastAsia="楷体_GB2312" w:cs="楷体_GB2312"/>
          <w:b/>
          <w:bCs/>
          <w:color w:val="auto"/>
          <w:spacing w:val="0"/>
          <w:kern w:val="0"/>
          <w:sz w:val="32"/>
          <w:szCs w:val="32"/>
          <w:lang w:val="en-US" w:eastAsia="zh-CN" w:bidi="ar"/>
        </w:rPr>
        <w:t>四是</w:t>
      </w:r>
      <w:r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lang w:val="en-US" w:eastAsia="zh-CN" w:bidi="ar"/>
        </w:rPr>
        <w:t>提升高品质服务价值，打造共生共赢新生态。</w:t>
      </w:r>
      <w:r>
        <w:rPr>
          <w:rFonts w:hint="eastAsia" w:ascii="Times New Roman" w:hAnsi="Times New Roman" w:eastAsia="楷体_GB2312" w:cs="楷体_GB2312"/>
          <w:b/>
          <w:bCs/>
          <w:color w:val="auto"/>
          <w:spacing w:val="0"/>
          <w:kern w:val="0"/>
          <w:sz w:val="32"/>
          <w:szCs w:val="32"/>
          <w:lang w:val="en-US" w:eastAsia="zh-CN" w:bidi="ar"/>
        </w:rPr>
        <w:t>五是</w:t>
      </w:r>
      <w:r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lang w:val="en-US" w:eastAsia="zh-CN" w:bidi="ar"/>
        </w:rPr>
        <w:t>提升高水平开放格局，开创全球协同新局面。</w:t>
      </w:r>
      <w:r>
        <w:rPr>
          <w:rFonts w:hint="eastAsia" w:ascii="Times New Roman" w:hAnsi="Times New Roman" w:eastAsia="楷体_GB2312" w:cs="楷体_GB2312"/>
          <w:b/>
          <w:bCs/>
          <w:color w:val="auto"/>
          <w:spacing w:val="0"/>
          <w:kern w:val="0"/>
          <w:sz w:val="32"/>
          <w:szCs w:val="32"/>
          <w:lang w:val="en-US" w:eastAsia="zh-CN" w:bidi="ar"/>
        </w:rPr>
        <w:t>六是</w:t>
      </w:r>
      <w:r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lang w:val="en-US" w:eastAsia="zh-CN" w:bidi="ar"/>
        </w:rPr>
        <w:t>提升高效能改革质效，激发创新创造新活力。廖董事长最后强调，</w:t>
      </w:r>
      <w:r>
        <w:rPr>
          <w:rFonts w:hint="eastAsia" w:ascii="Times New Roman" w:hAnsi="Times New Roman" w:eastAsia="楷体_GB2312" w:cs="楷体_GB2312"/>
          <w:b/>
          <w:bCs/>
          <w:color w:val="auto"/>
          <w:spacing w:val="0"/>
          <w:kern w:val="0"/>
          <w:sz w:val="32"/>
          <w:szCs w:val="32"/>
          <w:lang w:val="en-US" w:eastAsia="zh-CN" w:bidi="ar"/>
        </w:rPr>
        <w:t>要全面加强党的领导和党的建设，以更高标准、更实举措推进全面从严治党从严治行</w:t>
      </w:r>
      <w:r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lang w:val="en-US" w:eastAsia="zh-CN" w:bidi="ar"/>
        </w:rPr>
        <w:t>。坚持党中央对金融工作的集中统一领导，树立和践行正确政绩观，抓好“一张表”贯通整改，强化正风肃纪反腐，建设过硬干部人才队伍。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90" w:lineRule="exact"/>
        <w:ind w:left="0" w:right="0" w:firstLine="664"/>
        <w:jc w:val="both"/>
        <w:textAlignment w:val="auto"/>
        <w:rPr>
          <w:rFonts w:hint="default" w:ascii="Times New Roman" w:hAnsi="Times New Roman" w:cs="Calibri"/>
          <w:color w:val="auto"/>
          <w:sz w:val="32"/>
          <w:szCs w:val="32"/>
        </w:rPr>
      </w:pPr>
      <w:r>
        <w:rPr>
          <w:rFonts w:hint="eastAsia" w:ascii="Times New Roman" w:hAnsi="Times New Roman" w:eastAsia="仿宋_GB2312" w:cs="仿宋_GB2312"/>
          <w:color w:val="auto"/>
          <w:spacing w:val="6"/>
          <w:kern w:val="0"/>
          <w:sz w:val="32"/>
          <w:szCs w:val="32"/>
          <w:lang w:val="en-US" w:eastAsia="zh-CN" w:bidi="ar"/>
        </w:rPr>
        <w:t>刘珺行长分析了2025年全行经营发展情况，安排了2026年经营重点任务，强调要以积极有为的“进”促进更高质量的“稳”。</w:t>
      </w:r>
      <w:r>
        <w:rPr>
          <w:rFonts w:hint="eastAsia" w:ascii="Times New Roman" w:hAnsi="Times New Roman" w:eastAsia="楷体_GB2312" w:cs="楷体_GB2312"/>
          <w:b/>
          <w:bCs/>
          <w:color w:val="auto"/>
          <w:spacing w:val="6"/>
          <w:kern w:val="0"/>
          <w:sz w:val="32"/>
          <w:szCs w:val="32"/>
          <w:lang w:val="en-US" w:eastAsia="zh-CN" w:bidi="ar"/>
        </w:rPr>
        <w:t>要加快推进产品客户对位，</w:t>
      </w:r>
      <w:r>
        <w:rPr>
          <w:rFonts w:hint="eastAsia" w:ascii="Times New Roman" w:hAnsi="Times New Roman" w:eastAsia="仿宋_GB2312" w:cs="仿宋_GB2312"/>
          <w:color w:val="auto"/>
          <w:spacing w:val="6"/>
          <w:kern w:val="0"/>
          <w:sz w:val="32"/>
          <w:szCs w:val="32"/>
          <w:lang w:val="en-US" w:eastAsia="zh-CN" w:bidi="ar"/>
        </w:rPr>
        <w:t>聚焦全量客户、全量产品、对位营销、贡献计量，通过深度洞察提升客户清单精准性、通过模块式组合提升产品设计适应性、通过渠道和队伍整合提升营销服务综合性、通过科学计价分润提升贡献计算精准性，推动在客户和产品之间建立显性连接，持续提升“为产品找客户”“为客户配产品”能力。</w:t>
      </w:r>
      <w:r>
        <w:rPr>
          <w:rFonts w:hint="eastAsia" w:ascii="Times New Roman" w:hAnsi="Times New Roman" w:eastAsia="楷体_GB2312" w:cs="楷体_GB2312"/>
          <w:b/>
          <w:bCs/>
          <w:color w:val="auto"/>
          <w:spacing w:val="6"/>
          <w:kern w:val="0"/>
          <w:sz w:val="32"/>
          <w:szCs w:val="32"/>
          <w:lang w:val="en-US" w:eastAsia="zh-CN" w:bidi="ar"/>
        </w:rPr>
        <w:t>要把准开局之年经营着力点，</w:t>
      </w:r>
      <w:r>
        <w:rPr>
          <w:rFonts w:hint="eastAsia" w:ascii="Times New Roman" w:hAnsi="Times New Roman" w:eastAsia="仿宋_GB2312" w:cs="仿宋_GB2312"/>
          <w:color w:val="auto"/>
          <w:spacing w:val="6"/>
          <w:kern w:val="0"/>
          <w:sz w:val="32"/>
          <w:szCs w:val="32"/>
          <w:lang w:val="en-US" w:eastAsia="zh-CN" w:bidi="ar"/>
        </w:rPr>
        <w:t>突出守牢底线，加固全面风险管理体系，有效防范化解重点领域风险；突出精准有力，靠前对接一揽子政策，支持巩固经济稳中向好态势；突出循环畅通，加力支持人民币国际化，助力扩大高水平对外开放；突出苦练内功，持续深化改革创新和经营转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eastAsia" w:ascii="Times New Roman" w:hAnsi="Times New Roman" w:eastAsia="黑体" w:cs="黑体"/>
          <w:color w:val="auto"/>
          <w:sz w:val="32"/>
          <w:szCs w:val="32"/>
        </w:rPr>
      </w:pP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廖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董事长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的讲话和刘珺行长的分析，为我们做好全年工作指明了方向，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eastAsia="zh-CN"/>
        </w:rPr>
        <w:t>我们一定要透彻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</w:rPr>
        <w:t>理解总行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eastAsia="zh-CN"/>
        </w:rPr>
        <w:t>对全局、对全行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</w:rPr>
        <w:t>的判断，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eastAsia="zh-CN"/>
        </w:rPr>
        <w:t>并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</w:rPr>
        <w:t>结合江苏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eastAsia="zh-CN"/>
        </w:rPr>
        <w:t>、结合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</w:rPr>
        <w:t>地市行的实际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准确把握实质、坚决贯彻落实。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eastAsia" w:ascii="Times New Roman" w:hAnsi="Times New Roman" w:eastAsia="黑体" w:cs="黑体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二、坚定信心、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用好优势、</w:t>
      </w: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应对挑战</w:t>
      </w:r>
    </w:p>
    <w:p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对江苏分行来说，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2025年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很不平凡。一年来全行团结拼搏、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顶压前行，交出了一份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向新向优的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高质量发展答卷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省行党委在年初经营分析会上已对此作了详细总结，概括来说，就是</w:t>
      </w:r>
      <w:r>
        <w:rPr>
          <w:rFonts w:hint="eastAsia" w:ascii="Times New Roman" w:hAnsi="Times New Roman" w:eastAsia="黑体" w:cs="黑体"/>
          <w:color w:val="auto"/>
          <w:spacing w:val="0"/>
          <w:sz w:val="32"/>
          <w:szCs w:val="32"/>
          <w:highlight w:val="none"/>
          <w:lang w:val="en-US" w:eastAsia="zh-CN"/>
        </w:rPr>
        <w:t>“三个提升”</w:t>
      </w:r>
      <w:r>
        <w:rPr>
          <w:rFonts w:hint="eastAsia" w:ascii="Times New Roman" w:hAnsi="Times New Roman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3" w:firstLineChars="200"/>
        <w:textAlignment w:val="auto"/>
        <w:rPr>
          <w:rFonts w:hint="default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楷体_GB2312" w:cs="楷体_GB2312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  <w:t>一是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highlight w:val="none"/>
          <w:lang w:val="en-US" w:eastAsia="zh-CN"/>
        </w:rPr>
        <w:t>价值创造力提升。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  <w:t>营收创历史新高，手佣净收入保持系统、同业“双第一”，“两收”“两利”系统贡献全面提升。“两率”管理成效明显，存贷利差提升至四行第一，存款付息率降至四行最低。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highlight w:val="none"/>
          <w:lang w:val="en-US" w:eastAsia="zh-CN"/>
        </w:rPr>
        <w:t>南通、盐城、徐州、泰州、镇江、淮安、连云港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  <w:t>7家分行实现四项效益指标正增长。</w:t>
      </w:r>
    </w:p>
    <w:p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3" w:firstLineChars="200"/>
        <w:textAlignment w:val="auto"/>
        <w:rPr>
          <w:rFonts w:hint="default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楷体_GB2312" w:cs="楷体_GB2312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  <w:t>二是市场竞争力提升。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  <w:t>存量高息资金全部出清，并实现一般性存款增量四行第二，份额提升0.12个百分点。其中，储蓄存款完成总行“1121”工程T1目标，日均余额四行占比连续三年提升；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公司存款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  <w:t>逆势夺回四行第一；机构存款时点增量四行第二。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highlight w:val="none"/>
          <w:lang w:val="en-US" w:eastAsia="zh-CN"/>
        </w:rPr>
        <w:t>南京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  <w:t>分行一般性存款余额保持四行第一，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highlight w:val="none"/>
          <w:lang w:val="en-US" w:eastAsia="zh-CN"/>
        </w:rPr>
        <w:t>连云港、常州、南通、盐城、镇江、宿迁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  <w:t>6家分行存款增量四行前二。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kern w:val="2"/>
          <w:sz w:val="32"/>
          <w:szCs w:val="32"/>
          <w:highlight w:val="none"/>
          <w:lang w:val="en-US" w:eastAsia="zh-CN" w:bidi="ar-SA"/>
        </w:rPr>
        <w:t>全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kern w:val="2"/>
          <w:sz w:val="32"/>
          <w:szCs w:val="32"/>
          <w:lang w:val="en-US" w:eastAsia="zh-CN" w:bidi="ar-SA"/>
        </w:rPr>
        <w:t>行本外币各项贷款、人民币各项贷款、实质性贷款、公司贷款余额和增量均实现系统、同业第一，制造业、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  <w:t>普惠贷款增量实现系统、四行第一。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highlight w:val="none"/>
          <w:lang w:val="en-US" w:eastAsia="zh-CN"/>
        </w:rPr>
        <w:t>南京、常州、南通、无锡、淮安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  <w:t>5家分行人民币各项贷款增量列四行第一，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highlight w:val="none"/>
          <w:lang w:val="en-US" w:eastAsia="zh-CN"/>
        </w:rPr>
        <w:t>12家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  <w:t>分行均实现实质性贷款市场份额较年初提升。</w:t>
      </w:r>
    </w:p>
    <w:p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3" w:firstLineChars="200"/>
        <w:textAlignment w:val="auto"/>
        <w:rPr>
          <w:rFonts w:hint="default" w:ascii="Times New Roman" w:hAnsi="Times New Roman" w:eastAsia="黑体" w:cs="黑体"/>
          <w:b w:val="0"/>
          <w:bCs w:val="0"/>
          <w:i w:val="0"/>
          <w:iCs w:val="0"/>
          <w:caps w:val="0"/>
          <w:color w:val="auto"/>
          <w:spacing w:val="-6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_GB2312" w:cs="楷体_GB2312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  <w:t>三是可持续发展能力提升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  <w:t>。客户基础持续夯实，机构客户、法人有贷户、超高净值私银客户净增系统第一，新开对公结算账户、新开基本户、国际业务有效客户净增四行第一。投放结构持续优化，中型客户增长17.7%，专精特新覆盖率提升29个百分点。</w:t>
      </w:r>
      <w:r>
        <w:rPr>
          <w:rFonts w:hint="eastAsia" w:ascii="Times New Roman" w:hAnsi="Times New Roman" w:eastAsia="仿宋_GB2312" w:cs="仿宋_GB2312"/>
          <w:i w:val="0"/>
          <w:iCs w:val="0"/>
          <w:caps w:val="0"/>
          <w:color w:val="auto"/>
          <w:spacing w:val="0"/>
          <w:sz w:val="32"/>
          <w:szCs w:val="32"/>
          <w:highlight w:val="none"/>
          <w:lang w:val="en-US" w:eastAsia="zh-CN"/>
        </w:rPr>
        <w:t>年末不良率0.80%，资产质量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  <w:t>保持同业较优水平；</w:t>
      </w:r>
      <w:r>
        <w:rPr>
          <w:rFonts w:hint="eastAsia" w:ascii="Times New Roman" w:hAnsi="Times New Roman" w:eastAsia="黑体" w:cs="黑体"/>
          <w:b w:val="0"/>
          <w:bCs w:val="0"/>
          <w:color w:val="auto"/>
          <w:spacing w:val="0"/>
          <w:kern w:val="2"/>
          <w:sz w:val="32"/>
          <w:szCs w:val="32"/>
          <w:lang w:val="en-US" w:eastAsia="zh-CN" w:bidi="ar-SA"/>
        </w:rPr>
        <w:t>常州、盐城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kern w:val="2"/>
          <w:sz w:val="32"/>
          <w:szCs w:val="32"/>
          <w:lang w:val="en-US" w:eastAsia="zh-CN" w:bidi="ar-SA"/>
        </w:rPr>
        <w:t>2家分行不良额、不良率实现“双降”。</w:t>
      </w:r>
    </w:p>
    <w:p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这一年，我们排除干扰，笃定前行，坚持从严治理和改革增动能，推进高质量发展基础更实、成色更足、内涵更丰富。在总行评价中，我们2025年度KPI考核系统第二、等级行评定一类第二。</w:t>
      </w:r>
    </w:p>
    <w:p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拉长纵深看，</w:t>
      </w:r>
      <w:r>
        <w:rPr>
          <w:rFonts w:hint="eastAsia" w:ascii="Times New Roman" w:hAnsi="Times New Roman" w:eastAsia="黑体" w:cs="黑体"/>
          <w:b w:val="0"/>
          <w:bCs w:val="0"/>
          <w:color w:val="auto"/>
          <w:sz w:val="32"/>
          <w:szCs w:val="32"/>
          <w:lang w:val="en-US" w:eastAsia="zh-CN"/>
        </w:rPr>
        <w:t>去年的成功实践巩固拓展了我们领军强行的基础和优势，也坚定了我们夺取新一年胜利的信心和决心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。成绩来之不易，是总行党委坚强领导的结果，是监管部门和有关单位指导帮助的结果，更是全行干部员工砥砺奋进、拼搏奋斗的结果。在此，我谨代表省行党委，向江苏金融监管局、内审南京分局等有关单位，以及全行干部员工表达衷心的感谢！</w:t>
      </w:r>
    </w:p>
    <w:p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</w:rPr>
      </w:pP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察势者明，明势者智。取得成绩的同时，我们也要拓宽视野，看基本面、看前瞻趋势、看自身短板。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从外部看，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</w:rPr>
        <w:t>机遇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和挑战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</w:rPr>
        <w:t>并存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。</w:t>
      </w:r>
      <w:r>
        <w:rPr>
          <w:rFonts w:hint="eastAsia" w:ascii="Times New Roman" w:hAnsi="Times New Roman" w:eastAsia="仿宋_GB2312" w:cs="仿宋_GB2312"/>
          <w:b w:val="0"/>
          <w:bCs/>
          <w:color w:val="auto"/>
          <w:sz w:val="32"/>
          <w:szCs w:val="32"/>
          <w:lang w:val="en-US" w:eastAsia="zh-CN"/>
        </w:rPr>
        <w:t>中美经贸关系出现阶段性缓和，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世界经济有望延续温和增长态势，</w:t>
      </w:r>
      <w:r>
        <w:rPr>
          <w:rFonts w:hint="eastAsia" w:ascii="Times New Roman" w:hAnsi="Times New Roman" w:eastAsia="仿宋_GB2312" w:cs="仿宋_GB2312"/>
          <w:b w:val="0"/>
          <w:bCs/>
          <w:color w:val="auto"/>
          <w:sz w:val="32"/>
          <w:szCs w:val="32"/>
          <w:lang w:val="en-US" w:eastAsia="zh-CN"/>
        </w:rPr>
        <w:t>这些对外贸大省有正向作用。江苏实体经济规模大、韧性强，科技创新氛围日益浓厚，新质生产力发展势头良好，经历关税战、贸易战锤炼，发展的特色优势得到进一步巩固和拓展。今年全省GDP将按增长5%安排，并努力争取更好结果。围绕这一目标，各项稳增长、调结构、促转型政策将进一步集成实施、协同发力。这为做好金融工作提供了有利条件。但同时也要认识到，大国博弈还将长期持续，国内供强需弱矛盾依然突出，部分行业产能过剩严重，重点领域风险隐患还很多，这些江苏都有其表现，有些受冲击更深。全省美国市场订单下滑幅度较大，非美市场的贸易壁垒增多；居民消费增长后劲不足，固定资产投资降幅深于全国；房地产市场仍在深度调整，止跌企稳还需时日；部分企业经营困难，一些地方财政收支矛盾突出，债务风险化解压力较大。这对做好银行工作提出了更高要求。</w:t>
      </w:r>
      <w:r>
        <w:rPr>
          <w:rFonts w:hint="eastAsia" w:ascii="Times New Roman" w:hAnsi="Times New Roman" w:eastAsia="楷体_GB2312" w:cs="楷体_GB2312"/>
          <w:b/>
          <w:bCs w:val="0"/>
          <w:color w:val="auto"/>
          <w:sz w:val="32"/>
          <w:szCs w:val="32"/>
          <w:lang w:val="en-US" w:eastAsia="zh-CN"/>
        </w:rPr>
        <w:t>从内部看</w:t>
      </w:r>
      <w:r>
        <w:rPr>
          <w:rFonts w:hint="eastAsia" w:ascii="Times New Roman" w:hAnsi="Times New Roman" w:eastAsia="仿宋_GB2312" w:cs="仿宋_GB2312"/>
          <w:b w:val="0"/>
          <w:bCs/>
          <w:color w:val="auto"/>
          <w:sz w:val="32"/>
          <w:szCs w:val="32"/>
          <w:lang w:val="en-US" w:eastAsia="zh-CN"/>
        </w:rPr>
        <w:t>，也存在一些不适应的地方。</w:t>
      </w:r>
      <w:r>
        <w:rPr>
          <w:rFonts w:hint="eastAsia" w:ascii="Times New Roman" w:hAnsi="Times New Roman" w:eastAsia="仿宋_GB2312" w:cs="仿宋_GB2312"/>
          <w:bCs/>
          <w:color w:val="auto"/>
          <w:sz w:val="32"/>
          <w:szCs w:val="32"/>
          <w:lang w:val="en-US" w:eastAsia="zh-CN"/>
        </w:rPr>
        <w:t>突出表现在：系统地位需要新的规模和贡献支撑；改革创新需要提质提效，特别是数字化转型需要加快；质量管控面临较大压力；强监管、严问责、重处罚环境下合规经营承压。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我们要</w:t>
      </w:r>
      <w:r>
        <w:rPr>
          <w:rFonts w:hint="eastAsia" w:ascii="Times New Roman" w:hAnsi="Times New Roman" w:eastAsia="黑体" w:cs="黑体"/>
          <w:b w:val="0"/>
          <w:bCs w:val="0"/>
          <w:color w:val="auto"/>
          <w:sz w:val="32"/>
          <w:szCs w:val="32"/>
          <w:lang w:val="en-US" w:eastAsia="zh-CN"/>
        </w:rPr>
        <w:t>因地制宜用好经济大省的发展机遇、潜力和优势，以苦练内功应对外部挑战，以自身发展的确定性应对外部环境的不确定性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eastAsia" w:ascii="Times New Roman" w:hAnsi="Times New Roman" w:eastAsia="黑体" w:cs="黑体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三、2026年工作安排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eastAsia" w:ascii="Times New Roman" w:hAnsi="Times New Roman" w:eastAsia="黑体" w:cs="黑体"/>
          <w:color w:val="auto"/>
          <w:sz w:val="32"/>
          <w:szCs w:val="32"/>
        </w:rPr>
      </w:pP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今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年是“十五五”开局之年，也是我们实施三年规划承上启下的关键之年。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全行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要</w:t>
      </w: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坚持以习近平新时代中国特色社会主义思想为指导，把思想和行动统一到党中央的科学判断和决策部署上，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聚焦</w:t>
      </w:r>
      <w:r>
        <w:rPr>
          <w:rFonts w:hint="eastAsia" w:ascii="Times New Roman" w:hAnsi="Times New Roman" w:eastAsia="黑体" w:cs="黑体"/>
          <w:b w:val="0"/>
          <w:bCs w:val="0"/>
          <w:color w:val="auto"/>
          <w:sz w:val="32"/>
          <w:szCs w:val="32"/>
          <w:lang w:val="en-US" w:eastAsia="zh-CN"/>
        </w:rPr>
        <w:t>“</w:t>
      </w:r>
      <w:r>
        <w:rPr>
          <w:rFonts w:hint="eastAsia" w:ascii="Times New Roman" w:hAnsi="Times New Roman" w:eastAsia="黑体" w:cs="黑体"/>
          <w:b w:val="0"/>
          <w:bCs w:val="0"/>
          <w:color w:val="auto"/>
          <w:sz w:val="32"/>
          <w:szCs w:val="32"/>
        </w:rPr>
        <w:t>防风险、强监管、促高质量发展”金融工作主线</w:t>
      </w:r>
      <w:r>
        <w:rPr>
          <w:rFonts w:hint="eastAsia" w:ascii="Times New Roman" w:hAnsi="Times New Roman" w:eastAsia="黑体" w:cs="黑体"/>
          <w:b w:val="0"/>
          <w:bCs w:val="0"/>
          <w:color w:val="auto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黑体" w:cs="黑体"/>
          <w:b w:val="0"/>
          <w:bCs w:val="0"/>
          <w:color w:val="auto"/>
          <w:sz w:val="32"/>
          <w:szCs w:val="32"/>
          <w:lang w:val="en-US" w:eastAsia="zh-CN"/>
        </w:rPr>
        <w:t>聚力党建引领、五化转型和“361”重点工作，</w:t>
      </w:r>
      <w:r>
        <w:rPr>
          <w:rFonts w:hint="eastAsia" w:ascii="Times New Roman" w:hAnsi="Times New Roman" w:eastAsia="黑体" w:cs="黑体"/>
          <w:b w:val="0"/>
          <w:bCs w:val="0"/>
          <w:color w:val="auto"/>
          <w:sz w:val="32"/>
          <w:szCs w:val="32"/>
        </w:rPr>
        <w:t>按照</w:t>
      </w: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“12345+6”整体安排，统筹推动总量扩大、结构优化、转型加速、价值提升，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以领军强行姿态奋力实现“十五五”良好开局，更好服务中国式现代化江苏新实践</w:t>
      </w: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其中，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1、2、3”是战略方向。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</w:rPr>
        <w:t>1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即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</w:rPr>
        <w:t>抓好一张蓝图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衔接一年目标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</w:rPr>
        <w:t>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保持战略定力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和韧劲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，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坚定不移朝着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“五先”特色的标杆旗舰分行、现代卓越强行迈进，将新三年规划确定的思路付诸行动、见诸成效。同时紧密</w:t>
      </w:r>
      <w:r>
        <w:rPr>
          <w:rFonts w:hint="eastAsia" w:ascii="Times New Roman" w:hAnsi="Times New Roman" w:eastAsia="仿宋_GB2312" w:cs="仿宋_GB2312"/>
          <w:color w:val="auto"/>
          <w:kern w:val="2"/>
          <w:sz w:val="32"/>
          <w:szCs w:val="32"/>
          <w:lang w:val="en-US" w:eastAsia="zh-CN" w:bidi="ar-SA"/>
        </w:rPr>
        <w:t>结合实际确定当期任务，识变应变优化策略，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集中力量把自己的事办好，实现第二曲线从启动布局向加速迭代有力跨越。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20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26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年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争取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highlight w:val="none"/>
        </w:rPr>
        <w:t>效益指标全面完成总行定位目标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highlight w:val="none"/>
          <w:lang w:val="en-US" w:eastAsia="zh-CN"/>
        </w:rPr>
        <w:t>，各项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highlight w:val="none"/>
        </w:rPr>
        <w:t>贷款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highlight w:val="none"/>
          <w:lang w:val="en-US" w:eastAsia="zh-CN"/>
        </w:rPr>
        <w:t>实质性贷款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highlight w:val="none"/>
        </w:rPr>
        <w:t>增量保持系统同业双领先，持续提升存款份额，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highlight w:val="none"/>
          <w:lang w:val="en-US" w:eastAsia="zh-CN"/>
        </w:rPr>
        <w:t>确保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highlight w:val="none"/>
        </w:rPr>
        <w:t>资产质量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highlight w:val="none"/>
          <w:lang w:val="en-US" w:eastAsia="zh-CN"/>
        </w:rPr>
        <w:t>稳定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highlight w:val="none"/>
          <w:lang w:eastAsia="zh-CN"/>
        </w:rPr>
        <w:t>、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highlight w:val="none"/>
        </w:rPr>
        <w:t>运营安全平稳，KPI和等级行考核排名系统领先。</w:t>
      </w:r>
    </w:p>
    <w:p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3" w:firstLineChars="200"/>
        <w:textAlignment w:val="auto"/>
        <w:rPr>
          <w:rFonts w:hint="default" w:ascii="Times New Roman" w:hAnsi="Times New Roman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</w:rPr>
        <w:t>2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即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</w:rPr>
        <w:t>依靠两大动力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锻强第二曲线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</w:rPr>
        <w:t>。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坚持</w:t>
      </w: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改革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增动能。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持续升级存量措施，加快推进增量改革，始终注重以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改革的思路和举措推动工作，善于用新产品、新模式、新业态打开市场、改善经营，提升市场竞争力。</w:t>
      </w:r>
      <w:r>
        <w:rPr>
          <w:rFonts w:hint="eastAsia" w:ascii="Times New Roman" w:hAnsi="Times New Roman" w:eastAsia="黑体" w:cs="黑体"/>
          <w:b w:val="0"/>
          <w:bCs w:val="0"/>
          <w:color w:val="auto"/>
          <w:sz w:val="32"/>
          <w:szCs w:val="32"/>
          <w:lang w:val="en-US" w:eastAsia="zh-CN"/>
        </w:rPr>
        <w:t>坚持人才增动力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。近两万名干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部员工是江苏分行最宝贵和能动性最强的资源，必须科学配置、激活潜能，多在选贤任能、育才聚才、优化结构上下功夫，提升人力资源边际效能。大力弘扬创新精神，鼓励创造性开展工作，以创造力提升执行力，切实提高发现和把握新市场的能力。</w:t>
      </w:r>
    </w:p>
    <w:p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3" w:firstLineChars="200"/>
        <w:textAlignment w:val="auto"/>
        <w:rPr>
          <w:rFonts w:hint="eastAsia" w:ascii="Times New Roman" w:hAnsi="Times New Roman" w:eastAsia="仿宋_GB2312" w:cs="仿宋_GB2312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</w:rPr>
        <w:t>3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即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</w:rPr>
        <w:t>紧抓三条主线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</w:rPr>
        <w:t>用好三维评价。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继续深耕</w:t>
      </w:r>
      <w:r>
        <w:rPr>
          <w:rFonts w:hint="eastAsia" w:ascii="Times New Roman" w:hAnsi="Times New Roman" w:eastAsia="黑体" w:cs="黑体"/>
          <w:b w:val="0"/>
          <w:bCs w:val="0"/>
          <w:color w:val="auto"/>
          <w:sz w:val="32"/>
          <w:szCs w:val="32"/>
          <w:lang w:val="en-US" w:eastAsia="zh-CN"/>
        </w:rPr>
        <w:t>县域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和</w:t>
      </w:r>
      <w:r>
        <w:rPr>
          <w:rFonts w:hint="eastAsia" w:ascii="Times New Roman" w:hAnsi="Times New Roman" w:eastAsia="黑体" w:cs="黑体"/>
          <w:b w:val="0"/>
          <w:bCs w:val="0"/>
          <w:color w:val="auto"/>
          <w:sz w:val="32"/>
          <w:szCs w:val="32"/>
          <w:lang w:val="en-US" w:eastAsia="zh-CN"/>
        </w:rPr>
        <w:t>制造业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，合力聚焦百强县和千强镇，强力推进</w:t>
      </w:r>
      <w:r>
        <w:rPr>
          <w:rFonts w:hint="eastAsia" w:ascii="Times New Roman" w:hAnsi="Times New Roman" w:eastAsia="黑体" w:cs="黑体"/>
          <w:b w:val="0"/>
          <w:bCs w:val="0"/>
          <w:color w:val="auto"/>
          <w:sz w:val="32"/>
          <w:szCs w:val="32"/>
          <w:lang w:val="en-US" w:eastAsia="zh-CN"/>
        </w:rPr>
        <w:t>数智化转型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，高效承接产业链群等下沉市场批量化、规模化需求，实现与客户、业务的深度耦合，激发乘数效应，提升获客和运营效能。过程中统筹用好</w:t>
      </w:r>
      <w:r>
        <w:rPr>
          <w:rFonts w:hint="eastAsia" w:ascii="Times New Roman" w:hAnsi="Times New Roman" w:eastAsia="仿宋_GB2312" w:cs="仿宋_GB2312"/>
          <w:color w:val="auto"/>
          <w:kern w:val="0"/>
          <w:sz w:val="32"/>
          <w:szCs w:val="32"/>
          <w:lang w:val="en-US" w:eastAsia="zh-CN" w:bidi="ar"/>
        </w:rPr>
        <w:t>考核“三支箭”，以</w:t>
      </w:r>
      <w:r>
        <w:rPr>
          <w:rFonts w:hint="eastAsia" w:ascii="Times New Roman" w:hAnsi="Times New Roman" w:eastAsia="黑体" w:cs="黑体"/>
          <w:b w:val="0"/>
          <w:bCs w:val="0"/>
          <w:color w:val="auto"/>
          <w:sz w:val="32"/>
          <w:szCs w:val="32"/>
          <w:lang w:val="en-US" w:eastAsia="zh-CN"/>
        </w:rPr>
        <w:t>KPI考核</w:t>
      </w:r>
      <w:r>
        <w:rPr>
          <w:rFonts w:hint="eastAsia" w:ascii="Times New Roman" w:hAnsi="Times New Roman" w:eastAsia="仿宋_GB2312" w:cs="仿宋_GB2312"/>
          <w:color w:val="auto"/>
          <w:kern w:val="0"/>
          <w:sz w:val="32"/>
          <w:szCs w:val="32"/>
          <w:lang w:val="en-US" w:eastAsia="zh-CN" w:bidi="ar"/>
        </w:rPr>
        <w:t>统领全局，传导落实高质量发展和高水平安全；以</w:t>
      </w:r>
      <w:r>
        <w:rPr>
          <w:rFonts w:hint="eastAsia" w:ascii="Times New Roman" w:hAnsi="Times New Roman" w:eastAsia="黑体" w:cs="黑体"/>
          <w:b w:val="0"/>
          <w:bCs w:val="0"/>
          <w:color w:val="auto"/>
          <w:sz w:val="32"/>
          <w:szCs w:val="32"/>
          <w:lang w:val="en-US" w:eastAsia="zh-CN"/>
        </w:rPr>
        <w:t>“十大工程”考核</w:t>
      </w:r>
      <w:r>
        <w:rPr>
          <w:rFonts w:hint="eastAsia" w:ascii="Times New Roman" w:hAnsi="Times New Roman" w:eastAsia="仿宋_GB2312" w:cs="仿宋_GB2312"/>
          <w:color w:val="auto"/>
          <w:kern w:val="0"/>
          <w:sz w:val="32"/>
          <w:szCs w:val="32"/>
          <w:lang w:val="en-US" w:eastAsia="zh-CN" w:bidi="ar"/>
        </w:rPr>
        <w:t>强化过程管理，着力补短板、强弱项；</w:t>
      </w:r>
      <w:r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lang w:val="en-US" w:eastAsia="zh-CN" w:bidi="ar"/>
        </w:rPr>
        <w:t>重点加强</w:t>
      </w:r>
      <w:r>
        <w:rPr>
          <w:rFonts w:hint="eastAsia" w:ascii="Times New Roman" w:hAnsi="Times New Roman" w:eastAsia="黑体" w:cs="黑体"/>
          <w:b w:val="0"/>
          <w:bCs w:val="0"/>
          <w:color w:val="auto"/>
          <w:sz w:val="32"/>
          <w:szCs w:val="32"/>
          <w:lang w:val="en-US" w:eastAsia="zh-CN"/>
        </w:rPr>
        <w:t>区域</w:t>
      </w:r>
      <w:r>
        <w:rPr>
          <w:rFonts w:hint="eastAsia" w:ascii="Times New Roman" w:hAnsi="Times New Roman" w:eastAsia="黑体" w:cs="黑体"/>
          <w:b w:val="0"/>
          <w:bCs w:val="0"/>
          <w:color w:val="auto"/>
          <w:sz w:val="32"/>
          <w:szCs w:val="32"/>
          <w:lang w:val="en-US" w:eastAsia="zh-CN"/>
        </w:rPr>
        <w:t>均衡发展</w:t>
      </w:r>
      <w:r>
        <w:rPr>
          <w:rFonts w:hint="eastAsia" w:ascii="Times New Roman" w:hAnsi="Times New Roman" w:eastAsia="黑体" w:cs="黑体"/>
          <w:b w:val="0"/>
          <w:bCs w:val="0"/>
          <w:color w:val="auto"/>
          <w:sz w:val="32"/>
          <w:szCs w:val="32"/>
          <w:lang w:val="en-US" w:eastAsia="zh-CN"/>
        </w:rPr>
        <w:t>差异化考核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引导</w:t>
      </w:r>
      <w:r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lang w:val="en-US" w:eastAsia="zh-CN" w:bidi="ar"/>
        </w:rPr>
        <w:t>，对标对表同业市场地位，一行一策明确进位目标，进一步激发区域经营主体主观能动性和创造性。</w:t>
      </w:r>
    </w:p>
    <w:p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default" w:ascii="Times New Roman" w:hAnsi="Times New Roman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4、5”是战法原则。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</w:rPr>
        <w:t>4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即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</w:rPr>
        <w:t>开展四季行动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</w:rPr>
        <w:t>推进四化改革。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节奏上积极进取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，继续推动各项工作早发力、早行动、早见效，</w:t>
      </w: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一季度万马奔腾、强势开局，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争取关键指标完成率达50%；</w:t>
      </w: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二季度快马加鞭、保持干劲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，完成率达80%；</w:t>
      </w: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三季度一马当先、奠定胜局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，完成全年任务100%；</w:t>
      </w: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四季度秣马厉兵，秋收冬藏，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实现100%+并为来年发展增厚储备。各项工作锚定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省行赋能化、市行经营化、支行轻型化、网点综合化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布局发力，破解资源约束和流程瓶颈，以更加高效立体的分层分类服务体系，确保上述安排从从容容、游刃有余。</w:t>
      </w:r>
    </w:p>
    <w:p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3" w:firstLineChars="200"/>
        <w:textAlignment w:val="auto"/>
        <w:rPr>
          <w:rFonts w:hint="default" w:ascii="Times New Roman" w:hAnsi="Times New Roman" w:eastAsia="楷体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5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即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</w:rPr>
        <w:t>坚持五项原则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加强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</w:rPr>
        <w:t>五大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适应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eastAsia="zh-CN"/>
        </w:rPr>
        <w:t>。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着眼做强主业、做优质效、做大贡献，进一步强化思维、开阔格局，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  <w:t>提高战略执行水平。</w:t>
      </w:r>
    </w:p>
    <w:p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default" w:ascii="Times New Roman" w:hAnsi="Times New Roman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一是</w:t>
      </w: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坚持系统观念，加强战略适应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匹配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宏观经济转型，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动态调整经营策略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增强工作系统协同，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同时发力、同向发力、综合发力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推动发展模式逐步由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规模扩张向结构优化、效益提升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转型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更加注重营收与净利润协同增长，防止增收不增利。</w:t>
      </w:r>
    </w:p>
    <w:p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default" w:ascii="Times New Roman" w:hAnsi="Times New Roman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二是</w:t>
      </w: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坚持因地制宜，加强服务适应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响应市场需求变化，结合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区域禀赋和发展水平，加强资源配置和考核引导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实现精准定位、错位提升。</w:t>
      </w:r>
    </w:p>
    <w:p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default" w:ascii="Times New Roman" w:hAnsi="Times New Roman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三是</w:t>
      </w: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坚持集约高效，加强治理适应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应对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人员和机构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硬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约束，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在组织优化和机制变革上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突破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向深化改革、管理优化要红利，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增强经营韧性，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提升治理效能。</w:t>
      </w:r>
    </w:p>
    <w:p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default" w:ascii="Times New Roman" w:hAnsi="Times New Roman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四是</w:t>
      </w: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坚持长期主义，加强创新适应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直面低息差环境和科技变革，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以功成不必在我、功成必定有我的精神境界，心无旁骛推进打基础、利长远工作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保持战略敏捷。</w:t>
      </w:r>
    </w:p>
    <w:p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default" w:ascii="Times New Roman" w:hAnsi="Times New Roman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五是</w:t>
      </w: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坚持统筹平衡，加强风控适应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一体推进防风险和促发展，在发展中固安全、在安全中谋发展，把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依法合规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贯穿始终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筑牢动态安全屏障。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eastAsia" w:ascii="Times New Roman" w:hAnsi="Times New Roman" w:eastAsia="黑体" w:cs="黑体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四、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扭住关键、纲举目张，重点抓好</w:t>
      </w: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六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项工作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90" w:lineRule="exact"/>
        <w:ind w:left="0" w:right="0" w:firstLine="643"/>
        <w:jc w:val="both"/>
        <w:textAlignment w:val="auto"/>
        <w:rPr>
          <w:rFonts w:hint="default" w:ascii="Times New Roman" w:hAnsi="Times New Roman" w:eastAsia="楷体_GB2312" w:cs="楷体_GB2312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第一，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全面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加强党的建设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90" w:lineRule="exact"/>
        <w:ind w:left="0" w:right="0" w:firstLine="643"/>
        <w:jc w:val="both"/>
        <w:textAlignment w:val="auto"/>
        <w:rPr>
          <w:rFonts w:ascii="Times New Roman" w:hAnsi="Times New Roman" w:cs="Calibri"/>
          <w:i w:val="0"/>
          <w:caps w:val="0"/>
          <w:color w:val="auto"/>
          <w:spacing w:val="0"/>
          <w:sz w:val="21"/>
          <w:szCs w:val="21"/>
        </w:rPr>
      </w:pPr>
      <w:r>
        <w:rPr>
          <w:rFonts w:hint="eastAsia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今年是中国共产党成立105周年，抓好党建工作意义特殊，要从落实中央纪委五次全会部署出发，以更高标准、更实举措推进全面从严管党从严治行，带动党建引领力进一步增强。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90" w:lineRule="exact"/>
        <w:ind w:left="0" w:right="0" w:firstLine="640"/>
        <w:jc w:val="both"/>
        <w:textAlignment w:val="auto"/>
        <w:rPr>
          <w:rFonts w:hint="default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黑体" w:cs="黑体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一要持续强化政治统领。</w:t>
      </w:r>
      <w:r>
        <w:rPr>
          <w:rFonts w:hint="eastAsia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坚持不懈用党的创新理论凝心铸魂，推动党的领导贯穿经营发展各方面全过程，以实际行动坚定拥护“两个确立”，坚决做到“两个维护”。严格落实“第一议题”制度，提高执行力，全面贯彻总书记重要讲话重要批示精神和党中央决策部署。健全“四个以学”长效机制，5月底前完成处级以下干部员工二十届四中全会精神培训全覆盖。抓实基层党组织建设质量提升三年行动，促进战斗堡垒作用和党员先锋模范作用发挥更加有力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90" w:lineRule="exact"/>
        <w:ind w:left="0" w:right="0" w:firstLine="640"/>
        <w:jc w:val="both"/>
        <w:textAlignment w:val="auto"/>
        <w:rPr>
          <w:rFonts w:hint="default" w:ascii="Times New Roman" w:hAnsi="Times New Roman" w:cs="Calibri"/>
          <w:i w:val="0"/>
          <w:caps w:val="0"/>
          <w:color w:val="auto"/>
          <w:spacing w:val="0"/>
          <w:sz w:val="21"/>
          <w:szCs w:val="21"/>
        </w:rPr>
      </w:pPr>
      <w:r>
        <w:rPr>
          <w:rFonts w:hint="eastAsia" w:ascii="Times New Roman" w:hAnsi="Times New Roman" w:eastAsia="黑体" w:cs="黑体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二要树立和践行正确政绩观。</w:t>
      </w:r>
      <w:r>
        <w:rPr>
          <w:rFonts w:hint="eastAsia" w:ascii="Times New Roman" w:hAnsi="Times New Roman" w:eastAsia="仿宋_GB2312" w:cs="仿宋_GB2312"/>
          <w:b w:val="0"/>
          <w:bCs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坚持积极进取与脚踏实地相统一，为人民出政绩、以</w:t>
      </w:r>
      <w:r>
        <w:rPr>
          <w:rFonts w:hint="eastAsia" w:ascii="Times New Roman" w:hAnsi="Times New Roman" w:eastAsia="仿宋_GB2312" w:cs="仿宋_GB2312"/>
          <w:b w:val="0"/>
          <w:bCs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实干出政绩，</w:t>
      </w:r>
      <w:r>
        <w:rPr>
          <w:rFonts w:hint="eastAsia" w:ascii="Times New Roman" w:hAnsi="Times New Roman" w:eastAsia="仿宋_GB2312" w:cs="仿宋_GB2312"/>
          <w:b w:val="0"/>
          <w:bCs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用实实</w:t>
      </w:r>
      <w:r>
        <w:rPr>
          <w:rFonts w:hint="eastAsia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在在、没有水分的增长服务大局、服务发展。自觉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按银行经营规律办事，</w:t>
      </w:r>
      <w:r>
        <w:rPr>
          <w:rFonts w:hint="eastAsia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坚决杜绝不顾质效拼规模、比增速、争排名的错误做法。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着力加强正确政绩观教育，</w:t>
      </w:r>
      <w:r>
        <w:rPr>
          <w:rFonts w:hint="eastAsia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完善差异化考核评价体系，考准干部实绩，营造干事创业良好氛围。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90" w:lineRule="exact"/>
        <w:ind w:left="0" w:right="0" w:firstLine="640"/>
        <w:jc w:val="both"/>
        <w:textAlignment w:val="auto"/>
        <w:rPr>
          <w:rFonts w:hint="default" w:ascii="Times New Roman" w:hAnsi="Times New Roman" w:eastAsia="黑体" w:cs="黑体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黑体" w:cs="黑体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三要抓好贯通整改</w:t>
      </w:r>
      <w:r>
        <w:rPr>
          <w:rFonts w:hint="eastAsia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。春节后总行党委将反馈巡视意见，要早谋划早准备，动真碰硬抓整改。同时与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中央巡视长期整改任务、内部审计、监管评价和国家审计等发现问题结合起来，动态更新“一张表”问题清单，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举一反三、</w:t>
      </w:r>
      <w:r>
        <w:rPr>
          <w:rFonts w:hint="eastAsia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纠建并举，确保整改工作方向正确、举措有力、落地见效。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90" w:lineRule="exact"/>
        <w:ind w:left="0" w:right="0" w:firstLine="640"/>
        <w:jc w:val="both"/>
        <w:textAlignment w:val="auto"/>
        <w:rPr>
          <w:rFonts w:hint="default" w:ascii="Times New Roman" w:hAnsi="Times New Roman" w:cs="Calibri"/>
          <w:i w:val="0"/>
          <w:caps w:val="0"/>
          <w:color w:val="auto"/>
          <w:spacing w:val="0"/>
          <w:sz w:val="21"/>
          <w:szCs w:val="21"/>
        </w:rPr>
      </w:pPr>
      <w:r>
        <w:rPr>
          <w:rFonts w:hint="eastAsia" w:ascii="Times New Roman" w:hAnsi="Times New Roman" w:eastAsia="黑体" w:cs="黑体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四要强化正风肃纪反腐。</w:t>
      </w:r>
      <w:r>
        <w:rPr>
          <w:rFonts w:hint="eastAsia" w:ascii="Times New Roman" w:hAnsi="Times New Roman" w:eastAsia="仿宋_GB2312" w:cs="仿宋_GB2312"/>
          <w:b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要深入贯彻中央八项规定精神。</w:t>
      </w:r>
      <w:r>
        <w:rPr>
          <w:rFonts w:hint="eastAsia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巩固拓展学习教育成果，持续整治形式主义、官僚主义为基层减负。今年总行将深化开展“四风”和违反中央八项规定精神问题专项治理，推进作风建设常态化长效化，全行要时刻绷紧纪律作风弦，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严防“四风”问题反弹回潮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特别要对违规吃喝、虚列开支套取费用等问题保持警惕。要</w:t>
      </w:r>
      <w:r>
        <w:rPr>
          <w:rFonts w:hint="eastAsia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用好“明白纸”“思维导图”成果，完善智能问答系统，以数字赋能提升治理效能。</w:t>
      </w:r>
      <w:r>
        <w:rPr>
          <w:rFonts w:hint="eastAsia" w:ascii="Times New Roman" w:hAnsi="Times New Roman" w:eastAsia="仿宋_GB2312" w:cs="仿宋_GB2312"/>
          <w:b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要持续加强纪律建设。</w:t>
      </w:r>
      <w:r>
        <w:rPr>
          <w:rFonts w:hint="eastAsia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更加科学有效地扎牢制度“篱笆”，增强刚性约束，</w:t>
      </w:r>
      <w:r>
        <w:rPr>
          <w:rFonts w:hint="eastAsia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highlight w:val="none"/>
          <w:lang w:val="en-US" w:eastAsia="zh-CN" w:bidi="ar"/>
        </w:rPr>
        <w:t>重点加强对各级“一把手”等关键少数的监督，</w:t>
      </w:r>
      <w:r>
        <w:rPr>
          <w:rFonts w:hint="eastAsia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跟进修订对“一把手”和领导班子加强监督的实施意见，加强八小时外监督和离岗监督，对苗头性、倾向性问题，用好“第一种形态”，早发现、早提醒、早纠正。抓实以案促改促治促建，利用典型案例开展警示教育，加强新时代廉洁文化建设，引导党员干部懂法纪、明规矩、知敬畏。</w:t>
      </w:r>
      <w:r>
        <w:rPr>
          <w:rFonts w:hint="eastAsia" w:ascii="Times New Roman" w:hAnsi="Times New Roman" w:eastAsia="仿宋_GB2312" w:cs="仿宋_GB2312"/>
          <w:b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要始终保持反腐败高压震慑态势。</w:t>
      </w:r>
      <w:r>
        <w:rPr>
          <w:rFonts w:hint="eastAsia" w:ascii="Times New Roman" w:hAnsi="Times New Roman" w:eastAsia="仿宋_GB2312" w:cs="仿宋_GB2312"/>
          <w:b w:val="0"/>
          <w:bCs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金融连续第4年被列为重点领域腐败治理的首位，系统内被留置干部数量居高不下，呈现领域多样化、人员年轻化、手段隐蔽化等特征，</w:t>
      </w:r>
      <w:r>
        <w:rPr>
          <w:rFonts w:hint="eastAsia" w:ascii="Times New Roman" w:hAnsi="Times New Roman" w:eastAsia="仿宋_GB2312" w:cs="仿宋_GB2312"/>
          <w:b w:val="0"/>
          <w:bCs/>
          <w:i w:val="0"/>
          <w:caps w:val="0"/>
          <w:color w:val="auto"/>
          <w:spacing w:val="0"/>
          <w:kern w:val="0"/>
          <w:sz w:val="32"/>
          <w:szCs w:val="32"/>
          <w:highlight w:val="none"/>
          <w:lang w:val="en-US" w:eastAsia="zh-CN" w:bidi="ar"/>
        </w:rPr>
        <w:t>我们自身去年</w:t>
      </w:r>
      <w:r>
        <w:rPr>
          <w:rFonts w:hint="eastAsia" w:ascii="Times New Roman" w:hAnsi="Times New Roman" w:eastAsia="仿宋_GB2312" w:cs="仿宋_GB2312"/>
          <w:b w:val="0"/>
          <w:bCs/>
          <w:i w:val="0"/>
          <w:caps w:val="0"/>
          <w:color w:val="auto"/>
          <w:spacing w:val="0"/>
          <w:kern w:val="0"/>
          <w:sz w:val="32"/>
          <w:szCs w:val="32"/>
          <w:highlight w:val="none"/>
          <w:lang w:val="en-US" w:eastAsia="zh-CN" w:bidi="ar"/>
        </w:rPr>
        <w:t>也查处违法案件3起，党纪</w:t>
      </w:r>
      <w:r>
        <w:rPr>
          <w:rFonts w:hint="eastAsia" w:ascii="Times New Roman" w:hAnsi="Times New Roman" w:eastAsia="仿宋_GB2312" w:cs="仿宋_GB2312"/>
          <w:b w:val="0"/>
          <w:bCs/>
          <w:i w:val="0"/>
          <w:caps w:val="0"/>
          <w:color w:val="auto"/>
          <w:spacing w:val="0"/>
          <w:kern w:val="0"/>
          <w:sz w:val="32"/>
          <w:szCs w:val="32"/>
          <w:highlight w:val="none"/>
          <w:lang w:val="en-US" w:eastAsia="zh-CN" w:bidi="ar"/>
        </w:rPr>
        <w:t>立案22件、处理处分27人</w:t>
      </w:r>
      <w:r>
        <w:rPr>
          <w:rFonts w:hint="eastAsia" w:ascii="Times New Roman" w:hAnsi="Times New Roman" w:eastAsia="仿宋_GB2312" w:cs="仿宋_GB2312"/>
          <w:b w:val="0"/>
          <w:bCs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，充分表明腐败存量还未见底、增量仍在发生。必须</w:t>
      </w:r>
      <w:r>
        <w:rPr>
          <w:rFonts w:hint="eastAsia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坚持有腐必反、有贪必肃，出重拳、下狠手、起底彻查、除恶务尽，深化风腐同查同治、强化风险同查同防，把各方面监督贯通起来，以全链条协作促进一体化治理。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90" w:lineRule="exact"/>
        <w:ind w:left="0" w:right="0" w:firstLine="640"/>
        <w:jc w:val="both"/>
        <w:textAlignment w:val="auto"/>
        <w:rPr>
          <w:rFonts w:hint="default" w:ascii="Times New Roman" w:hAnsi="Times New Roman" w:cs="Calibri"/>
          <w:i w:val="0"/>
          <w:caps w:val="0"/>
          <w:color w:val="auto"/>
          <w:spacing w:val="0"/>
          <w:sz w:val="21"/>
          <w:szCs w:val="21"/>
          <w:highlight w:val="none"/>
          <w:lang w:val="en-US"/>
        </w:rPr>
      </w:pPr>
      <w:r>
        <w:rPr>
          <w:rFonts w:hint="eastAsia" w:ascii="Times New Roman" w:hAnsi="Times New Roman" w:eastAsia="黑体" w:cs="黑体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五要建强干部人才队伍。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坚持“三个过硬”标准，健全培养选拨优秀干部长效机制，选优配强领导班子。</w:t>
      </w:r>
      <w:r>
        <w:rPr>
          <w:rFonts w:hint="eastAsia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强化考核结果运用，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发挥县域支行、艰苦岗位锻炼培养干部“熔炉”作用，</w:t>
      </w:r>
      <w:r>
        <w:rPr>
          <w:rFonts w:hint="eastAsia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推进干部能上能下常态化，构建风清气正、公开透明的政治生态。</w:t>
      </w:r>
      <w:r>
        <w:rPr>
          <w:rFonts w:hint="eastAsia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highlight w:val="none"/>
          <w:lang w:val="en-US" w:eastAsia="zh-CN" w:bidi="ar"/>
        </w:rPr>
        <w:t>持续加大重点院校、理工专业和数字化人才的引进力度，优化高效益、高贡献、重点战略区域人力资源配置，形成更加合理的梯次结构和人才布局。加力“三支队伍”建设，持续开展信贷专才“三年蓄能”行动，进一步增强信贷强行“软实力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3" w:firstLineChars="200"/>
        <w:textAlignment w:val="auto"/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第二，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全方位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服务实体本源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90" w:lineRule="exact"/>
        <w:ind w:left="0" w:right="0" w:firstLine="643"/>
        <w:jc w:val="both"/>
        <w:textAlignment w:val="auto"/>
        <w:rPr>
          <w:rFonts w:ascii="Times New Roman" w:hAnsi="Times New Roman" w:cs="Calibri"/>
          <w:i w:val="0"/>
          <w:caps w:val="0"/>
          <w:color w:val="auto"/>
          <w:spacing w:val="0"/>
          <w:sz w:val="21"/>
          <w:szCs w:val="21"/>
        </w:rPr>
      </w:pPr>
      <w:r>
        <w:rPr>
          <w:rFonts w:hint="eastAsia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突出主责主业，发挥领军作用，</w:t>
      </w:r>
      <w:r>
        <w:rPr>
          <w:rFonts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靠前对接存量政策和一揽子增量政策，</w:t>
      </w:r>
      <w:r>
        <w:rPr>
          <w:rFonts w:hint="eastAsia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有力</w:t>
      </w:r>
      <w:r>
        <w:rPr>
          <w:rFonts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支持经济大省挑大梁。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90" w:lineRule="exact"/>
        <w:ind w:left="0" w:right="0" w:firstLine="640"/>
        <w:jc w:val="both"/>
        <w:textAlignment w:val="auto"/>
        <w:rPr>
          <w:rFonts w:hint="default" w:ascii="Times New Roman" w:hAnsi="Times New Roman" w:cs="Calibri"/>
          <w:i w:val="0"/>
          <w:caps w:val="0"/>
          <w:color w:val="auto"/>
          <w:spacing w:val="0"/>
          <w:sz w:val="21"/>
          <w:szCs w:val="21"/>
        </w:rPr>
      </w:pPr>
      <w:r>
        <w:rPr>
          <w:rFonts w:hint="eastAsia" w:ascii="Times New Roman" w:hAnsi="Times New Roman" w:eastAsia="黑体" w:cs="黑体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一要坚决</w:t>
      </w:r>
      <w:r>
        <w:rPr>
          <w:rFonts w:ascii="Times New Roman" w:hAnsi="Times New Roman" w:eastAsia="黑体" w:cs="黑体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做大总量支撑。</w:t>
      </w:r>
      <w:r>
        <w:rPr>
          <w:rFonts w:hint="eastAsia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着眼“十五五”强劲开局，加大逆周期、跨周期信贷投放，助力投资企稳回升。加快“三个一批”工作节奏，抢抓上半年特别是一季度重要窗口期，以快制胜掌握主动权。深耕储备来源，聚焦新质生产力、新型城镇化、人的全面发展等重点领域，紧盯投贷联动、新型政策性工具、设备更新改造、“两重”项目配套融资，强化场景化整体营销，做厚做实储备基础。今年全省拟安排重大项目670个（同比增加70个），年度计划投资6646亿元（同比增加120亿元），其中产业项目414个，</w:t>
      </w:r>
      <w:r>
        <w:rPr>
          <w:rFonts w:hint="eastAsia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highlight w:val="none"/>
          <w:lang w:val="en-US" w:eastAsia="zh-CN" w:bidi="ar"/>
        </w:rPr>
        <w:t>并力争一季度新开工项目开工率超过50%、三季度全部开工。</w:t>
      </w:r>
      <w:r>
        <w:rPr>
          <w:rFonts w:hint="eastAsia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要加强源头对接，密切联动主管部门和项目主体，强化提级营销、专班营销、综合营销，确保储备高效达成、投放精准到位，全年公司贷款增量力争2500亿元，项目贷款投放3000亿元。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90" w:lineRule="exact"/>
        <w:ind w:left="0" w:right="0" w:firstLine="641"/>
        <w:jc w:val="both"/>
        <w:textAlignment w:val="auto"/>
        <w:rPr>
          <w:color w:val="auto"/>
        </w:rPr>
      </w:pPr>
      <w:r>
        <w:rPr>
          <w:rFonts w:hint="eastAsia" w:ascii="黑体" w:hAnsi="宋体" w:eastAsia="黑体" w:cs="黑体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二要靠前服务现代化产业体系建设。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加大“向下、向新、向群、向链、向前”营销拓展，着力打造制造业金融核心竞争力，力争</w:t>
      </w:r>
      <w:r>
        <w:rPr>
          <w:rFonts w:hint="eastAsia" w:ascii="仿宋_GB2312" w:hAnsi="Calibri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全年行业口径制造业贷款净增不少于500亿元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。</w:t>
      </w: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要</w:t>
      </w: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积极支持传统产业焕新升级，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聚焦优质企业增资扩产、技术改造、设备更新、“智改数转网联”服务需求，动态构建白名单项目库，深度参与传统产业高端化、智能化、绿色化转型全过程，做到营销全面覆盖、份额市场领先。</w:t>
      </w: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要</w:t>
      </w: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积极支持新兴产业培育壮大，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紧跟《中国制造2035》及新一轮重点产业链高质量发展行动方向，聚焦16个先进产业集群、地市特色优势产业目录，进一步校准拓户清单，推动集群服务场景和审贷模式适应性升级，发挥综合服务优势助力发展能级跃升，有效提升专精特新“小巨人”、单项冠军等重点客群服务覆盖。</w:t>
      </w: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要</w:t>
      </w: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积极支持未来产业科学布局，</w:t>
      </w: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紧盯技术前沿、产业热点，聚焦“10+X”未来产业领域以及本土创新型领军企业，做好前瞻研究和支撑保障。优选潜力企业，用好知识产权质押融资等科技金融产品工具，加大首贷投放力度，抓早抓小建立合作，夯实长效增长基础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90" w:lineRule="exact"/>
        <w:ind w:left="0" w:right="0" w:firstLine="640"/>
        <w:jc w:val="both"/>
        <w:textAlignment w:val="auto"/>
        <w:rPr>
          <w:rFonts w:hint="default" w:ascii="Times New Roman" w:hAnsi="Times New Roman" w:cs="Calibri"/>
          <w:i w:val="0"/>
          <w:caps w:val="0"/>
          <w:color w:val="auto"/>
          <w:spacing w:val="0"/>
          <w:sz w:val="21"/>
          <w:szCs w:val="21"/>
        </w:rPr>
      </w:pPr>
      <w:r>
        <w:rPr>
          <w:rFonts w:hint="eastAsia" w:ascii="Times New Roman" w:hAnsi="Times New Roman" w:eastAsia="黑体" w:cs="黑体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三要支持大力提振消费。</w:t>
      </w:r>
      <w:r>
        <w:rPr>
          <w:rFonts w:hint="eastAsia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加快提升消费金融服务质效。以流程减负释放集约效能，加速汽车分期上量，同步抓实场景协同和闭环引流，做强“车生态”。聚焦家电数码、智能终端等商品消费，赛事康养等服务热点，以及首发首店、入境消费、即时零售等新场景，积极探索综消分期新增长点。把握文旅体商融合趋势，围绕“文化+”“旅游+”“体育+”，用好差异化信贷政策，打造一批拉动强、贡献高、覆盖广的特色场景，提升文旅产业服务覆盖。择优支持“好房子”建设，强化开发贷、债投与个人按揭联动，抓牢重点合作机构，提升二手房市场份额，助力巩固房地产市场企稳态势。全年个人贷款增量力争四行第一，文旅产业贷款投放要达到300亿元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90" w:lineRule="exact"/>
        <w:ind w:left="0" w:right="0" w:firstLine="640"/>
        <w:jc w:val="both"/>
        <w:textAlignment w:val="auto"/>
        <w:rPr>
          <w:rFonts w:hint="default" w:ascii="Times New Roman" w:hAnsi="Times New Roman" w:cs="Calibri"/>
          <w:i w:val="0"/>
          <w:caps w:val="0"/>
          <w:color w:val="auto"/>
          <w:spacing w:val="0"/>
          <w:sz w:val="21"/>
          <w:szCs w:val="21"/>
          <w:lang w:val="en-US"/>
        </w:rPr>
      </w:pPr>
      <w:r>
        <w:rPr>
          <w:rFonts w:hint="eastAsia" w:ascii="Times New Roman" w:hAnsi="Times New Roman" w:eastAsia="黑体" w:cs="黑体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四要提升普惠和乡村振兴服务质效。</w:t>
      </w:r>
      <w:r>
        <w:rPr>
          <w:rFonts w:hint="eastAsia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坚持数字化、场景化、集约化转型方向，着力增强服务的适配性和竞争力。要基于强交易场景，创新批量拓展方案。依托1027户行内核心企业潜力清单，做深做透供应链金融。丰富产品货架，加强对省级及以上开发区、95个中小企业示范集群、省行推荐名单内的专业市场等营销攻坚。聚焦“百强县”“千强镇”，大力支持发展各具特色的县域经济和富民产业。持续抓好“一村一品”专项行动，深化与省农担、各级供销合作，拓展县乡服务能力和触角。大力提升全流程集约化运营效能，</w:t>
      </w:r>
      <w:r>
        <w:rPr>
          <w:rFonts w:hint="eastAsia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增强网点普惠经营能力和目标清单渗透率，</w:t>
      </w:r>
      <w:r>
        <w:rPr>
          <w:rFonts w:hint="eastAsia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促进普惠金融增量、扩面、提质。全年普惠贷款稳定增量要达到550亿元，确保增量领先、存量进位。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3" w:firstLineChars="200"/>
        <w:textAlignment w:val="auto"/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第三，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全市场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赢得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竞争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主动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通过全渠道发力、全市场布局、全链条延伸、全板块统筹，巩固拓展存款高质量发展态势，推动资金来源与运用更加平衡。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一</w:t>
      </w: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要树牢“存款立行”理念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从前年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5月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起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，我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们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由存差行变为借差行，随后借差逐步扩大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到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去年末，时点借差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为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4610亿元，日均借差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为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3605亿元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全行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除徐州分行外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均为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借差行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在考核激励上，由于存款日均增量为负，去年我行对公存款KPI考核得分系统靠后；由于借差，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去年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我们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未能获得总行FTP专项奖励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地方债簿记比例达到历史低点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存贷发展的不平衡，将使我行EVA价值创造指标长期承压。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全行要从发展之基、立行之本、价值之源的高度，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重新认识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稳存增存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的紧迫性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更大力度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推动存款提质增效、争先进位。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二要高标定位抓</w:t>
      </w: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储蓄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存款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以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总行“1121”工程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为牵引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，全面动员、突出重点，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全力抢抓关键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窗口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期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，持续巩固扩大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增量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领先优势，力争用2-3年时间实现余额进位。</w:t>
      </w: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要</w:t>
      </w:r>
      <w:r>
        <w:rPr>
          <w:rFonts w:hint="eastAsia" w:ascii="Times New Roman" w:hAnsi="Times New Roman" w:eastAsia="仿宋_GB2312" w:cs="仿宋_GB2312"/>
          <w:b/>
          <w:bCs/>
          <w:color w:val="auto"/>
          <w:sz w:val="32"/>
          <w:szCs w:val="32"/>
        </w:rPr>
        <w:t>积极争揽源头资金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。把握旺季资金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流动特征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扎实开展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批量资金摸排，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拉开对主要对手的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“安全距离”，以旺季红奠定全年胜。突出抓好代发工资、私银大户两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大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增量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核心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着力深挖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上市公司分红款、定向融资、退役金及经济补助、种粮大户等潜力资金源。</w:t>
      </w: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要</w:t>
      </w:r>
      <w:r>
        <w:rPr>
          <w:rFonts w:hint="eastAsia" w:ascii="Times New Roman" w:hAnsi="Times New Roman" w:eastAsia="仿宋_GB2312" w:cs="仿宋_GB2312"/>
          <w:b/>
          <w:bCs/>
          <w:color w:val="auto"/>
          <w:sz w:val="32"/>
          <w:szCs w:val="32"/>
        </w:rPr>
        <w:t>做好到期资金承接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。今年将迎来定期存款集中到期潮，其中一季度规模高达9万亿、江苏地区近万亿，存款市场格局面临深度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重构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叠加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我行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与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农商行利差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收窄至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近年来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最低的有利契机，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要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进一步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发挥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大行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品类优势，用好“存款+基保理金”组合，做大AUM蓄水池。</w:t>
      </w: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要</w:t>
      </w:r>
      <w:r>
        <w:rPr>
          <w:rFonts w:hint="eastAsia" w:ascii="Times New Roman" w:hAnsi="Times New Roman" w:eastAsia="仿宋_GB2312" w:cs="仿宋_GB2312"/>
          <w:b/>
          <w:bCs/>
          <w:color w:val="auto"/>
          <w:sz w:val="32"/>
          <w:szCs w:val="32"/>
          <w:lang w:val="en-US" w:eastAsia="zh-CN"/>
        </w:rPr>
        <w:t>做强积累型业务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持续推进社保卡、个人养老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  <w:t>金营销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攻坚，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把握数字人民币付息政策机遇，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加强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前瞻布局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加大客户拓维和场景建设力度，抢占市场份额。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三要靶向发力抓</w:t>
      </w: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公司存款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</w:t>
      </w:r>
      <w:r>
        <w:rPr>
          <w:rFonts w:hint="eastAsia" w:ascii="Times New Roman" w:hAnsi="Times New Roman" w:eastAsia="仿宋_GB2312" w:cs="仿宋_GB2312"/>
          <w:b/>
          <w:bCs/>
          <w:color w:val="auto"/>
          <w:sz w:val="32"/>
          <w:szCs w:val="32"/>
          <w:lang w:val="en-US" w:eastAsia="zh-CN"/>
        </w:rPr>
        <w:t>要深耕信贷客户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近年来全行现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金保障比整体呈下降趋势，有贷户存款增速远低于贷款增速，低保障比客户占比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7成高位运行，贷款增长与资金管理不匹配问题日益凸显。必须强化信贷资金全流程闭环管控，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在营销、审批、投放各环节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刚性嵌入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资金管控要求，运用数字化手段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实施穿透式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监测，全力提升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信贷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资金精准承接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与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闭环留存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效能，确保全年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现金保障比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较年初提升1个百分点以上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</w:t>
      </w:r>
      <w:r>
        <w:rPr>
          <w:rFonts w:hint="eastAsia" w:ascii="Times New Roman" w:hAnsi="Times New Roman" w:eastAsia="仿宋_GB2312" w:cs="仿宋_GB2312"/>
          <w:b/>
          <w:bCs/>
          <w:color w:val="auto"/>
          <w:sz w:val="32"/>
          <w:szCs w:val="32"/>
          <w:lang w:val="en-US" w:eastAsia="zh-CN"/>
        </w:rPr>
        <w:t>要细挖结算大户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形成定期监测和提升机制。在抓好信贷客户货款归行不低于融资占比的基础上，重点关注资金往来大户。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去年元旦至春节期间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收款大户节前交易额达7935亿元、存款余额2206亿元。至今年1月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底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，该客群存款余额为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1847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亿元、仍有较大挖潜空间。要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强化名单制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走访，争取更多结算资金回笼归行。</w:t>
      </w:r>
      <w:r>
        <w:rPr>
          <w:rFonts w:hint="eastAsia" w:ascii="Times New Roman" w:hAnsi="Times New Roman" w:eastAsia="仿宋_GB2312" w:cs="仿宋_GB2312"/>
          <w:b/>
          <w:bCs/>
          <w:color w:val="auto"/>
          <w:sz w:val="32"/>
          <w:szCs w:val="32"/>
          <w:lang w:val="en-US" w:eastAsia="zh-CN"/>
        </w:rPr>
        <w:t>要抓牢</w:t>
      </w:r>
      <w:r>
        <w:rPr>
          <w:rFonts w:hint="eastAsia" w:ascii="Times New Roman" w:hAnsi="Times New Roman" w:eastAsia="仿宋_GB2312" w:cs="仿宋_GB2312"/>
          <w:b/>
          <w:bCs/>
          <w:color w:val="auto"/>
          <w:sz w:val="32"/>
          <w:szCs w:val="32"/>
        </w:rPr>
        <w:t>债券承接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。立足江苏万亿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级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市场，持续加大承接力度，将巨量市场优势转化为资金拓展的有效支撑。</w:t>
      </w:r>
      <w:r>
        <w:rPr>
          <w:rFonts w:hint="eastAsia" w:ascii="Times New Roman" w:hAnsi="Times New Roman" w:eastAsia="仿宋_GB2312" w:cs="仿宋_GB2312"/>
          <w:b/>
          <w:bCs/>
          <w:color w:val="auto"/>
          <w:sz w:val="32"/>
          <w:szCs w:val="32"/>
          <w:lang w:val="en-US" w:eastAsia="zh-CN"/>
        </w:rPr>
        <w:t>要抓住增量市场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。把握总行结构性存款优惠利率窗口期，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加速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主动负债销售，积极争揽招</w:t>
      </w:r>
      <w:bookmarkStart w:id="0" w:name="_GoBack"/>
      <w:bookmarkEnd w:id="0"/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商引资客户、上市拟上市公司、他行优质客户等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增量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资金来源。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default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四要稳扎稳打抓</w:t>
      </w: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机构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和同业</w:t>
      </w:r>
      <w:r>
        <w:rPr>
          <w:rFonts w:hint="eastAsia" w:ascii="Times New Roman" w:hAnsi="Times New Roman" w:eastAsia="黑体" w:cs="黑体"/>
          <w:color w:val="auto"/>
          <w:sz w:val="32"/>
          <w:szCs w:val="32"/>
        </w:rPr>
        <w:t>存款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。巩固财政、社保、医保、特种、住建等优势领域合作，把握“十五五”开局之年更加积极财政政策带来的源头增量，持续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竞争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重点客户、重点账户、重点资格和大额存源，进一步增强多元增存能力。紧跟“省-市-县”财政资金拨付链条，把握资金流转时间脉络，坚持“多留存、少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流失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”，推动机构存款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稳定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上升。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妥善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</w:rPr>
        <w:t>应对SPV集中到期，加强与头部券商、理财子、基金公司等客户合作，发挥好同业存款在关键时点的支撑补位作用。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3" w:firstLineChars="200"/>
        <w:textAlignment w:val="auto"/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第四，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全单元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增强价值创造</w:t>
      </w:r>
    </w:p>
    <w:p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仿宋_GB2312" w:cs="仿宋_GB2312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对内加强精细化管理、降本增效，对外深化客户产品对位、提升服务，内外协同，加快培育多元收入动能。</w:t>
      </w:r>
    </w:p>
    <w:p>
      <w:pPr>
        <w:keepNext w:val="0"/>
        <w:keepLines w:val="0"/>
        <w:pageBreakBefore w:val="0"/>
        <w:widowControl w:val="0"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90" w:lineRule="exact"/>
        <w:ind w:left="0" w:right="0" w:firstLine="643"/>
        <w:jc w:val="both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21"/>
          <w:szCs w:val="21"/>
          <w:lang w:val="en-US"/>
        </w:rPr>
      </w:pPr>
      <w:r>
        <w:rPr>
          <w:rFonts w:ascii="Times New Roman" w:hAnsi="Times New Roman" w:eastAsia="黑体" w:cs="黑体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一方面，突出开源节流。</w:t>
      </w:r>
      <w:r>
        <w:rPr>
          <w:rFonts w:hint="eastAsia" w:ascii="Times New Roman" w:hAnsi="Times New Roman" w:eastAsia="仿宋_GB2312" w:cs="仿宋_GB2312"/>
          <w:b/>
          <w:bCs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要控息差。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利息净收入是全行主要收入来源，占比超83%。要着力巩固利差边际企稳、同业领先优势，精益求精加强“两率”管理。贷款端强化风险定价管理，加大高收益资产配置力度，全力争取总行结构性FTP激励返还</w:t>
      </w:r>
      <w:r>
        <w:rPr>
          <w:rFonts w:hint="eastAsia" w:ascii="Times New Roman" w:hAnsi="Times New Roman" w:eastAsia="仿宋_GB2312" w:cs="仿宋_GB2312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。存款端优化期限及点差结构，提升活期日均占比，巩固高息存款压降成效。</w:t>
      </w:r>
      <w:r>
        <w:rPr>
          <w:rFonts w:hint="eastAsia" w:ascii="Times New Roman" w:hAnsi="Times New Roman" w:eastAsia="仿宋_GB2312" w:cs="仿宋_GB2312"/>
          <w:b/>
          <w:bCs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要促转型。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顺应低利率环境下同业竞争加剧和费率下行趋势，加快中收转型，在做稳资产服务的同时，做强基础产品、做优财富管理，实现由规模驱动转向“量价协同+客户价值”双轮驱动，破解“增量不增收”困局。适应严监管形势，落实合规收费与“质价相符”要求，系统梳理收费减免政策，既要应免尽免、让利实体，又要减少跑冒滴漏、确保“颗粒归仓”</w:t>
      </w:r>
      <w:r>
        <w:rPr>
          <w:rFonts w:hint="eastAsia" w:ascii="Times New Roman" w:hAnsi="Times New Roman" w:eastAsia="仿宋_GB2312" w:cs="仿宋_GB2312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。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要稳质量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。今年总行提高了净利润考核权重，对我行保持效益指标稳定性提出新挑战。要重点关注风险效益平衡，避免评级下迁、质量劣变增加拨备压力，进而影响净利润稳定。</w:t>
      </w:r>
      <w:r>
        <w:rPr>
          <w:rFonts w:hint="eastAsia" w:ascii="Times New Roman" w:hAnsi="Times New Roman" w:eastAsia="仿宋_GB2312" w:cs="仿宋_GB2312"/>
          <w:b/>
          <w:bCs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要降成本</w:t>
      </w:r>
      <w:r>
        <w:rPr>
          <w:rStyle w:val="12"/>
          <w:rFonts w:hint="eastAsia" w:ascii="Times New Roman" w:hAnsi="Times New Roman" w:eastAsia="仿宋_GB2312" w:cs="仿宋_GB2312"/>
          <w:b/>
          <w:bCs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footnoteReference w:id="0"/>
      </w:r>
      <w:r>
        <w:rPr>
          <w:rFonts w:hint="eastAsia" w:ascii="Times New Roman" w:hAnsi="Times New Roman" w:eastAsia="仿宋_GB2312" w:cs="仿宋_GB2312"/>
          <w:b/>
          <w:bCs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。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习惯“过紧日子”，以收定支、量入为出。强化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费用支出管理、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税务成本管控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、固定资产提效、集中采购提质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，以精细管理推动质效提升，确保“好钢用在刀刃上”。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default" w:ascii="Times New Roman" w:hAnsi="Times New Roman" w:eastAsia="楷体_GB2312" w:cs="楷体_GB2312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黑体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另一方面，注重夯基固本</w:t>
      </w:r>
      <w:r>
        <w:rPr>
          <w:rFonts w:hint="eastAsia" w:ascii="Times New Roman" w:hAnsi="Times New Roman" w:eastAsia="仿宋_GB2312" w:cs="仿宋_GB2312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。树牢“以客户为中心”经营理念，完善分层分类营销服务体系，更好满足和引领客户需求。</w:t>
      </w:r>
      <w:r>
        <w:rPr>
          <w:rFonts w:hint="eastAsia" w:ascii="Times New Roman" w:hAnsi="Times New Roman" w:eastAsia="仿宋_GB2312" w:cs="仿宋_GB2312"/>
          <w:b/>
          <w:bCs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要加快构建均衡协调客户结构。</w:t>
      </w:r>
      <w:r>
        <w:rPr>
          <w:rFonts w:hint="eastAsia" w:ascii="Times New Roman" w:hAnsi="Times New Roman" w:eastAsia="仿宋_GB2312" w:cs="仿宋_GB2312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聚焦“一核两源</w:t>
      </w:r>
      <w:r>
        <w:rPr>
          <w:rStyle w:val="12"/>
          <w:rFonts w:hint="eastAsia" w:ascii="Times New Roman" w:hAnsi="Times New Roman" w:eastAsia="仿宋_GB2312" w:cs="仿宋_GB2312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footnoteReference w:id="1"/>
      </w:r>
      <w:r>
        <w:rPr>
          <w:rFonts w:hint="eastAsia" w:ascii="Times New Roman" w:hAnsi="Times New Roman" w:eastAsia="仿宋_GB2312" w:cs="仿宋_GB2312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”领域，突破“机构壁”“</w:t>
      </w:r>
      <w:r>
        <w:rPr>
          <w:rStyle w:val="9"/>
          <w:rFonts w:hint="eastAsia" w:ascii="Times New Roman" w:hAnsi="Times New Roman" w:eastAsia="仿宋_GB2312" w:cs="仿宋_GB2312"/>
          <w:b w:val="0"/>
          <w:bCs/>
          <w:color w:val="auto"/>
          <w:sz w:val="32"/>
          <w:szCs w:val="32"/>
          <w:highlight w:val="none"/>
          <w:lang w:val="en-US" w:eastAsia="zh-CN" w:bidi="ar"/>
        </w:rPr>
        <w:t>部门墙”，</w:t>
      </w:r>
      <w:r>
        <w:rPr>
          <w:rFonts w:hint="eastAsia" w:ascii="Times New Roman" w:hAnsi="Times New Roman" w:eastAsia="仿宋_GB2312" w:cs="仿宋_GB2312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深化</w:t>
      </w:r>
      <w:r>
        <w:rPr>
          <w:rFonts w:hint="eastAsia" w:ascii="Times New Roman" w:hAnsi="Times New Roman" w:eastAsia="黑体" w:cs="黑体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战略客户</w:t>
      </w:r>
      <w:r>
        <w:rPr>
          <w:rFonts w:hint="eastAsia" w:ascii="Times New Roman" w:hAnsi="Times New Roman" w:eastAsia="仿宋_GB2312" w:cs="仿宋_GB2312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直营直管，落实全面金融解决方案，重点提升央国企业务份额。围绕16个国家级产业集群，加快“一群一方案”的集群审贷模式创新，做大</w:t>
      </w:r>
      <w:r>
        <w:rPr>
          <w:rFonts w:hint="eastAsia" w:ascii="Times New Roman" w:hAnsi="Times New Roman" w:eastAsia="黑体" w:cs="黑体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中型客户</w:t>
      </w:r>
      <w:r>
        <w:rPr>
          <w:rFonts w:hint="eastAsia" w:ascii="Times New Roman" w:hAnsi="Times New Roman" w:eastAsia="仿宋_GB2312" w:cs="仿宋_GB2312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总量。落实落细</w:t>
      </w:r>
      <w:r>
        <w:rPr>
          <w:rFonts w:hint="eastAsia" w:ascii="Times New Roman" w:hAnsi="Times New Roman" w:eastAsia="黑体" w:cs="黑体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个人客户</w:t>
      </w:r>
      <w:r>
        <w:rPr>
          <w:rFonts w:hint="eastAsia" w:ascii="Times New Roman" w:hAnsi="Times New Roman" w:eastAsia="仿宋_GB2312" w:cs="仿宋_GB2312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“分田到户、按户考核”，坚持场景化获客、数字化运营赋能，推动分层客户“有人管”向“有效管”转变。</w:t>
      </w:r>
      <w:r>
        <w:rPr>
          <w:rFonts w:hint="eastAsia" w:ascii="Times New Roman" w:hAnsi="Times New Roman" w:eastAsia="仿宋_GB2312" w:cs="仿宋_GB2312"/>
          <w:b/>
          <w:bCs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要打造价值突出产品线</w:t>
      </w:r>
      <w:r>
        <w:rPr>
          <w:rFonts w:hint="eastAsia" w:ascii="Times New Roman" w:hAnsi="Times New Roman" w:eastAsia="仿宋_GB2312" w:cs="仿宋_GB2312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。</w:t>
      </w:r>
      <w:r>
        <w:rPr>
          <w:rFonts w:hint="eastAsia" w:ascii="Times New Roman" w:hAnsi="Times New Roman" w:eastAsia="黑体" w:cs="黑体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投行业务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要</w:t>
      </w:r>
      <w:r>
        <w:rPr>
          <w:rFonts w:hint="eastAsia" w:ascii="Times New Roman" w:hAnsi="Times New Roman" w:eastAsia="仿宋_GB2312" w:cs="仿宋_GB2312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积极拓展产业整合、资本并购等重点市场，加力支持央国企、科创型企业股权融资，投贷联动提供多元化融资供给。</w:t>
      </w:r>
      <w:r>
        <w:rPr>
          <w:rFonts w:hint="eastAsia" w:ascii="Times New Roman" w:hAnsi="Times New Roman" w:eastAsia="黑体" w:cs="黑体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结算业务</w:t>
      </w:r>
      <w:r>
        <w:rPr>
          <w:rFonts w:hint="eastAsia" w:ascii="Times New Roman" w:hAnsi="Times New Roman" w:eastAsia="仿宋_GB2312" w:cs="仿宋_GB2312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要依托司库领航、全球付出海、法人理财专项营销三大行动，提升价值贡献。</w:t>
      </w:r>
      <w:r>
        <w:rPr>
          <w:rFonts w:hint="eastAsia" w:ascii="Times New Roman" w:hAnsi="Times New Roman" w:eastAsia="黑体" w:cs="黑体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贵金属业务</w:t>
      </w:r>
      <w:r>
        <w:rPr>
          <w:rFonts w:hint="eastAsia" w:ascii="Times New Roman" w:hAnsi="Times New Roman" w:eastAsia="仿宋_GB2312" w:cs="仿宋_GB2312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要抢抓金价行情，做大实物销售和客户拓展。</w:t>
      </w:r>
      <w:r>
        <w:rPr>
          <w:rFonts w:hint="eastAsia" w:ascii="Times New Roman" w:hAnsi="Times New Roman" w:eastAsia="黑体" w:cs="黑体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国际业务</w:t>
      </w:r>
      <w:r>
        <w:rPr>
          <w:rFonts w:hint="eastAsia" w:ascii="Times New Roman" w:hAnsi="Times New Roman" w:eastAsia="仿宋_GB2312" w:cs="仿宋_GB2312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要持续巩固跨境收支、跨境人民币、结售汇等产品份额。要把握资本市场向好机遇，联动头部券商做大</w:t>
      </w:r>
      <w:r>
        <w:rPr>
          <w:rFonts w:hint="eastAsia" w:ascii="Times New Roman" w:hAnsi="Times New Roman" w:eastAsia="黑体" w:cs="黑体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三方存管</w:t>
      </w:r>
      <w:r>
        <w:rPr>
          <w:rFonts w:hint="eastAsia" w:ascii="Times New Roman" w:hAnsi="Times New Roman" w:eastAsia="仿宋_GB2312" w:cs="仿宋_GB2312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基础。</w:t>
      </w:r>
      <w:r>
        <w:rPr>
          <w:rFonts w:hint="eastAsia" w:ascii="Times New Roman" w:hAnsi="Times New Roman" w:eastAsia="仿宋_GB2312" w:cs="仿宋_GB2312"/>
          <w:b/>
          <w:bCs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要加强客户产品对位。</w:t>
      </w:r>
      <w:r>
        <w:rPr>
          <w:rFonts w:hint="eastAsia" w:ascii="Times New Roman" w:hAnsi="Times New Roman" w:eastAsia="仿宋_GB2312" w:cs="仿宋_GB2312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强化上下高效协同，因地制宜做好客户清单二次筛选，落实主客户经理制，提供最优产品服务组合。抓紧抓实</w:t>
      </w:r>
      <w:r>
        <w:rPr>
          <w:rFonts w:hint="eastAsia" w:ascii="Times New Roman" w:hAnsi="Times New Roman" w:eastAsia="仿宋_GB2312" w:cs="仿宋_GB2312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卓胜微试点突破，探索建立客户产品对位和考核计量体系，加快形成成功经验并复制推广。</w:t>
      </w:r>
      <w:r>
        <w:rPr>
          <w:rFonts w:hint="eastAsia" w:ascii="Times New Roman" w:hAnsi="Times New Roman" w:eastAsia="楷体_GB2312" w:cs="楷体_GB2312"/>
          <w:color w:val="auto"/>
          <w:sz w:val="32"/>
          <w:szCs w:val="32"/>
          <w:lang w:val="en-US" w:eastAsia="zh-CN"/>
        </w:rPr>
        <w:t xml:space="preserve">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3" w:firstLineChars="200"/>
        <w:textAlignment w:val="auto"/>
        <w:rPr>
          <w:rFonts w:hint="eastAsia" w:ascii="Times New Roman" w:hAnsi="Times New Roman" w:eastAsia="楷体_GB2312" w:cs="楷体_GB2312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第五，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全领域</w:t>
      </w: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推进改革深化</w:t>
      </w:r>
    </w:p>
    <w:p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default" w:ascii="Times New Roman" w:hAnsi="Times New Roman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要始终以敏锐洞察和先行锐气，不断压茬启动新的改革任务，为高质量发展除障碍、增动能。</w:t>
      </w:r>
    </w:p>
    <w:p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default" w:ascii="Times New Roman" w:hAnsi="Times New Roman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一要加强存量改革适应调优。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去年以来，聚焦机构人员效能提升，我们扎实推动了城区支行扁平化、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网点运营改革、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大客户直营、“普惠+个贷”为主的集约化运营改革，总体取得一定成效，但依然存在堵点断点。今年要加强动态评估与机制完善，进一步释放改革效能。</w:t>
      </w:r>
      <w:r>
        <w:rPr>
          <w:rFonts w:hint="eastAsia" w:ascii="Times New Roman" w:hAnsi="Times New Roman" w:eastAsia="仿宋_GB2312" w:cs="仿宋_GB2312"/>
          <w:b/>
          <w:bCs/>
          <w:color w:val="auto"/>
          <w:sz w:val="32"/>
          <w:szCs w:val="32"/>
          <w:lang w:val="en-US" w:eastAsia="zh-CN"/>
        </w:rPr>
        <w:t>要强执行。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扁平化改革后，个别机构人员下沉抓得不实，直属网点综合化经营能力不足，改革还存在“冷热不均、表里不一”现象。要坚持问题导向、双管齐下，一方面进一步优化结构，推动人员向一线和营销岗位倾斜，另一方面强化对前期释放人员的跟踪培养，确保改革走深走实。</w:t>
      </w:r>
      <w:r>
        <w:rPr>
          <w:rFonts w:hint="eastAsia" w:ascii="Times New Roman" w:hAnsi="Times New Roman" w:eastAsia="仿宋_GB2312" w:cs="仿宋_GB2312"/>
          <w:b/>
          <w:bCs/>
          <w:color w:val="auto"/>
          <w:sz w:val="32"/>
          <w:szCs w:val="32"/>
          <w:lang w:val="en-US" w:eastAsia="zh-CN"/>
        </w:rPr>
        <w:t>要广覆盖。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目前普惠、个贷业务实现了“用印、办抵、核准、放款、归档”5环节集中处理，覆盖的业务品种、流程环节仍然有限。要进一步探索集约化处理向更多产品开放、向更多环节延伸，实现更大范围、更宽领域、更深层次的集约运营、智慧运作、共享服务。</w:t>
      </w:r>
    </w:p>
    <w:p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default" w:ascii="Times New Roman" w:hAnsi="Times New Roman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二要迭代升级县域战略。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县域竞争力提升是系统性、长期性工程，要久久为功、长抓不放。</w:t>
      </w:r>
      <w:r>
        <w:rPr>
          <w:rFonts w:hint="eastAsia" w:ascii="Times New Roman" w:hAnsi="Times New Roman" w:eastAsia="仿宋_GB2312" w:cs="仿宋_GB2312"/>
          <w:b/>
          <w:bCs/>
          <w:color w:val="auto"/>
          <w:sz w:val="32"/>
          <w:szCs w:val="32"/>
          <w:lang w:val="en-US" w:eastAsia="zh-CN"/>
        </w:rPr>
        <w:t>目标要再明确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，坚持存贷款四行排名前2的支行占比达40%的规划不动摇。</w:t>
      </w:r>
      <w:r>
        <w:rPr>
          <w:rFonts w:hint="eastAsia" w:ascii="Times New Roman" w:hAnsi="Times New Roman" w:eastAsia="仿宋_GB2312" w:cs="仿宋_GB2312"/>
          <w:b/>
          <w:bCs/>
          <w:color w:val="auto"/>
          <w:sz w:val="32"/>
          <w:szCs w:val="32"/>
          <w:lang w:val="en-US" w:eastAsia="zh-CN"/>
        </w:rPr>
        <w:t>策略要再深化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，落实今年省行“1号文”路径，认真抓好直营网维、资产先行、公私联动、模式创新、科技赋能等各项重点工作，有效探索轻资产发展道路。</w:t>
      </w:r>
      <w:r>
        <w:rPr>
          <w:rFonts w:hint="eastAsia" w:ascii="Times New Roman" w:hAnsi="Times New Roman" w:eastAsia="仿宋_GB2312" w:cs="仿宋_GB2312"/>
          <w:b/>
          <w:bCs/>
          <w:color w:val="auto"/>
          <w:sz w:val="32"/>
          <w:szCs w:val="32"/>
          <w:lang w:val="en-US" w:eastAsia="zh-CN"/>
        </w:rPr>
        <w:t>保障要再强化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，把握总行战略向重点县域延伸契机，全力争取政策、产品、渠道和人员支持，加快推进发达乡镇网点增设。尤其在费用和干部晋升上，省行将保持一定倾斜力度，凭实绩说话，激励担当作为。</w:t>
      </w:r>
    </w:p>
    <w:p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eastAsia" w:ascii="Times New Roman" w:hAnsi="Times New Roman" w:eastAsia="楷体_GB2312" w:cs="楷体_GB2312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CESI黑体-GB2312" w:cs="CESI黑体-GB2312"/>
          <w:i w:val="0"/>
          <w:iCs w:val="0"/>
          <w:caps w:val="0"/>
          <w:color w:val="auto"/>
          <w:spacing w:val="0"/>
          <w:sz w:val="32"/>
          <w:szCs w:val="32"/>
          <w:highlight w:val="none"/>
          <w:lang w:val="en-US" w:eastAsia="zh-CN"/>
        </w:rPr>
        <w:t>三要</w:t>
      </w:r>
      <w:r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t>加快数智化转型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。前期全行做了很多基础工作，但碎片化、浅表化比较严重，可量化、代表性的成果少，对高质量发展支撑不足。随着业务持续下沉，业务和人员的结构性矛盾将日益凸显，特别是在深耕县域、拓展制造业客群过程中，更离不开数字化手段的强力支撑。因此要进一步增强紧迫感，把数智化转型作为全行核心课题，转观念、提能力、善创新，全力锻造竞争新优势。</w:t>
      </w:r>
      <w:r>
        <w:rPr>
          <w:rFonts w:hint="eastAsia" w:ascii="Times New Roman" w:hAnsi="Times New Roman" w:eastAsia="仿宋_GB2312" w:cs="仿宋_GB2312"/>
          <w:b/>
          <w:bCs/>
          <w:color w:val="auto"/>
          <w:sz w:val="32"/>
          <w:szCs w:val="32"/>
          <w:lang w:val="en-US" w:eastAsia="zh-CN"/>
        </w:rPr>
        <w:t>要加强整体安排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。一季度后开好数智化转型大会，明确江苏分行未来两到三年的数智化转型整体规划，实施一批重点项目带动数智化转型加速。</w:t>
      </w:r>
      <w:r>
        <w:rPr>
          <w:rFonts w:hint="eastAsia" w:ascii="Times New Roman" w:hAnsi="Times New Roman" w:eastAsia="仿宋_GB2312" w:cs="仿宋_GB2312"/>
          <w:b/>
          <w:bCs/>
          <w:color w:val="auto"/>
          <w:sz w:val="32"/>
          <w:szCs w:val="32"/>
          <w:lang w:val="en-US" w:eastAsia="zh-CN"/>
        </w:rPr>
        <w:t>要聚焦功能提升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。重点发力两个方向。一是服务市场，显著提升触客和活客能力，实现客户服务的精准化、场景化和个性化。二是服务管理，重塑运营中台，筑牢风控防线，大幅压降包括人员在内的运营成本，提升效率与安全。</w:t>
      </w:r>
      <w:r>
        <w:rPr>
          <w:rFonts w:hint="eastAsia" w:ascii="Times New Roman" w:hAnsi="Times New Roman" w:eastAsia="仿宋_GB2312" w:cs="仿宋_GB2312"/>
          <w:b/>
          <w:bCs/>
          <w:color w:val="auto"/>
          <w:sz w:val="32"/>
          <w:szCs w:val="32"/>
          <w:lang w:val="en-US" w:eastAsia="zh-CN"/>
        </w:rPr>
        <w:t>要坚持“小步快跑”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。他山之石，可以攻玉。要全面梳理系统内数智化转型先进经验和成熟模式，加强对标学习，推动高效落地。先从0到1，再从1到10，稳扎稳打，积小胜为大胜。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3" w:firstLineChars="200"/>
        <w:textAlignment w:val="auto"/>
        <w:rPr>
          <w:rFonts w:hint="eastAsia" w:ascii="Times New Roman" w:hAnsi="Times New Roman" w:eastAsia="楷体_GB2312" w:cs="楷体_GB2312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_GB2312" w:cs="楷体_GB2312"/>
          <w:b/>
          <w:bCs/>
          <w:color w:val="auto"/>
          <w:sz w:val="32"/>
          <w:szCs w:val="32"/>
          <w:lang w:val="en-US" w:eastAsia="zh-CN"/>
        </w:rPr>
        <w:t>第六，全力守牢安全底线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90" w:lineRule="exact"/>
        <w:ind w:left="0" w:right="0" w:firstLine="643"/>
        <w:jc w:val="both"/>
        <w:textAlignment w:val="auto"/>
        <w:rPr>
          <w:rFonts w:ascii="Times New Roman" w:hAnsi="Times New Roman" w:cs="Calibri"/>
          <w:color w:val="auto"/>
          <w:sz w:val="32"/>
          <w:szCs w:val="32"/>
        </w:rPr>
      </w:pPr>
      <w:r>
        <w:rPr>
          <w:rFonts w:ascii="Times New Roman" w:hAnsi="Times New Roman" w:eastAsia="仿宋_GB2312" w:cs="仿宋_GB2312"/>
          <w:color w:val="auto"/>
          <w:spacing w:val="0"/>
          <w:kern w:val="0"/>
          <w:sz w:val="32"/>
          <w:szCs w:val="32"/>
          <w:lang w:val="en-US" w:eastAsia="zh-CN" w:bidi="ar"/>
        </w:rPr>
        <w:t>进一步深化对风险演变特征和规律的认识，</w:t>
      </w:r>
      <w:r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lang w:val="en-US" w:eastAsia="zh-CN" w:bidi="ar"/>
        </w:rPr>
        <w:t>健全全面风险管理体系，加固案防安防堤坝，把稳健经营底座打得更稳固更坚实。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90" w:lineRule="exact"/>
        <w:ind w:left="0" w:right="0" w:firstLine="640"/>
        <w:jc w:val="both"/>
        <w:textAlignment w:val="auto"/>
        <w:rPr>
          <w:rFonts w:hint="default" w:ascii="Times New Roman" w:hAnsi="Times New Roman" w:cs="Calibri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pacing w:val="0"/>
          <w:kern w:val="0"/>
          <w:sz w:val="32"/>
          <w:szCs w:val="32"/>
          <w:lang w:val="en-US" w:eastAsia="zh-CN" w:bidi="ar"/>
        </w:rPr>
        <w:t>一要深化全面风险治理。</w:t>
      </w:r>
      <w:r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lang w:val="en-US" w:eastAsia="zh-CN" w:bidi="ar"/>
        </w:rPr>
        <w:t>认真落实“委官部”统筹机制，风控委加强重点难点断点领域研判管控，强化风险官垂直管理、抓牢“十项要事”，风控部门做专做实监测预警、监督制衡，对异常、“奇葩”业务仔细甄别、严格管控。大力推广总行4E平台应用，加快特色智能风控系统建设，打造江苏分行版“苏融e盾”，实现从人防人控向技防智控转变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90" w:lineRule="exact"/>
        <w:ind w:left="0" w:right="0" w:firstLine="640"/>
        <w:jc w:val="both"/>
        <w:textAlignment w:val="auto"/>
        <w:rPr>
          <w:rFonts w:hint="eastAsia" w:ascii="Times New Roman" w:hAnsi="Times New Roman" w:eastAsia="黑体" w:cs="黑体"/>
          <w:color w:val="auto"/>
          <w:spacing w:val="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Times New Roman" w:hAnsi="Times New Roman" w:eastAsia="黑体" w:cs="黑体"/>
          <w:color w:val="auto"/>
          <w:spacing w:val="0"/>
          <w:kern w:val="0"/>
          <w:sz w:val="32"/>
          <w:szCs w:val="32"/>
          <w:lang w:val="en-US" w:eastAsia="zh-CN" w:bidi="ar"/>
        </w:rPr>
        <w:t>二要强化资产质量管控。</w:t>
      </w:r>
      <w:r>
        <w:rPr>
          <w:rFonts w:hint="eastAsia" w:ascii="Times New Roman" w:hAnsi="Times New Roman" w:eastAsia="仿宋_GB2312" w:cs="仿宋_GB2312"/>
          <w:color w:val="auto"/>
          <w:kern w:val="0"/>
          <w:sz w:val="32"/>
          <w:szCs w:val="32"/>
          <w:lang w:val="en-US" w:eastAsia="zh-CN" w:bidi="ar"/>
        </w:rPr>
        <w:t>打破“一刀切”的风控模式，严把三道关口，有效应对质量管控严峻形势。</w:t>
      </w:r>
      <w:r>
        <w:rPr>
          <w:rFonts w:hint="eastAsia" w:ascii="Times New Roman" w:hAnsi="Times New Roman" w:eastAsia="仿宋_GB2312" w:cs="仿宋_GB2312"/>
          <w:b/>
          <w:color w:val="auto"/>
          <w:kern w:val="0"/>
          <w:sz w:val="32"/>
          <w:szCs w:val="32"/>
          <w:lang w:val="en-US" w:eastAsia="zh-CN" w:bidi="ar"/>
        </w:rPr>
        <w:t>要提升适配性</w:t>
      </w:r>
      <w:r>
        <w:rPr>
          <w:rFonts w:hint="eastAsia" w:ascii="Times New Roman" w:hAnsi="Times New Roman" w:eastAsia="仿宋_GB2312" w:cs="仿宋_GB2312"/>
          <w:color w:val="auto"/>
          <w:kern w:val="0"/>
          <w:sz w:val="32"/>
          <w:szCs w:val="32"/>
          <w:lang w:val="en-US" w:eastAsia="zh-CN" w:bidi="ar"/>
        </w:rPr>
        <w:t>，引领信贷优投优贷，在发展中化解风险。动态调整投融资规划，推动投融资结构更好映射区域资产负债表，实现信贷投放与经济转型同频共振。把好“两查五关”，推广智能评审，落实专家审贷，全面提升资产选择能力。统筹好差异化授权的“授”与“管”，避免“一授了之”，</w:t>
      </w:r>
      <w:r>
        <w:rPr>
          <w:rFonts w:hint="eastAsia" w:ascii="仿宋_GB2312" w:hAnsi="仿宋_GB2312" w:eastAsia="仿宋_GB2312" w:cs="仿宋_GB2312"/>
          <w:snapToGrid/>
          <w:color w:val="auto"/>
          <w:spacing w:val="0"/>
          <w:sz w:val="32"/>
          <w:szCs w:val="32"/>
          <w:highlight w:val="none"/>
          <w:lang w:val="en-US" w:eastAsia="zh-CN"/>
        </w:rPr>
        <w:t>真正把好政策用好</w:t>
      </w:r>
      <w:r>
        <w:rPr>
          <w:rFonts w:hint="eastAsia" w:ascii="Times New Roman" w:hAnsi="Times New Roman" w:eastAsia="仿宋_GB2312" w:cs="仿宋_GB2312"/>
          <w:color w:val="auto"/>
          <w:kern w:val="0"/>
          <w:sz w:val="32"/>
          <w:szCs w:val="32"/>
          <w:lang w:val="en-US" w:eastAsia="zh-CN" w:bidi="ar"/>
        </w:rPr>
        <w:t>。</w:t>
      </w:r>
      <w:r>
        <w:rPr>
          <w:rFonts w:hint="eastAsia" w:ascii="Times New Roman" w:hAnsi="Times New Roman" w:eastAsia="仿宋_GB2312" w:cs="仿宋_GB2312"/>
          <w:color w:val="auto"/>
          <w:kern w:val="0"/>
          <w:sz w:val="32"/>
          <w:szCs w:val="32"/>
          <w:lang w:val="en-US" w:eastAsia="zh-CN" w:bidi="ar"/>
        </w:rPr>
        <w:t>优化基层机构风险控制流程，进一步压实风控责任。</w:t>
      </w:r>
      <w:r>
        <w:rPr>
          <w:rFonts w:hint="eastAsia" w:ascii="Times New Roman" w:hAnsi="Times New Roman" w:eastAsia="仿宋_GB2312" w:cs="仿宋_GB2312"/>
          <w:b/>
          <w:color w:val="auto"/>
          <w:kern w:val="0"/>
          <w:sz w:val="32"/>
          <w:szCs w:val="32"/>
          <w:lang w:val="en-US" w:eastAsia="zh-CN" w:bidi="ar"/>
        </w:rPr>
        <w:t>要提升精准性</w:t>
      </w:r>
      <w:r>
        <w:rPr>
          <w:rFonts w:hint="eastAsia" w:ascii="Times New Roman" w:hAnsi="Times New Roman" w:eastAsia="仿宋_GB2312" w:cs="仿宋_GB2312"/>
          <w:color w:val="auto"/>
          <w:kern w:val="0"/>
          <w:sz w:val="32"/>
          <w:szCs w:val="32"/>
          <w:lang w:val="en-US" w:eastAsia="zh-CN" w:bidi="ar"/>
        </w:rPr>
        <w:t>，分类施策，加强重点领域风险防化。对房地产领域，</w:t>
      </w:r>
      <w:r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lang w:val="en-US" w:eastAsia="zh-CN" w:bidi="ar"/>
        </w:rPr>
        <w:t>用好用足阶段性支持政策，做实资金封闭管理，</w:t>
      </w:r>
      <w:r>
        <w:rPr>
          <w:rFonts w:hint="eastAsia" w:ascii="Times New Roman" w:hAnsi="Times New Roman" w:eastAsia="仿宋_GB2312" w:cs="仿宋_GB2312"/>
          <w:color w:val="auto"/>
          <w:kern w:val="0"/>
          <w:sz w:val="32"/>
          <w:szCs w:val="32"/>
          <w:lang w:val="en-US" w:eastAsia="zh-CN" w:bidi="ar"/>
        </w:rPr>
        <w:t>推动风险缓释，以时间换空间。</w:t>
      </w:r>
      <w:r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lang w:val="en-US" w:eastAsia="zh-CN" w:bidi="ar"/>
        </w:rPr>
        <w:t>对“三个一”大户，抓实分类调整，加大审慎、风险类敞口管控力度，“一户一策”制定前瞻性退出或重组方案。</w:t>
      </w:r>
      <w:r>
        <w:rPr>
          <w:rFonts w:hint="eastAsia" w:ascii="Times New Roman" w:hAnsi="Times New Roman" w:eastAsia="仿宋_GB2312" w:cs="仿宋_GB2312"/>
          <w:color w:val="auto"/>
          <w:kern w:val="0"/>
          <w:sz w:val="32"/>
          <w:szCs w:val="32"/>
          <w:lang w:val="en-US" w:eastAsia="zh-CN" w:bidi="ar"/>
        </w:rPr>
        <w:t>对普惠和个贷领域，集中开展资产质量攻坚，把握窗口推动风险按时出清，确保主要“出血点”有序处理、稳步止血，防止出现共振放大。</w:t>
      </w:r>
      <w:r>
        <w:rPr>
          <w:rFonts w:hint="eastAsia" w:ascii="Times New Roman" w:hAnsi="Times New Roman" w:eastAsia="仿宋_GB2312" w:cs="仿宋_GB2312"/>
          <w:b/>
          <w:color w:val="auto"/>
          <w:kern w:val="0"/>
          <w:sz w:val="32"/>
          <w:szCs w:val="32"/>
          <w:lang w:val="en-US" w:eastAsia="zh-CN" w:bidi="ar"/>
        </w:rPr>
        <w:t>要提升主动性</w:t>
      </w:r>
      <w:r>
        <w:rPr>
          <w:rFonts w:hint="eastAsia" w:ascii="Times New Roman" w:hAnsi="Times New Roman" w:eastAsia="仿宋_GB2312" w:cs="仿宋_GB2312"/>
          <w:color w:val="auto"/>
          <w:kern w:val="0"/>
          <w:sz w:val="32"/>
          <w:szCs w:val="32"/>
          <w:lang w:val="en-US" w:eastAsia="zh-CN" w:bidi="ar"/>
        </w:rPr>
        <w:t>，加快不良资产盘活出清。</w:t>
      </w:r>
      <w:r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lang w:val="en-US" w:eastAsia="zh-CN" w:bidi="ar"/>
        </w:rPr>
        <w:t>强化劣变与处置的有效衔接，对预计劣变的贷款前瞻性制定处置预案，抢抓不良贷款处置主动权，尽可能缩短处置周期，努力减少我行债权损失。积极创新处置方式，运用批量转让、线上调解、赋强公证等多元化手段，深化与资产管理公司、头部中介平台的合作，打通变现通道，加快风险出清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90" w:lineRule="exact"/>
        <w:ind w:left="0" w:right="0" w:firstLine="640"/>
        <w:jc w:val="both"/>
        <w:textAlignment w:val="auto"/>
        <w:rPr>
          <w:rFonts w:hint="default" w:ascii="Times New Roman" w:hAnsi="Times New Roman" w:cs="Calibri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color w:val="auto"/>
          <w:spacing w:val="0"/>
          <w:kern w:val="0"/>
          <w:sz w:val="32"/>
          <w:szCs w:val="32"/>
          <w:highlight w:val="none"/>
          <w:lang w:val="en-US" w:eastAsia="zh-CN" w:bidi="ar"/>
        </w:rPr>
        <w:t>三要筑牢合规案防防线</w:t>
      </w:r>
      <w:r>
        <w:rPr>
          <w:rFonts w:hint="eastAsia" w:ascii="Times New Roman" w:hAnsi="Times New Roman" w:eastAsia="黑体" w:cs="黑体"/>
          <w:color w:val="auto"/>
          <w:spacing w:val="0"/>
          <w:kern w:val="0"/>
          <w:sz w:val="32"/>
          <w:szCs w:val="32"/>
          <w:lang w:val="en-US" w:eastAsia="zh-CN" w:bidi="ar"/>
        </w:rPr>
        <w:t>。</w:t>
      </w: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要</w:t>
      </w:r>
      <w:r>
        <w:rPr>
          <w:rFonts w:hint="eastAsia" w:ascii="Times New Roman" w:hAnsi="Times New Roman" w:eastAsia="仿宋_GB2312" w:cs="仿宋_GB2312"/>
          <w:b/>
          <w:color w:val="auto"/>
          <w:spacing w:val="0"/>
          <w:kern w:val="0"/>
          <w:sz w:val="32"/>
          <w:szCs w:val="32"/>
          <w:lang w:val="en-US" w:eastAsia="zh-CN" w:bidi="ar"/>
        </w:rPr>
        <w:t>推进合规文化建设。</w:t>
      </w:r>
      <w:r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lang w:val="en-US" w:eastAsia="zh-CN" w:bidi="ar"/>
        </w:rPr>
        <w:t>坚持尊重监管、敬畏监管、服从监管，健全完善合规体系，按照总行方案有序推进合规官配置，抓实合规经理，压实六方责任，着力强内控、促合规、治痼疾、补短板。</w:t>
      </w: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要</w:t>
      </w:r>
      <w:r>
        <w:rPr>
          <w:rFonts w:hint="eastAsia" w:ascii="Times New Roman" w:hAnsi="Times New Roman" w:eastAsia="仿宋_GB2312" w:cs="仿宋_GB2312"/>
          <w:b/>
          <w:color w:val="auto"/>
          <w:spacing w:val="0"/>
          <w:kern w:val="0"/>
          <w:sz w:val="32"/>
          <w:szCs w:val="32"/>
          <w:lang w:val="en-US" w:eastAsia="zh-CN" w:bidi="ar"/>
        </w:rPr>
        <w:t>保持案防高压态势。</w:t>
      </w:r>
      <w:r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lang w:val="en-US" w:eastAsia="zh-CN" w:bidi="ar"/>
        </w:rPr>
        <w:t>妥善推进已发案件的处置化解，深化案件“全链条防控”，完善齐抓共管、到底到边的责任矩阵。坚持条块同责，用好</w:t>
      </w:r>
      <w:r>
        <w:rPr>
          <w:rFonts w:hint="default" w:ascii="Times New Roman" w:hAnsi="Times New Roman" w:cs="Times New Roman" w:eastAsiaTheme="minorEastAsia"/>
          <w:color w:val="auto"/>
          <w:spacing w:val="0"/>
          <w:kern w:val="0"/>
          <w:sz w:val="32"/>
          <w:szCs w:val="32"/>
          <w:lang w:val="en-US" w:eastAsia="zh-CN" w:bidi="ar"/>
        </w:rPr>
        <w:t>“</w:t>
      </w:r>
      <w:r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lang w:val="en-US" w:eastAsia="zh-CN" w:bidi="ar"/>
        </w:rPr>
        <w:t>两委两化</w:t>
      </w:r>
      <w:r>
        <w:rPr>
          <w:rFonts w:hint="default" w:ascii="Times New Roman" w:hAnsi="Times New Roman" w:cs="Times New Roman" w:eastAsiaTheme="minorEastAsia"/>
          <w:color w:val="auto"/>
          <w:spacing w:val="0"/>
          <w:kern w:val="0"/>
          <w:sz w:val="32"/>
          <w:szCs w:val="32"/>
          <w:lang w:val="en-US" w:eastAsia="zh-CN" w:bidi="ar"/>
        </w:rPr>
        <w:t>”</w:t>
      </w:r>
      <w:r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lang w:val="en-US" w:eastAsia="zh-CN" w:bidi="ar"/>
        </w:rPr>
        <w:t>，抓细员工异常行为排查，重拳整治信用卡套现、异常借贷或投资、经商办企业、出借账户等问题。</w:t>
      </w: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要</w:t>
      </w:r>
      <w:r>
        <w:rPr>
          <w:rFonts w:hint="eastAsia" w:ascii="Times New Roman" w:hAnsi="Times New Roman" w:eastAsia="仿宋_GB2312" w:cs="仿宋_GB2312"/>
          <w:b/>
          <w:color w:val="auto"/>
          <w:spacing w:val="0"/>
          <w:kern w:val="0"/>
          <w:sz w:val="32"/>
          <w:szCs w:val="32"/>
          <w:lang w:val="en-US" w:eastAsia="zh-CN" w:bidi="ar"/>
        </w:rPr>
        <w:t>深化反洗钱治理。</w:t>
      </w:r>
      <w:r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lang w:val="en-US" w:eastAsia="zh-CN" w:bidi="ar"/>
        </w:rPr>
        <w:t>持续实施“反洗钱效能提升工程”，“基于风险”提升反洗钱有效性，推动洗钱治理向“主动防控”进阶。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90" w:lineRule="exact"/>
        <w:ind w:left="0" w:right="0" w:firstLine="640" w:firstLineChars="200"/>
        <w:jc w:val="both"/>
        <w:textAlignment w:val="auto"/>
        <w:rPr>
          <w:rFonts w:hint="default" w:ascii="Times New Roman" w:hAnsi="Times New Roman" w:cs="Calibri"/>
          <w:color w:val="auto"/>
          <w:sz w:val="21"/>
          <w:szCs w:val="21"/>
          <w:highlight w:val="none"/>
          <w:lang w:val="en-US"/>
        </w:rPr>
      </w:pPr>
      <w:r>
        <w:rPr>
          <w:rFonts w:hint="eastAsia" w:ascii="Times New Roman" w:hAnsi="Times New Roman" w:eastAsia="黑体" w:cs="黑体"/>
          <w:color w:val="auto"/>
          <w:spacing w:val="0"/>
          <w:kern w:val="0"/>
          <w:sz w:val="32"/>
          <w:szCs w:val="32"/>
          <w:highlight w:val="none"/>
          <w:lang w:val="en-US" w:eastAsia="zh-CN" w:bidi="ar"/>
        </w:rPr>
        <w:t>四要确保安全平稳运行。</w:t>
      </w:r>
      <w:r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 w:bidi="ar"/>
        </w:rPr>
        <w:t>坚决打好安全生产治本攻坚三年行动收官战，加强隐患排查整治，抓实抓细运维、安保、舆情及信访维稳，确保不发生重大负面舆情、重大风险事件。当前正值旺季，要</w:t>
      </w:r>
      <w:r>
        <w:rPr>
          <w:rFonts w:hint="eastAsia" w:ascii="Times New Roman" w:hAnsi="Times New Roman" w:eastAsia="仿宋_GB2312" w:cs="仿宋_GB2312"/>
          <w:b w:val="0"/>
          <w:bCs/>
          <w:i w:val="0"/>
          <w:caps w:val="0"/>
          <w:color w:val="auto"/>
          <w:spacing w:val="0"/>
          <w:kern w:val="0"/>
          <w:sz w:val="32"/>
          <w:szCs w:val="32"/>
          <w:highlight w:val="none"/>
          <w:lang w:val="en-US" w:eastAsia="zh-CN" w:bidi="ar"/>
        </w:rPr>
        <w:t>强化员工关心关爱，</w:t>
      </w:r>
      <w:r>
        <w:rPr>
          <w:rFonts w:hint="eastAsia" w:ascii="Times New Roman" w:hAnsi="Times New Roman" w:eastAsia="仿宋_GB2312" w:cs="仿宋_GB2312"/>
          <w:i w:val="0"/>
          <w:caps w:val="0"/>
          <w:color w:val="auto"/>
          <w:spacing w:val="0"/>
          <w:kern w:val="0"/>
          <w:sz w:val="32"/>
          <w:szCs w:val="32"/>
          <w:highlight w:val="none"/>
          <w:lang w:val="en-US" w:eastAsia="zh-CN" w:bidi="ar"/>
        </w:rPr>
        <w:t>充分发挥工会、老干办、团委、女工委作用，用心用情解决员工急难愁盼问题。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eastAsia" w:ascii="Times New Roman" w:hAnsi="Times New Roman" w:eastAsia="楷体_GB2312" w:cs="楷体_GB2312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0" w:lineRule="exact"/>
        <w:ind w:firstLine="640" w:firstLineChars="200"/>
        <w:textAlignment w:val="auto"/>
        <w:rPr>
          <w:rFonts w:hint="default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同志们，山海寻梦，不觉其远；前路迢迢，阔步前行。站在“十五五”开局的新起点，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highlight w:val="none"/>
          <w:lang w:val="en-US" w:eastAsia="zh-CN"/>
        </w:rPr>
        <w:t>全行要勠力同心、真抓实干，锚定新目标、奋力开新局，实现高质量发展提质增效，为加快建设金融强国、助力“强富美高”新江苏现代化建设作出更大贡献！</w:t>
      </w:r>
    </w:p>
    <w:sectPr>
      <w:footerReference r:id="rId4" w:type="default"/>
      <w:footnotePr>
        <w:numFmt w:val="decimal"/>
      </w:footnote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ESI黑体-GB2312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id="0">
    <w:p>
      <w:pPr>
        <w:pStyle w:val="4"/>
        <w:snapToGrid w:val="0"/>
      </w:pPr>
      <w:r>
        <w:rPr>
          <w:rStyle w:val="12"/>
        </w:rPr>
        <w:footnoteRef/>
      </w:r>
      <w:r>
        <w:t xml:space="preserve"> </w:t>
      </w:r>
      <w:r>
        <w:rPr>
          <w:rFonts w:hint="eastAsia"/>
          <w:lang w:val="en-US" w:eastAsia="zh-CN"/>
        </w:rPr>
        <w:t>去年，全行六类行政办公费用同比下降近20%，业务招待费、广告费下降均超30%。</w:t>
      </w:r>
    </w:p>
  </w:footnote>
  <w:footnote w:id="1">
    <w:p>
      <w:pPr>
        <w:pStyle w:val="4"/>
        <w:snapToGrid w:val="0"/>
      </w:pPr>
      <w:r>
        <w:rPr>
          <w:rStyle w:val="12"/>
        </w:rPr>
        <w:footnoteRef/>
      </w:r>
      <w:r>
        <w:t xml:space="preserve"> </w:t>
      </w:r>
      <w:r>
        <w:rPr>
          <w:rFonts w:hint="eastAsia"/>
        </w:rPr>
        <w:t>“一核”指制造业、“两源”指资源、能源行业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embedSystemFonts/>
  <w:bordersDoNotSurroundHeader w:val="0"/>
  <w:bordersDoNotSurroundFooter w:val="0"/>
  <w:revisionView w:markup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0E7E68"/>
    <w:rsid w:val="0182485D"/>
    <w:rsid w:val="01C53887"/>
    <w:rsid w:val="0251614C"/>
    <w:rsid w:val="02A84EA7"/>
    <w:rsid w:val="02F53DE6"/>
    <w:rsid w:val="03E26D4F"/>
    <w:rsid w:val="03F91BF7"/>
    <w:rsid w:val="04490191"/>
    <w:rsid w:val="045D0F0A"/>
    <w:rsid w:val="046E0869"/>
    <w:rsid w:val="04CA6922"/>
    <w:rsid w:val="05182D3A"/>
    <w:rsid w:val="051A5BBA"/>
    <w:rsid w:val="052C16FD"/>
    <w:rsid w:val="0533688D"/>
    <w:rsid w:val="057D3022"/>
    <w:rsid w:val="05AA42CB"/>
    <w:rsid w:val="07396BC6"/>
    <w:rsid w:val="07984B4C"/>
    <w:rsid w:val="07994C1F"/>
    <w:rsid w:val="07AF52FC"/>
    <w:rsid w:val="081F6F68"/>
    <w:rsid w:val="08554FD3"/>
    <w:rsid w:val="090E7E68"/>
    <w:rsid w:val="093245BB"/>
    <w:rsid w:val="09A0781D"/>
    <w:rsid w:val="09CC5578"/>
    <w:rsid w:val="09DB51D5"/>
    <w:rsid w:val="0A6005DC"/>
    <w:rsid w:val="0AE723C1"/>
    <w:rsid w:val="0B172484"/>
    <w:rsid w:val="0B4D5B9E"/>
    <w:rsid w:val="0B8952B7"/>
    <w:rsid w:val="0CD809F5"/>
    <w:rsid w:val="0DC51DB7"/>
    <w:rsid w:val="0E9B549F"/>
    <w:rsid w:val="0F171924"/>
    <w:rsid w:val="0F220B54"/>
    <w:rsid w:val="1062461C"/>
    <w:rsid w:val="106D2472"/>
    <w:rsid w:val="10712821"/>
    <w:rsid w:val="11313481"/>
    <w:rsid w:val="11C3700A"/>
    <w:rsid w:val="12BC20EB"/>
    <w:rsid w:val="15616C89"/>
    <w:rsid w:val="175B2DFC"/>
    <w:rsid w:val="17E355EA"/>
    <w:rsid w:val="185D638E"/>
    <w:rsid w:val="18E229C1"/>
    <w:rsid w:val="18FB6E0A"/>
    <w:rsid w:val="191A761F"/>
    <w:rsid w:val="193F42F9"/>
    <w:rsid w:val="197029C5"/>
    <w:rsid w:val="19900E50"/>
    <w:rsid w:val="1993227E"/>
    <w:rsid w:val="19A36795"/>
    <w:rsid w:val="1A49752D"/>
    <w:rsid w:val="1AA14D13"/>
    <w:rsid w:val="1BAD06DB"/>
    <w:rsid w:val="1BAF0E8C"/>
    <w:rsid w:val="1BBF0AB8"/>
    <w:rsid w:val="1BD22DD6"/>
    <w:rsid w:val="1C2248F5"/>
    <w:rsid w:val="1C3E5E19"/>
    <w:rsid w:val="1C5D0187"/>
    <w:rsid w:val="1C602CA6"/>
    <w:rsid w:val="1C935F30"/>
    <w:rsid w:val="1CC30329"/>
    <w:rsid w:val="1D362626"/>
    <w:rsid w:val="1EDB7727"/>
    <w:rsid w:val="1EDC6FDD"/>
    <w:rsid w:val="1EF20E68"/>
    <w:rsid w:val="1F852C7E"/>
    <w:rsid w:val="1FC837CE"/>
    <w:rsid w:val="2075427A"/>
    <w:rsid w:val="20E113EC"/>
    <w:rsid w:val="20E33DFE"/>
    <w:rsid w:val="212378CE"/>
    <w:rsid w:val="219D5129"/>
    <w:rsid w:val="224B2C78"/>
    <w:rsid w:val="22B74181"/>
    <w:rsid w:val="2380360B"/>
    <w:rsid w:val="24C15C9B"/>
    <w:rsid w:val="25A416F3"/>
    <w:rsid w:val="2603114A"/>
    <w:rsid w:val="26113B1A"/>
    <w:rsid w:val="26C06BA4"/>
    <w:rsid w:val="26C4024D"/>
    <w:rsid w:val="27180F85"/>
    <w:rsid w:val="277A54CF"/>
    <w:rsid w:val="2786255E"/>
    <w:rsid w:val="29264B22"/>
    <w:rsid w:val="292D4290"/>
    <w:rsid w:val="292F77DD"/>
    <w:rsid w:val="2A487A5E"/>
    <w:rsid w:val="2A854F77"/>
    <w:rsid w:val="2A8D4AEB"/>
    <w:rsid w:val="2B4042E3"/>
    <w:rsid w:val="2B494E87"/>
    <w:rsid w:val="2B5F151C"/>
    <w:rsid w:val="2BE901F1"/>
    <w:rsid w:val="2BFC0421"/>
    <w:rsid w:val="2C0C2B54"/>
    <w:rsid w:val="2C577DEC"/>
    <w:rsid w:val="2D5166E3"/>
    <w:rsid w:val="2DD83BE3"/>
    <w:rsid w:val="2ED14C8C"/>
    <w:rsid w:val="2F2C2C52"/>
    <w:rsid w:val="2F2D3CD4"/>
    <w:rsid w:val="2F5D5858"/>
    <w:rsid w:val="2F8735F9"/>
    <w:rsid w:val="303A3051"/>
    <w:rsid w:val="30B25374"/>
    <w:rsid w:val="31047745"/>
    <w:rsid w:val="31A87CCE"/>
    <w:rsid w:val="32157AB3"/>
    <w:rsid w:val="327F780C"/>
    <w:rsid w:val="336E6DE1"/>
    <w:rsid w:val="33A725A2"/>
    <w:rsid w:val="33D24DF5"/>
    <w:rsid w:val="33EF7209"/>
    <w:rsid w:val="345C4835"/>
    <w:rsid w:val="34F4123E"/>
    <w:rsid w:val="35674318"/>
    <w:rsid w:val="3568330D"/>
    <w:rsid w:val="359753D3"/>
    <w:rsid w:val="36EF028E"/>
    <w:rsid w:val="377044D6"/>
    <w:rsid w:val="379B7A8F"/>
    <w:rsid w:val="37C23766"/>
    <w:rsid w:val="37D35D9A"/>
    <w:rsid w:val="38374D2C"/>
    <w:rsid w:val="39797AC6"/>
    <w:rsid w:val="39DF5F75"/>
    <w:rsid w:val="3AB80C00"/>
    <w:rsid w:val="3AD04EBA"/>
    <w:rsid w:val="3B261CE2"/>
    <w:rsid w:val="3B2E6EF6"/>
    <w:rsid w:val="3B7B4777"/>
    <w:rsid w:val="3C900EC5"/>
    <w:rsid w:val="3CBB2AAA"/>
    <w:rsid w:val="3CDF76CB"/>
    <w:rsid w:val="3D0118B7"/>
    <w:rsid w:val="3D446774"/>
    <w:rsid w:val="3D6E57D3"/>
    <w:rsid w:val="3D6F33E3"/>
    <w:rsid w:val="3FAE2398"/>
    <w:rsid w:val="3FCE4050"/>
    <w:rsid w:val="40CD2B4B"/>
    <w:rsid w:val="4191524B"/>
    <w:rsid w:val="41E1797A"/>
    <w:rsid w:val="42437802"/>
    <w:rsid w:val="42510DDF"/>
    <w:rsid w:val="42B21431"/>
    <w:rsid w:val="42B567DD"/>
    <w:rsid w:val="42BA14AC"/>
    <w:rsid w:val="44CF7546"/>
    <w:rsid w:val="4562118F"/>
    <w:rsid w:val="45B52B7E"/>
    <w:rsid w:val="46391A51"/>
    <w:rsid w:val="472358F2"/>
    <w:rsid w:val="47B47411"/>
    <w:rsid w:val="47BD65F6"/>
    <w:rsid w:val="48A001B6"/>
    <w:rsid w:val="49A95E06"/>
    <w:rsid w:val="49EF494A"/>
    <w:rsid w:val="4A144747"/>
    <w:rsid w:val="4A1F3EBD"/>
    <w:rsid w:val="4AA3284B"/>
    <w:rsid w:val="4B092195"/>
    <w:rsid w:val="4C994E86"/>
    <w:rsid w:val="4D1617CF"/>
    <w:rsid w:val="4D54341B"/>
    <w:rsid w:val="4D7825AE"/>
    <w:rsid w:val="4DC904BE"/>
    <w:rsid w:val="4F32638D"/>
    <w:rsid w:val="4F864CDB"/>
    <w:rsid w:val="4F9C07E6"/>
    <w:rsid w:val="4FA54B0C"/>
    <w:rsid w:val="4FA82A27"/>
    <w:rsid w:val="501777C3"/>
    <w:rsid w:val="52436152"/>
    <w:rsid w:val="53871AF4"/>
    <w:rsid w:val="53EC554F"/>
    <w:rsid w:val="540529CB"/>
    <w:rsid w:val="541C7C0E"/>
    <w:rsid w:val="55AB395D"/>
    <w:rsid w:val="567053BD"/>
    <w:rsid w:val="56995A05"/>
    <w:rsid w:val="57D85E83"/>
    <w:rsid w:val="592508E2"/>
    <w:rsid w:val="59987F48"/>
    <w:rsid w:val="59F438A1"/>
    <w:rsid w:val="5A093C8B"/>
    <w:rsid w:val="5A432DE7"/>
    <w:rsid w:val="5AD2683E"/>
    <w:rsid w:val="5B3B2EF9"/>
    <w:rsid w:val="5C0E468B"/>
    <w:rsid w:val="5C356DFD"/>
    <w:rsid w:val="5C485EB8"/>
    <w:rsid w:val="5CDC6CAF"/>
    <w:rsid w:val="5CFC44CB"/>
    <w:rsid w:val="5DD42EA0"/>
    <w:rsid w:val="5E506A30"/>
    <w:rsid w:val="5E5C59A5"/>
    <w:rsid w:val="5F2B0BAD"/>
    <w:rsid w:val="5F2C3801"/>
    <w:rsid w:val="5F907BAD"/>
    <w:rsid w:val="5FAB47CA"/>
    <w:rsid w:val="60214699"/>
    <w:rsid w:val="608C38F7"/>
    <w:rsid w:val="6098077D"/>
    <w:rsid w:val="611B606B"/>
    <w:rsid w:val="62894650"/>
    <w:rsid w:val="64207E44"/>
    <w:rsid w:val="66715D2D"/>
    <w:rsid w:val="668A181B"/>
    <w:rsid w:val="66D56630"/>
    <w:rsid w:val="676F5186"/>
    <w:rsid w:val="67C72833"/>
    <w:rsid w:val="67F86F4C"/>
    <w:rsid w:val="69FE4BDA"/>
    <w:rsid w:val="6A4A76A8"/>
    <w:rsid w:val="6A654258"/>
    <w:rsid w:val="6AC04614"/>
    <w:rsid w:val="6AE34AA2"/>
    <w:rsid w:val="6AF66869"/>
    <w:rsid w:val="6B36016E"/>
    <w:rsid w:val="6BA634C7"/>
    <w:rsid w:val="6C2E4CB6"/>
    <w:rsid w:val="6CBF00AE"/>
    <w:rsid w:val="6CCF531B"/>
    <w:rsid w:val="6CDF7DA3"/>
    <w:rsid w:val="6D191318"/>
    <w:rsid w:val="6D3E23EB"/>
    <w:rsid w:val="6D7F1420"/>
    <w:rsid w:val="6E3E1B32"/>
    <w:rsid w:val="6E855723"/>
    <w:rsid w:val="6E8F01A4"/>
    <w:rsid w:val="6EBC61BB"/>
    <w:rsid w:val="6F39646D"/>
    <w:rsid w:val="70691298"/>
    <w:rsid w:val="7084429A"/>
    <w:rsid w:val="70D7134D"/>
    <w:rsid w:val="71C16BB0"/>
    <w:rsid w:val="71E81557"/>
    <w:rsid w:val="72EE35AC"/>
    <w:rsid w:val="73863380"/>
    <w:rsid w:val="74077282"/>
    <w:rsid w:val="745A2761"/>
    <w:rsid w:val="74731E68"/>
    <w:rsid w:val="750C3E19"/>
    <w:rsid w:val="756D5A93"/>
    <w:rsid w:val="75B7578E"/>
    <w:rsid w:val="75F41C2F"/>
    <w:rsid w:val="76A04111"/>
    <w:rsid w:val="79464A5B"/>
    <w:rsid w:val="79936E19"/>
    <w:rsid w:val="7A41033C"/>
    <w:rsid w:val="7AEE72E4"/>
    <w:rsid w:val="7AFC195F"/>
    <w:rsid w:val="7BFA581B"/>
    <w:rsid w:val="7C1418DC"/>
    <w:rsid w:val="7C5B7F2E"/>
    <w:rsid w:val="7C645631"/>
    <w:rsid w:val="7C78350E"/>
    <w:rsid w:val="7D1E76C3"/>
    <w:rsid w:val="7D3E59EB"/>
    <w:rsid w:val="7DAA3579"/>
    <w:rsid w:val="7DD91F82"/>
    <w:rsid w:val="7EA557AE"/>
    <w:rsid w:val="7FAB2184"/>
    <w:rsid w:val="7FD618DB"/>
    <w:rsid w:val="7FE5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5">
    <w:name w:val="toc 2"/>
    <w:basedOn w:val="1"/>
    <w:next w:val="1"/>
    <w:unhideWhenUsed/>
    <w:qFormat/>
    <w:uiPriority w:val="39"/>
    <w:pPr>
      <w:tabs>
        <w:tab w:val="left" w:pos="1260"/>
        <w:tab w:val="right" w:leader="dot" w:pos="8296"/>
      </w:tabs>
      <w:ind w:left="480" w:leftChars="200"/>
    </w:pPr>
  </w:style>
  <w:style w:type="paragraph" w:styleId="6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FollowedHyperlink"/>
    <w:basedOn w:val="8"/>
    <w:qFormat/>
    <w:uiPriority w:val="0"/>
    <w:rPr>
      <w:color w:val="333333"/>
      <w:u w:val="none"/>
    </w:rPr>
  </w:style>
  <w:style w:type="character" w:styleId="11">
    <w:name w:val="Hyperlink"/>
    <w:basedOn w:val="8"/>
    <w:qFormat/>
    <w:uiPriority w:val="0"/>
    <w:rPr>
      <w:color w:val="333333"/>
      <w:u w:val="none"/>
    </w:rPr>
  </w:style>
  <w:style w:type="character" w:styleId="12">
    <w:name w:val="footnote reference"/>
    <w:basedOn w:val="8"/>
    <w:qFormat/>
    <w:uiPriority w:val="0"/>
    <w:rPr>
      <w:vertAlign w:val="superscript"/>
    </w:rPr>
  </w:style>
  <w:style w:type="character" w:customStyle="1" w:styleId="13">
    <w:name w:val="not([class*=suffix])"/>
    <w:basedOn w:val="8"/>
    <w:uiPriority w:val="0"/>
    <w:rPr>
      <w:sz w:val="19"/>
      <w:szCs w:val="19"/>
    </w:rPr>
  </w:style>
  <w:style w:type="character" w:customStyle="1" w:styleId="14">
    <w:name w:val="not([class*=suffix])1"/>
    <w:basedOn w:val="8"/>
    <w:uiPriority w:val="0"/>
  </w:style>
  <w:style w:type="character" w:customStyle="1" w:styleId="15">
    <w:name w:val="hover3"/>
    <w:basedOn w:val="8"/>
    <w:qFormat/>
    <w:uiPriority w:val="0"/>
    <w:rPr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Office_11.8.2.8808_F1E327BC-269C-435d-A152-05C5408002CA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2026-01-25T07:33:00Z</dcterms:created>
  <dc:creator>办公室</dc:creator>
  <cp:lastModifiedBy>办公室</cp:lastModifiedBy>
  <cp:lastPrinted>2026-02-05T11:21:05Z</cp:lastPrinted>
  <dcterms:modified xsi:type="dcterms:W3CDTF">2026-02-05T11:24:15Z</dcterms:modified>
  <dc:title>稳中求进启新程 提质增效强动能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2052-11.8.2.8808</vt:lpwstr>
  </property>
</Properties>
</file>